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1813E">
      <w:pPr>
        <w:pStyle w:val="2"/>
        <w:ind w:firstLine="611"/>
        <w:rPr>
          <w:rFonts w:hint="default"/>
          <w:sz w:val="32"/>
          <w:szCs w:val="32"/>
          <w:lang w:val="en-US" w:eastAsia="zh-CN"/>
        </w:rPr>
      </w:pPr>
      <w:r>
        <w:rPr>
          <w:rFonts w:hint="eastAsia" w:ascii="仿宋_GB2312" w:hAnsi="宋体" w:eastAsia="仿宋_GB2312" w:cs="宋体"/>
          <w:bCs/>
          <w:spacing w:val="8"/>
          <w:kern w:val="0"/>
          <w:sz w:val="30"/>
          <w:szCs w:val="30"/>
          <w:lang w:val="en-US" w:eastAsia="zh-CN"/>
        </w:rPr>
        <w:t xml:space="preserve"> </w:t>
      </w:r>
    </w:p>
    <w:p w14:paraId="4FD06573">
      <w:pPr>
        <w:spacing w:line="560" w:lineRule="exact"/>
        <w:ind w:firstLine="1368" w:firstLineChars="300"/>
        <w:jc w:val="both"/>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8"/>
        <w:tblW w:w="1337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gridCol w:w="1983"/>
        <w:gridCol w:w="1983"/>
      </w:tblGrid>
      <w:tr w14:paraId="126A6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20B89A0">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14:paraId="256D162A">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c>
          <w:tcPr>
            <w:tcW w:w="1983" w:type="dxa"/>
            <w:vAlign w:val="center"/>
          </w:tcPr>
          <w:p w14:paraId="004FAD57">
            <w:pPr>
              <w:spacing w:line="240" w:lineRule="auto"/>
              <w:ind w:firstLine="630" w:firstLineChars="300"/>
              <w:jc w:val="center"/>
              <w:rPr>
                <w:rFonts w:hint="eastAsia" w:ascii="仿宋_GB2312" w:hAnsi="宋体" w:eastAsia="仿宋_GB2312" w:cs="宋体"/>
                <w:kern w:val="0"/>
              </w:rPr>
            </w:pPr>
          </w:p>
        </w:tc>
        <w:tc>
          <w:tcPr>
            <w:tcW w:w="1983" w:type="dxa"/>
            <w:vAlign w:val="center"/>
          </w:tcPr>
          <w:p w14:paraId="363396C3">
            <w:pPr>
              <w:spacing w:line="240" w:lineRule="auto"/>
              <w:ind w:firstLine="630" w:firstLineChars="300"/>
              <w:jc w:val="center"/>
              <w:rPr>
                <w:rFonts w:hint="eastAsia" w:ascii="仿宋_GB2312" w:hAnsi="宋体" w:eastAsia="仿宋_GB2312" w:cs="宋体"/>
                <w:kern w:val="0"/>
              </w:rPr>
            </w:pPr>
          </w:p>
        </w:tc>
      </w:tr>
      <w:tr w14:paraId="1C893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2039" w:type="dxa"/>
            <w:gridSpan w:val="2"/>
            <w:vAlign w:val="center"/>
          </w:tcPr>
          <w:p w14:paraId="1D47B16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w:t>
            </w:r>
          </w:p>
        </w:tc>
        <w:tc>
          <w:tcPr>
            <w:tcW w:w="1983" w:type="dxa"/>
            <w:gridSpan w:val="2"/>
            <w:vAlign w:val="center"/>
          </w:tcPr>
          <w:p w14:paraId="06F2846E">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83.33%</w:t>
            </w:r>
          </w:p>
        </w:tc>
        <w:tc>
          <w:tcPr>
            <w:tcW w:w="1983" w:type="dxa"/>
            <w:vAlign w:val="center"/>
          </w:tcPr>
          <w:p w14:paraId="4F46D3DB">
            <w:pPr>
              <w:spacing w:line="240" w:lineRule="auto"/>
              <w:ind w:firstLine="420"/>
              <w:jc w:val="center"/>
              <w:rPr>
                <w:rFonts w:ascii="仿宋_GB2312" w:eastAsia="仿宋_GB2312"/>
                <w:kern w:val="0"/>
              </w:rPr>
            </w:pPr>
          </w:p>
        </w:tc>
        <w:tc>
          <w:tcPr>
            <w:tcW w:w="1983" w:type="dxa"/>
            <w:vAlign w:val="center"/>
          </w:tcPr>
          <w:p w14:paraId="2897F1E5">
            <w:pPr>
              <w:spacing w:line="240" w:lineRule="auto"/>
              <w:ind w:firstLine="420"/>
              <w:jc w:val="center"/>
              <w:rPr>
                <w:rFonts w:ascii="仿宋_GB2312" w:eastAsia="仿宋_GB2312"/>
                <w:kern w:val="0"/>
              </w:rPr>
            </w:pPr>
          </w:p>
        </w:tc>
      </w:tr>
      <w:tr w14:paraId="18123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14:paraId="5DBAAEE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14:paraId="284567B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1983" w:type="dxa"/>
            <w:vAlign w:val="center"/>
          </w:tcPr>
          <w:p w14:paraId="56E44739">
            <w:pPr>
              <w:spacing w:line="240" w:lineRule="auto"/>
              <w:ind w:firstLine="420"/>
              <w:jc w:val="center"/>
              <w:rPr>
                <w:rFonts w:hint="eastAsia" w:ascii="仿宋_GB2312" w:eastAsia="仿宋_GB2312"/>
                <w:kern w:val="0"/>
              </w:rPr>
            </w:pPr>
          </w:p>
        </w:tc>
        <w:tc>
          <w:tcPr>
            <w:tcW w:w="1983" w:type="dxa"/>
            <w:vAlign w:val="center"/>
          </w:tcPr>
          <w:p w14:paraId="2837786C">
            <w:pPr>
              <w:spacing w:line="240" w:lineRule="auto"/>
              <w:ind w:firstLine="420"/>
              <w:jc w:val="center"/>
              <w:rPr>
                <w:rFonts w:hint="eastAsia" w:ascii="仿宋_GB2312" w:eastAsia="仿宋_GB2312"/>
                <w:kern w:val="0"/>
              </w:rPr>
            </w:pPr>
          </w:p>
        </w:tc>
      </w:tr>
      <w:tr w14:paraId="33021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8.87</w:t>
            </w:r>
          </w:p>
        </w:tc>
        <w:tc>
          <w:tcPr>
            <w:tcW w:w="2039" w:type="dxa"/>
            <w:gridSpan w:val="2"/>
            <w:vAlign w:val="center"/>
          </w:tcPr>
          <w:p w14:paraId="1D6514E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8.1</w:t>
            </w:r>
          </w:p>
        </w:tc>
        <w:tc>
          <w:tcPr>
            <w:tcW w:w="1983" w:type="dxa"/>
            <w:gridSpan w:val="2"/>
            <w:vAlign w:val="center"/>
          </w:tcPr>
          <w:p w14:paraId="7DFA64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7.43</w:t>
            </w:r>
          </w:p>
        </w:tc>
        <w:tc>
          <w:tcPr>
            <w:tcW w:w="1983" w:type="dxa"/>
            <w:vAlign w:val="center"/>
          </w:tcPr>
          <w:p w14:paraId="087E5B05">
            <w:pPr>
              <w:spacing w:line="240" w:lineRule="auto"/>
              <w:ind w:firstLine="420"/>
              <w:jc w:val="center"/>
              <w:rPr>
                <w:rFonts w:hint="eastAsia" w:ascii="仿宋_GB2312" w:eastAsia="仿宋_GB2312"/>
                <w:kern w:val="0"/>
                <w:lang w:val="en-US" w:eastAsia="zh-CN"/>
              </w:rPr>
            </w:pPr>
          </w:p>
        </w:tc>
        <w:tc>
          <w:tcPr>
            <w:tcW w:w="1983" w:type="dxa"/>
            <w:vAlign w:val="center"/>
          </w:tcPr>
          <w:p w14:paraId="255839BE">
            <w:pPr>
              <w:spacing w:line="240" w:lineRule="auto"/>
              <w:ind w:firstLine="420"/>
              <w:jc w:val="center"/>
              <w:rPr>
                <w:rFonts w:hint="eastAsia" w:ascii="仿宋_GB2312" w:eastAsia="仿宋_GB2312"/>
                <w:kern w:val="0"/>
                <w:lang w:val="en-US" w:eastAsia="zh-CN"/>
              </w:rPr>
            </w:pPr>
          </w:p>
        </w:tc>
      </w:tr>
      <w:tr w14:paraId="6944F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c>
          <w:tcPr>
            <w:tcW w:w="1983" w:type="dxa"/>
            <w:vAlign w:val="center"/>
          </w:tcPr>
          <w:p w14:paraId="058E9AD4">
            <w:pPr>
              <w:spacing w:line="240" w:lineRule="auto"/>
              <w:ind w:firstLine="420"/>
              <w:jc w:val="center"/>
              <w:rPr>
                <w:rFonts w:ascii="仿宋_GB2312" w:eastAsia="仿宋_GB2312"/>
                <w:kern w:val="0"/>
                <w:lang w:eastAsia="zh-CN"/>
              </w:rPr>
            </w:pPr>
          </w:p>
        </w:tc>
        <w:tc>
          <w:tcPr>
            <w:tcW w:w="1983" w:type="dxa"/>
            <w:vAlign w:val="center"/>
          </w:tcPr>
          <w:p w14:paraId="05974F7F">
            <w:pPr>
              <w:spacing w:line="240" w:lineRule="auto"/>
              <w:ind w:firstLine="420"/>
              <w:jc w:val="center"/>
              <w:rPr>
                <w:rFonts w:ascii="仿宋_GB2312" w:eastAsia="仿宋_GB2312"/>
                <w:kern w:val="0"/>
                <w:lang w:eastAsia="zh-CN"/>
              </w:rPr>
            </w:pPr>
          </w:p>
        </w:tc>
      </w:tr>
      <w:tr w14:paraId="00300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c>
          <w:tcPr>
            <w:tcW w:w="1983" w:type="dxa"/>
            <w:vAlign w:val="center"/>
          </w:tcPr>
          <w:p w14:paraId="513729B0">
            <w:pPr>
              <w:spacing w:line="240" w:lineRule="auto"/>
              <w:ind w:firstLine="420"/>
              <w:jc w:val="center"/>
              <w:rPr>
                <w:rFonts w:ascii="仿宋_GB2312" w:eastAsia="仿宋_GB2312"/>
                <w:kern w:val="0"/>
              </w:rPr>
            </w:pPr>
          </w:p>
        </w:tc>
        <w:tc>
          <w:tcPr>
            <w:tcW w:w="1983" w:type="dxa"/>
            <w:vAlign w:val="center"/>
          </w:tcPr>
          <w:p w14:paraId="2099844F">
            <w:pPr>
              <w:spacing w:line="240" w:lineRule="auto"/>
              <w:ind w:firstLine="420"/>
              <w:jc w:val="center"/>
              <w:rPr>
                <w:rFonts w:ascii="仿宋_GB2312" w:eastAsia="仿宋_GB2312"/>
                <w:kern w:val="0"/>
              </w:rPr>
            </w:pPr>
          </w:p>
        </w:tc>
      </w:tr>
      <w:tr w14:paraId="68C94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c>
          <w:tcPr>
            <w:tcW w:w="1983" w:type="dxa"/>
            <w:vAlign w:val="center"/>
          </w:tcPr>
          <w:p w14:paraId="1484B5FA">
            <w:pPr>
              <w:spacing w:line="240" w:lineRule="auto"/>
              <w:ind w:firstLine="420"/>
              <w:jc w:val="center"/>
              <w:rPr>
                <w:rFonts w:ascii="仿宋_GB2312" w:eastAsia="仿宋_GB2312"/>
                <w:kern w:val="0"/>
              </w:rPr>
            </w:pPr>
          </w:p>
        </w:tc>
        <w:tc>
          <w:tcPr>
            <w:tcW w:w="1983" w:type="dxa"/>
            <w:vAlign w:val="center"/>
          </w:tcPr>
          <w:p w14:paraId="4047ED96">
            <w:pPr>
              <w:spacing w:line="240" w:lineRule="auto"/>
              <w:ind w:firstLine="420"/>
              <w:jc w:val="center"/>
              <w:rPr>
                <w:rFonts w:ascii="仿宋_GB2312" w:eastAsia="仿宋_GB2312"/>
                <w:kern w:val="0"/>
              </w:rPr>
            </w:pPr>
          </w:p>
        </w:tc>
      </w:tr>
      <w:tr w14:paraId="389B3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c>
          <w:tcPr>
            <w:tcW w:w="1983" w:type="dxa"/>
            <w:vAlign w:val="center"/>
          </w:tcPr>
          <w:p w14:paraId="6F48FCBD">
            <w:pPr>
              <w:spacing w:line="240" w:lineRule="auto"/>
              <w:ind w:firstLine="420"/>
              <w:jc w:val="center"/>
              <w:rPr>
                <w:rFonts w:ascii="仿宋_GB2312" w:eastAsia="仿宋_GB2312"/>
                <w:kern w:val="0"/>
              </w:rPr>
            </w:pPr>
          </w:p>
        </w:tc>
        <w:tc>
          <w:tcPr>
            <w:tcW w:w="1983" w:type="dxa"/>
            <w:vAlign w:val="center"/>
          </w:tcPr>
          <w:p w14:paraId="21760A68">
            <w:pPr>
              <w:spacing w:line="240" w:lineRule="auto"/>
              <w:ind w:firstLine="420"/>
              <w:jc w:val="center"/>
              <w:rPr>
                <w:rFonts w:ascii="仿宋_GB2312" w:eastAsia="仿宋_GB2312"/>
                <w:kern w:val="0"/>
              </w:rPr>
            </w:pPr>
          </w:p>
        </w:tc>
      </w:tr>
      <w:tr w14:paraId="61E4F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8.87</w:t>
            </w:r>
          </w:p>
        </w:tc>
        <w:tc>
          <w:tcPr>
            <w:tcW w:w="2039" w:type="dxa"/>
            <w:gridSpan w:val="2"/>
            <w:vAlign w:val="center"/>
          </w:tcPr>
          <w:p w14:paraId="672289A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8.1</w:t>
            </w:r>
          </w:p>
        </w:tc>
        <w:tc>
          <w:tcPr>
            <w:tcW w:w="1983" w:type="dxa"/>
            <w:gridSpan w:val="2"/>
            <w:vAlign w:val="center"/>
          </w:tcPr>
          <w:p w14:paraId="7985B4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7.43</w:t>
            </w:r>
          </w:p>
        </w:tc>
        <w:tc>
          <w:tcPr>
            <w:tcW w:w="1983" w:type="dxa"/>
            <w:vAlign w:val="center"/>
          </w:tcPr>
          <w:p w14:paraId="2843D53D">
            <w:pPr>
              <w:spacing w:line="240" w:lineRule="auto"/>
              <w:ind w:firstLine="420"/>
              <w:jc w:val="center"/>
              <w:rPr>
                <w:rFonts w:hint="eastAsia" w:ascii="仿宋_GB2312" w:eastAsia="仿宋_GB2312"/>
                <w:kern w:val="0"/>
                <w:lang w:val="en-US" w:eastAsia="zh-CN"/>
              </w:rPr>
            </w:pPr>
          </w:p>
        </w:tc>
        <w:tc>
          <w:tcPr>
            <w:tcW w:w="1983" w:type="dxa"/>
            <w:vAlign w:val="center"/>
          </w:tcPr>
          <w:p w14:paraId="04ED5513">
            <w:pPr>
              <w:spacing w:line="240" w:lineRule="auto"/>
              <w:ind w:firstLine="420"/>
              <w:jc w:val="center"/>
              <w:rPr>
                <w:rFonts w:hint="eastAsia" w:ascii="仿宋_GB2312" w:eastAsia="仿宋_GB2312"/>
                <w:kern w:val="0"/>
                <w:lang w:val="en-US" w:eastAsia="zh-CN"/>
              </w:rPr>
            </w:pPr>
          </w:p>
        </w:tc>
      </w:tr>
      <w:tr w14:paraId="6FAAF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380.39</w:t>
            </w:r>
          </w:p>
        </w:tc>
        <w:tc>
          <w:tcPr>
            <w:tcW w:w="2039" w:type="dxa"/>
            <w:gridSpan w:val="2"/>
            <w:vAlign w:val="center"/>
          </w:tcPr>
          <w:p w14:paraId="56A401C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102</w:t>
            </w:r>
          </w:p>
        </w:tc>
        <w:tc>
          <w:tcPr>
            <w:tcW w:w="1983" w:type="dxa"/>
            <w:gridSpan w:val="2"/>
            <w:vAlign w:val="center"/>
          </w:tcPr>
          <w:p w14:paraId="7E496EB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331.22</w:t>
            </w:r>
          </w:p>
        </w:tc>
        <w:tc>
          <w:tcPr>
            <w:tcW w:w="1983" w:type="dxa"/>
            <w:vAlign w:val="center"/>
          </w:tcPr>
          <w:p w14:paraId="41E31335">
            <w:pPr>
              <w:spacing w:line="240" w:lineRule="auto"/>
              <w:ind w:firstLine="420"/>
              <w:jc w:val="center"/>
              <w:rPr>
                <w:rFonts w:ascii="仿宋_GB2312" w:eastAsia="仿宋_GB2312"/>
                <w:kern w:val="0"/>
              </w:rPr>
            </w:pPr>
          </w:p>
        </w:tc>
        <w:tc>
          <w:tcPr>
            <w:tcW w:w="1983" w:type="dxa"/>
            <w:vAlign w:val="center"/>
          </w:tcPr>
          <w:p w14:paraId="72A678E5">
            <w:pPr>
              <w:spacing w:line="240" w:lineRule="auto"/>
              <w:ind w:firstLine="420"/>
              <w:jc w:val="center"/>
              <w:rPr>
                <w:rFonts w:ascii="仿宋_GB2312" w:eastAsia="仿宋_GB2312"/>
                <w:kern w:val="0"/>
              </w:rPr>
            </w:pPr>
          </w:p>
        </w:tc>
      </w:tr>
      <w:tr w14:paraId="735B3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c>
          <w:tcPr>
            <w:tcW w:w="1983" w:type="dxa"/>
            <w:vAlign w:val="center"/>
          </w:tcPr>
          <w:p w14:paraId="00008F7D">
            <w:pPr>
              <w:spacing w:line="240" w:lineRule="auto"/>
              <w:ind w:firstLine="420"/>
              <w:jc w:val="center"/>
              <w:rPr>
                <w:rFonts w:ascii="仿宋_GB2312" w:eastAsia="仿宋_GB2312"/>
                <w:kern w:val="0"/>
              </w:rPr>
            </w:pPr>
          </w:p>
        </w:tc>
        <w:tc>
          <w:tcPr>
            <w:tcW w:w="1983" w:type="dxa"/>
            <w:vAlign w:val="center"/>
          </w:tcPr>
          <w:p w14:paraId="7AEA0DE8">
            <w:pPr>
              <w:spacing w:line="240" w:lineRule="auto"/>
              <w:ind w:firstLine="420"/>
              <w:jc w:val="center"/>
              <w:rPr>
                <w:rFonts w:ascii="仿宋_GB2312" w:eastAsia="仿宋_GB2312"/>
                <w:kern w:val="0"/>
              </w:rPr>
            </w:pPr>
          </w:p>
        </w:tc>
      </w:tr>
      <w:tr w14:paraId="6900B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c>
          <w:tcPr>
            <w:tcW w:w="1983" w:type="dxa"/>
            <w:vAlign w:val="center"/>
          </w:tcPr>
          <w:p w14:paraId="2263F6CD">
            <w:pPr>
              <w:spacing w:line="240" w:lineRule="auto"/>
              <w:ind w:firstLine="420"/>
              <w:jc w:val="center"/>
              <w:rPr>
                <w:rFonts w:ascii="仿宋_GB2312" w:eastAsia="仿宋_GB2312"/>
                <w:kern w:val="0"/>
              </w:rPr>
            </w:pPr>
          </w:p>
        </w:tc>
        <w:tc>
          <w:tcPr>
            <w:tcW w:w="1983" w:type="dxa"/>
            <w:vAlign w:val="center"/>
          </w:tcPr>
          <w:p w14:paraId="1969046A">
            <w:pPr>
              <w:spacing w:line="240" w:lineRule="auto"/>
              <w:ind w:firstLine="420"/>
              <w:jc w:val="center"/>
              <w:rPr>
                <w:rFonts w:ascii="仿宋_GB2312" w:eastAsia="仿宋_GB2312"/>
                <w:kern w:val="0"/>
              </w:rPr>
            </w:pPr>
          </w:p>
        </w:tc>
      </w:tr>
      <w:tr w14:paraId="6FA8B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380.39</w:t>
            </w:r>
          </w:p>
        </w:tc>
        <w:tc>
          <w:tcPr>
            <w:tcW w:w="2039" w:type="dxa"/>
            <w:gridSpan w:val="2"/>
            <w:vAlign w:val="center"/>
          </w:tcPr>
          <w:p w14:paraId="18F75CD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102</w:t>
            </w:r>
          </w:p>
        </w:tc>
        <w:tc>
          <w:tcPr>
            <w:tcW w:w="1983" w:type="dxa"/>
            <w:gridSpan w:val="2"/>
            <w:vAlign w:val="center"/>
          </w:tcPr>
          <w:p w14:paraId="4D19413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331.22</w:t>
            </w:r>
          </w:p>
        </w:tc>
        <w:tc>
          <w:tcPr>
            <w:tcW w:w="1983" w:type="dxa"/>
            <w:vAlign w:val="center"/>
          </w:tcPr>
          <w:p w14:paraId="2E3015CA">
            <w:pPr>
              <w:spacing w:line="240" w:lineRule="auto"/>
              <w:ind w:firstLine="420"/>
              <w:jc w:val="center"/>
              <w:rPr>
                <w:rFonts w:ascii="仿宋_GB2312" w:eastAsia="仿宋_GB2312"/>
                <w:kern w:val="0"/>
                <w:lang w:eastAsia="zh-CN"/>
              </w:rPr>
            </w:pPr>
          </w:p>
        </w:tc>
        <w:tc>
          <w:tcPr>
            <w:tcW w:w="1983" w:type="dxa"/>
            <w:vAlign w:val="center"/>
          </w:tcPr>
          <w:p w14:paraId="25A87063">
            <w:pPr>
              <w:spacing w:line="240" w:lineRule="auto"/>
              <w:ind w:firstLine="420"/>
              <w:jc w:val="center"/>
              <w:rPr>
                <w:rFonts w:ascii="仿宋_GB2312" w:eastAsia="仿宋_GB2312"/>
                <w:kern w:val="0"/>
                <w:lang w:eastAsia="zh-CN"/>
              </w:rPr>
            </w:pPr>
          </w:p>
        </w:tc>
      </w:tr>
      <w:tr w14:paraId="70CB8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045030A">
            <w:pPr>
              <w:spacing w:line="240" w:lineRule="auto"/>
              <w:ind w:firstLine="420"/>
              <w:jc w:val="both"/>
              <w:rPr>
                <w:rFonts w:hint="eastAsia" w:ascii="仿宋_GB2312" w:eastAsia="仿宋_GB2312"/>
                <w:kern w:val="0"/>
                <w:lang w:eastAsia="zh-CN"/>
              </w:rPr>
            </w:pPr>
            <w:r>
              <w:rPr>
                <w:rFonts w:hint="eastAsia"/>
                <w:sz w:val="18"/>
                <w:szCs w:val="18"/>
                <w:lang w:eastAsia="zh-CN"/>
              </w:rPr>
              <w:t>公共安全感测评</w:t>
            </w:r>
          </w:p>
        </w:tc>
        <w:tc>
          <w:tcPr>
            <w:tcW w:w="2116" w:type="dxa"/>
            <w:gridSpan w:val="2"/>
            <w:vAlign w:val="center"/>
          </w:tcPr>
          <w:p w14:paraId="1E90449C">
            <w:pPr>
              <w:spacing w:line="240" w:lineRule="auto"/>
              <w:ind w:firstLine="420"/>
              <w:jc w:val="center"/>
              <w:rPr>
                <w:rFonts w:ascii="仿宋_GB2312" w:eastAsia="仿宋_GB2312"/>
                <w:kern w:val="0"/>
                <w:lang w:eastAsia="zh-CN"/>
              </w:rPr>
            </w:pPr>
          </w:p>
        </w:tc>
        <w:tc>
          <w:tcPr>
            <w:tcW w:w="2039" w:type="dxa"/>
            <w:gridSpan w:val="2"/>
            <w:vAlign w:val="center"/>
          </w:tcPr>
          <w:p w14:paraId="1E832C55">
            <w:pPr>
              <w:spacing w:line="240" w:lineRule="auto"/>
              <w:ind w:firstLine="420"/>
              <w:jc w:val="center"/>
              <w:rPr>
                <w:rFonts w:hint="default" w:ascii="仿宋_GB2312" w:eastAsia="仿宋_GB2312"/>
                <w:kern w:val="0"/>
                <w:lang w:val="en-US" w:eastAsia="zh-CN"/>
              </w:rPr>
            </w:pPr>
          </w:p>
        </w:tc>
        <w:tc>
          <w:tcPr>
            <w:tcW w:w="1983" w:type="dxa"/>
            <w:gridSpan w:val="2"/>
            <w:vAlign w:val="center"/>
          </w:tcPr>
          <w:p w14:paraId="792E19B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51.83</w:t>
            </w:r>
          </w:p>
        </w:tc>
        <w:tc>
          <w:tcPr>
            <w:tcW w:w="1983" w:type="dxa"/>
            <w:vAlign w:val="center"/>
          </w:tcPr>
          <w:p w14:paraId="07C92948">
            <w:pPr>
              <w:spacing w:line="240" w:lineRule="auto"/>
              <w:ind w:firstLine="420"/>
              <w:jc w:val="center"/>
              <w:rPr>
                <w:rFonts w:ascii="仿宋_GB2312" w:eastAsia="仿宋_GB2312"/>
                <w:kern w:val="0"/>
                <w:lang w:eastAsia="zh-CN"/>
              </w:rPr>
            </w:pPr>
          </w:p>
        </w:tc>
        <w:tc>
          <w:tcPr>
            <w:tcW w:w="1983" w:type="dxa"/>
            <w:vAlign w:val="center"/>
          </w:tcPr>
          <w:p w14:paraId="28B8CCC3">
            <w:pPr>
              <w:spacing w:line="240" w:lineRule="auto"/>
              <w:ind w:firstLine="420"/>
              <w:jc w:val="center"/>
              <w:rPr>
                <w:rFonts w:ascii="仿宋_GB2312" w:eastAsia="仿宋_GB2312"/>
                <w:kern w:val="0"/>
                <w:lang w:eastAsia="zh-CN"/>
              </w:rPr>
            </w:pPr>
          </w:p>
        </w:tc>
      </w:tr>
      <w:tr w14:paraId="756AD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B555381">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维稳协调</w:t>
            </w:r>
          </w:p>
        </w:tc>
        <w:tc>
          <w:tcPr>
            <w:tcW w:w="2116" w:type="dxa"/>
            <w:gridSpan w:val="2"/>
            <w:vAlign w:val="center"/>
          </w:tcPr>
          <w:p w14:paraId="67B6043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250.67</w:t>
            </w:r>
          </w:p>
        </w:tc>
        <w:tc>
          <w:tcPr>
            <w:tcW w:w="2039" w:type="dxa"/>
            <w:gridSpan w:val="2"/>
            <w:vAlign w:val="center"/>
          </w:tcPr>
          <w:p w14:paraId="1294AB3E">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50</w:t>
            </w:r>
          </w:p>
        </w:tc>
        <w:tc>
          <w:tcPr>
            <w:tcW w:w="1983" w:type="dxa"/>
            <w:gridSpan w:val="2"/>
            <w:vAlign w:val="center"/>
          </w:tcPr>
          <w:p w14:paraId="711754C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165.7</w:t>
            </w:r>
          </w:p>
        </w:tc>
        <w:tc>
          <w:tcPr>
            <w:tcW w:w="1983" w:type="dxa"/>
            <w:vAlign w:val="center"/>
          </w:tcPr>
          <w:p w14:paraId="59E34442">
            <w:pPr>
              <w:spacing w:line="240" w:lineRule="auto"/>
              <w:ind w:firstLine="420"/>
              <w:jc w:val="center"/>
              <w:rPr>
                <w:rFonts w:ascii="仿宋_GB2312" w:eastAsia="仿宋_GB2312"/>
                <w:kern w:val="0"/>
                <w:lang w:eastAsia="zh-CN"/>
              </w:rPr>
            </w:pPr>
          </w:p>
        </w:tc>
        <w:tc>
          <w:tcPr>
            <w:tcW w:w="1983" w:type="dxa"/>
            <w:vAlign w:val="center"/>
          </w:tcPr>
          <w:p w14:paraId="68E156DD">
            <w:pPr>
              <w:spacing w:line="240" w:lineRule="auto"/>
              <w:ind w:firstLine="420"/>
              <w:jc w:val="center"/>
              <w:rPr>
                <w:rFonts w:ascii="仿宋_GB2312" w:eastAsia="仿宋_GB2312"/>
                <w:kern w:val="0"/>
                <w:lang w:eastAsia="zh-CN"/>
              </w:rPr>
            </w:pPr>
          </w:p>
        </w:tc>
      </w:tr>
      <w:tr w14:paraId="2CB13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8ACDF59">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扫黑除恶</w:t>
            </w:r>
          </w:p>
        </w:tc>
        <w:tc>
          <w:tcPr>
            <w:tcW w:w="2116" w:type="dxa"/>
            <w:gridSpan w:val="2"/>
            <w:vAlign w:val="center"/>
          </w:tcPr>
          <w:p w14:paraId="13DDBCB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105</w:t>
            </w:r>
          </w:p>
        </w:tc>
        <w:tc>
          <w:tcPr>
            <w:tcW w:w="2039" w:type="dxa"/>
            <w:gridSpan w:val="2"/>
            <w:vAlign w:val="center"/>
          </w:tcPr>
          <w:p w14:paraId="348CF81A">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25</w:t>
            </w:r>
          </w:p>
        </w:tc>
        <w:tc>
          <w:tcPr>
            <w:tcW w:w="1983" w:type="dxa"/>
            <w:gridSpan w:val="2"/>
            <w:vAlign w:val="center"/>
          </w:tcPr>
          <w:p w14:paraId="4AEEE19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15.44</w:t>
            </w:r>
          </w:p>
        </w:tc>
        <w:tc>
          <w:tcPr>
            <w:tcW w:w="1983" w:type="dxa"/>
            <w:vAlign w:val="center"/>
          </w:tcPr>
          <w:p w14:paraId="06A88A5C">
            <w:pPr>
              <w:spacing w:line="240" w:lineRule="auto"/>
              <w:ind w:firstLine="420"/>
              <w:jc w:val="center"/>
              <w:rPr>
                <w:rFonts w:ascii="仿宋_GB2312" w:eastAsia="仿宋_GB2312"/>
                <w:kern w:val="0"/>
                <w:lang w:eastAsia="zh-CN"/>
              </w:rPr>
            </w:pPr>
          </w:p>
        </w:tc>
        <w:tc>
          <w:tcPr>
            <w:tcW w:w="1983" w:type="dxa"/>
            <w:vAlign w:val="center"/>
          </w:tcPr>
          <w:p w14:paraId="2003E6F6">
            <w:pPr>
              <w:spacing w:line="240" w:lineRule="auto"/>
              <w:ind w:firstLine="420"/>
              <w:jc w:val="center"/>
              <w:rPr>
                <w:rFonts w:ascii="仿宋_GB2312" w:eastAsia="仿宋_GB2312"/>
                <w:kern w:val="0"/>
                <w:lang w:eastAsia="zh-CN"/>
              </w:rPr>
            </w:pPr>
          </w:p>
        </w:tc>
      </w:tr>
      <w:tr w14:paraId="16443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1AD46A17">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精神病患者监护人保险费</w:t>
            </w:r>
          </w:p>
        </w:tc>
        <w:tc>
          <w:tcPr>
            <w:tcW w:w="2116" w:type="dxa"/>
            <w:gridSpan w:val="2"/>
            <w:vAlign w:val="center"/>
          </w:tcPr>
          <w:p w14:paraId="0E276B9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24.72</w:t>
            </w:r>
          </w:p>
        </w:tc>
        <w:tc>
          <w:tcPr>
            <w:tcW w:w="2039" w:type="dxa"/>
            <w:gridSpan w:val="2"/>
            <w:vAlign w:val="center"/>
          </w:tcPr>
          <w:p w14:paraId="0F348B20">
            <w:pPr>
              <w:spacing w:line="240" w:lineRule="auto"/>
              <w:ind w:firstLine="420"/>
              <w:jc w:val="center"/>
              <w:rPr>
                <w:rFonts w:ascii="仿宋_GB2312" w:eastAsia="仿宋_GB2312"/>
                <w:kern w:val="0"/>
                <w:lang w:eastAsia="zh-CN"/>
              </w:rPr>
            </w:pPr>
          </w:p>
        </w:tc>
        <w:tc>
          <w:tcPr>
            <w:tcW w:w="1983" w:type="dxa"/>
            <w:gridSpan w:val="2"/>
            <w:vAlign w:val="center"/>
          </w:tcPr>
          <w:p w14:paraId="7E3BB15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w:t>
            </w:r>
          </w:p>
        </w:tc>
        <w:tc>
          <w:tcPr>
            <w:tcW w:w="1983" w:type="dxa"/>
            <w:vAlign w:val="center"/>
          </w:tcPr>
          <w:p w14:paraId="4DDA590A">
            <w:pPr>
              <w:spacing w:line="240" w:lineRule="auto"/>
              <w:ind w:firstLine="420"/>
              <w:jc w:val="center"/>
              <w:rPr>
                <w:rFonts w:ascii="仿宋_GB2312" w:eastAsia="仿宋_GB2312"/>
                <w:kern w:val="0"/>
                <w:lang w:eastAsia="zh-CN"/>
              </w:rPr>
            </w:pPr>
          </w:p>
        </w:tc>
        <w:tc>
          <w:tcPr>
            <w:tcW w:w="1983" w:type="dxa"/>
            <w:vAlign w:val="center"/>
          </w:tcPr>
          <w:p w14:paraId="08920A78">
            <w:pPr>
              <w:spacing w:line="240" w:lineRule="auto"/>
              <w:ind w:firstLine="420"/>
              <w:jc w:val="center"/>
              <w:rPr>
                <w:rFonts w:ascii="仿宋_GB2312" w:eastAsia="仿宋_GB2312"/>
                <w:kern w:val="0"/>
                <w:lang w:eastAsia="zh-CN"/>
              </w:rPr>
            </w:pPr>
          </w:p>
        </w:tc>
      </w:tr>
      <w:tr w14:paraId="514DB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BDF6EA1">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政法委专项</w:t>
            </w:r>
          </w:p>
        </w:tc>
        <w:tc>
          <w:tcPr>
            <w:tcW w:w="2116" w:type="dxa"/>
            <w:gridSpan w:val="2"/>
            <w:vAlign w:val="center"/>
          </w:tcPr>
          <w:p w14:paraId="08305995">
            <w:pPr>
              <w:spacing w:line="240" w:lineRule="auto"/>
              <w:ind w:firstLine="420"/>
              <w:jc w:val="center"/>
              <w:rPr>
                <w:rFonts w:ascii="仿宋_GB2312" w:eastAsia="仿宋_GB2312"/>
                <w:kern w:val="0"/>
                <w:lang w:eastAsia="zh-CN"/>
              </w:rPr>
            </w:pPr>
          </w:p>
        </w:tc>
        <w:tc>
          <w:tcPr>
            <w:tcW w:w="2039" w:type="dxa"/>
            <w:gridSpan w:val="2"/>
            <w:vAlign w:val="center"/>
          </w:tcPr>
          <w:p w14:paraId="5FD8E52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w:t>
            </w:r>
          </w:p>
        </w:tc>
        <w:tc>
          <w:tcPr>
            <w:tcW w:w="1983" w:type="dxa"/>
            <w:gridSpan w:val="2"/>
            <w:vAlign w:val="center"/>
          </w:tcPr>
          <w:p w14:paraId="5373181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w:t>
            </w:r>
          </w:p>
        </w:tc>
        <w:tc>
          <w:tcPr>
            <w:tcW w:w="1983" w:type="dxa"/>
            <w:vAlign w:val="center"/>
          </w:tcPr>
          <w:p w14:paraId="30CAE6DE">
            <w:pPr>
              <w:spacing w:line="240" w:lineRule="auto"/>
              <w:ind w:firstLine="420"/>
              <w:jc w:val="center"/>
              <w:rPr>
                <w:rFonts w:ascii="仿宋_GB2312" w:eastAsia="仿宋_GB2312"/>
                <w:kern w:val="0"/>
                <w:lang w:eastAsia="zh-CN"/>
              </w:rPr>
            </w:pPr>
          </w:p>
        </w:tc>
        <w:tc>
          <w:tcPr>
            <w:tcW w:w="1983" w:type="dxa"/>
            <w:vAlign w:val="center"/>
          </w:tcPr>
          <w:p w14:paraId="206A9182">
            <w:pPr>
              <w:spacing w:line="240" w:lineRule="auto"/>
              <w:ind w:firstLine="420"/>
              <w:jc w:val="center"/>
              <w:rPr>
                <w:rFonts w:ascii="仿宋_GB2312" w:eastAsia="仿宋_GB2312"/>
                <w:kern w:val="0"/>
                <w:lang w:eastAsia="zh-CN"/>
              </w:rPr>
            </w:pPr>
          </w:p>
        </w:tc>
      </w:tr>
      <w:tr w14:paraId="7487F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922FE64">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司法救助</w:t>
            </w:r>
          </w:p>
        </w:tc>
        <w:tc>
          <w:tcPr>
            <w:tcW w:w="2116" w:type="dxa"/>
            <w:gridSpan w:val="2"/>
            <w:vAlign w:val="center"/>
          </w:tcPr>
          <w:p w14:paraId="1DFFA66D">
            <w:pPr>
              <w:spacing w:line="240" w:lineRule="auto"/>
              <w:ind w:firstLine="420"/>
              <w:jc w:val="center"/>
              <w:rPr>
                <w:rFonts w:ascii="仿宋_GB2312" w:eastAsia="仿宋_GB2312"/>
                <w:kern w:val="0"/>
                <w:lang w:eastAsia="zh-CN"/>
              </w:rPr>
            </w:pPr>
          </w:p>
        </w:tc>
        <w:tc>
          <w:tcPr>
            <w:tcW w:w="2039" w:type="dxa"/>
            <w:gridSpan w:val="2"/>
            <w:vAlign w:val="center"/>
          </w:tcPr>
          <w:p w14:paraId="0324A453">
            <w:pPr>
              <w:spacing w:line="240" w:lineRule="auto"/>
              <w:ind w:firstLine="420"/>
              <w:jc w:val="center"/>
              <w:rPr>
                <w:rFonts w:hint="default" w:ascii="仿宋_GB2312" w:eastAsia="仿宋_GB2312"/>
                <w:kern w:val="0"/>
                <w:lang w:val="en-US" w:eastAsia="zh-CN"/>
              </w:rPr>
            </w:pPr>
          </w:p>
        </w:tc>
        <w:tc>
          <w:tcPr>
            <w:tcW w:w="1983" w:type="dxa"/>
            <w:gridSpan w:val="2"/>
            <w:vAlign w:val="center"/>
          </w:tcPr>
          <w:p w14:paraId="49BBB1F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42.3</w:t>
            </w:r>
          </w:p>
        </w:tc>
        <w:tc>
          <w:tcPr>
            <w:tcW w:w="1983" w:type="dxa"/>
            <w:vAlign w:val="center"/>
          </w:tcPr>
          <w:p w14:paraId="647F260F">
            <w:pPr>
              <w:spacing w:line="240" w:lineRule="auto"/>
              <w:ind w:firstLine="420"/>
              <w:jc w:val="center"/>
              <w:rPr>
                <w:rFonts w:ascii="仿宋_GB2312" w:eastAsia="仿宋_GB2312"/>
                <w:kern w:val="0"/>
                <w:lang w:eastAsia="zh-CN"/>
              </w:rPr>
            </w:pPr>
          </w:p>
        </w:tc>
        <w:tc>
          <w:tcPr>
            <w:tcW w:w="1983" w:type="dxa"/>
            <w:vAlign w:val="center"/>
          </w:tcPr>
          <w:p w14:paraId="1D8AC93E">
            <w:pPr>
              <w:spacing w:line="240" w:lineRule="auto"/>
              <w:ind w:firstLine="420"/>
              <w:jc w:val="center"/>
              <w:rPr>
                <w:rFonts w:ascii="仿宋_GB2312" w:eastAsia="仿宋_GB2312"/>
                <w:kern w:val="0"/>
                <w:lang w:eastAsia="zh-CN"/>
              </w:rPr>
            </w:pPr>
          </w:p>
        </w:tc>
      </w:tr>
      <w:tr w14:paraId="5C0D3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9413D75">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离退休费</w:t>
            </w:r>
          </w:p>
        </w:tc>
        <w:tc>
          <w:tcPr>
            <w:tcW w:w="2116" w:type="dxa"/>
            <w:gridSpan w:val="2"/>
            <w:vAlign w:val="center"/>
          </w:tcPr>
          <w:p w14:paraId="33832463">
            <w:pPr>
              <w:spacing w:line="240" w:lineRule="auto"/>
              <w:ind w:firstLine="420"/>
              <w:jc w:val="center"/>
              <w:rPr>
                <w:rFonts w:ascii="仿宋_GB2312" w:eastAsia="仿宋_GB2312"/>
                <w:kern w:val="0"/>
                <w:lang w:eastAsia="zh-CN"/>
              </w:rPr>
            </w:pPr>
          </w:p>
        </w:tc>
        <w:tc>
          <w:tcPr>
            <w:tcW w:w="2039" w:type="dxa"/>
            <w:gridSpan w:val="2"/>
            <w:vAlign w:val="center"/>
          </w:tcPr>
          <w:p w14:paraId="4208C247">
            <w:pPr>
              <w:spacing w:line="240" w:lineRule="auto"/>
              <w:ind w:firstLine="420"/>
              <w:jc w:val="center"/>
              <w:rPr>
                <w:rFonts w:ascii="仿宋_GB2312" w:eastAsia="仿宋_GB2312"/>
                <w:kern w:val="0"/>
                <w:lang w:eastAsia="zh-CN"/>
              </w:rPr>
            </w:pPr>
          </w:p>
        </w:tc>
        <w:tc>
          <w:tcPr>
            <w:tcW w:w="1983" w:type="dxa"/>
            <w:gridSpan w:val="2"/>
            <w:vAlign w:val="center"/>
          </w:tcPr>
          <w:p w14:paraId="03B993D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3.95</w:t>
            </w:r>
          </w:p>
        </w:tc>
        <w:tc>
          <w:tcPr>
            <w:tcW w:w="1983" w:type="dxa"/>
            <w:vAlign w:val="center"/>
          </w:tcPr>
          <w:p w14:paraId="6ACFF84A">
            <w:pPr>
              <w:spacing w:line="240" w:lineRule="auto"/>
              <w:ind w:firstLine="420"/>
              <w:jc w:val="center"/>
              <w:rPr>
                <w:rFonts w:ascii="仿宋_GB2312" w:eastAsia="仿宋_GB2312"/>
                <w:kern w:val="0"/>
                <w:lang w:eastAsia="zh-CN"/>
              </w:rPr>
            </w:pPr>
          </w:p>
        </w:tc>
        <w:tc>
          <w:tcPr>
            <w:tcW w:w="1983" w:type="dxa"/>
            <w:vAlign w:val="center"/>
          </w:tcPr>
          <w:p w14:paraId="470FF370">
            <w:pPr>
              <w:spacing w:line="240" w:lineRule="auto"/>
              <w:ind w:firstLine="420"/>
              <w:jc w:val="center"/>
              <w:rPr>
                <w:rFonts w:ascii="仿宋_GB2312" w:eastAsia="仿宋_GB2312"/>
                <w:kern w:val="0"/>
                <w:lang w:eastAsia="zh-CN"/>
              </w:rPr>
            </w:pPr>
          </w:p>
        </w:tc>
      </w:tr>
      <w:tr w14:paraId="557E9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20.93</w:t>
            </w:r>
          </w:p>
        </w:tc>
        <w:tc>
          <w:tcPr>
            <w:tcW w:w="2039" w:type="dxa"/>
            <w:gridSpan w:val="2"/>
            <w:vAlign w:val="center"/>
          </w:tcPr>
          <w:p w14:paraId="050E07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22.68</w:t>
            </w:r>
          </w:p>
        </w:tc>
        <w:tc>
          <w:tcPr>
            <w:tcW w:w="1983" w:type="dxa"/>
            <w:gridSpan w:val="2"/>
            <w:vAlign w:val="center"/>
          </w:tcPr>
          <w:p w14:paraId="735730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11.51</w:t>
            </w:r>
          </w:p>
        </w:tc>
        <w:tc>
          <w:tcPr>
            <w:tcW w:w="1983" w:type="dxa"/>
            <w:vAlign w:val="center"/>
          </w:tcPr>
          <w:p w14:paraId="14C92D12">
            <w:pPr>
              <w:spacing w:line="240" w:lineRule="auto"/>
              <w:ind w:firstLine="420"/>
              <w:jc w:val="center"/>
              <w:rPr>
                <w:rFonts w:ascii="仿宋_GB2312" w:eastAsia="仿宋_GB2312"/>
                <w:kern w:val="0"/>
              </w:rPr>
            </w:pPr>
          </w:p>
        </w:tc>
        <w:tc>
          <w:tcPr>
            <w:tcW w:w="1983" w:type="dxa"/>
            <w:vAlign w:val="center"/>
          </w:tcPr>
          <w:p w14:paraId="7CD61524">
            <w:pPr>
              <w:spacing w:line="240" w:lineRule="auto"/>
              <w:ind w:firstLine="420"/>
              <w:jc w:val="center"/>
              <w:rPr>
                <w:rFonts w:ascii="仿宋_GB2312" w:eastAsia="仿宋_GB2312"/>
                <w:kern w:val="0"/>
              </w:rPr>
            </w:pPr>
          </w:p>
        </w:tc>
      </w:tr>
      <w:tr w14:paraId="023FD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8.74</w:t>
            </w:r>
          </w:p>
        </w:tc>
        <w:tc>
          <w:tcPr>
            <w:tcW w:w="2039" w:type="dxa"/>
            <w:gridSpan w:val="2"/>
            <w:vAlign w:val="center"/>
          </w:tcPr>
          <w:p w14:paraId="7BB02F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3.51</w:t>
            </w:r>
          </w:p>
        </w:tc>
        <w:tc>
          <w:tcPr>
            <w:tcW w:w="1983" w:type="dxa"/>
            <w:gridSpan w:val="2"/>
            <w:vAlign w:val="center"/>
          </w:tcPr>
          <w:p w14:paraId="087A354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2.01</w:t>
            </w:r>
          </w:p>
        </w:tc>
        <w:tc>
          <w:tcPr>
            <w:tcW w:w="1983" w:type="dxa"/>
            <w:vAlign w:val="center"/>
          </w:tcPr>
          <w:p w14:paraId="1E2359BB">
            <w:pPr>
              <w:spacing w:line="240" w:lineRule="auto"/>
              <w:ind w:firstLine="420"/>
              <w:jc w:val="center"/>
              <w:rPr>
                <w:rFonts w:hint="eastAsia" w:ascii="仿宋_GB2312" w:eastAsia="仿宋_GB2312"/>
                <w:kern w:val="0"/>
                <w:lang w:val="en-US" w:eastAsia="zh-CN"/>
              </w:rPr>
            </w:pPr>
          </w:p>
        </w:tc>
        <w:tc>
          <w:tcPr>
            <w:tcW w:w="1983" w:type="dxa"/>
            <w:vAlign w:val="center"/>
          </w:tcPr>
          <w:p w14:paraId="1E35D396">
            <w:pPr>
              <w:spacing w:line="240" w:lineRule="auto"/>
              <w:ind w:firstLine="420"/>
              <w:jc w:val="center"/>
              <w:rPr>
                <w:rFonts w:hint="eastAsia" w:ascii="仿宋_GB2312" w:eastAsia="仿宋_GB2312"/>
                <w:kern w:val="0"/>
                <w:lang w:val="en-US" w:eastAsia="zh-CN"/>
              </w:rPr>
            </w:pPr>
          </w:p>
        </w:tc>
      </w:tr>
      <w:tr w14:paraId="2E67C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1.28</w:t>
            </w:r>
          </w:p>
        </w:tc>
        <w:tc>
          <w:tcPr>
            <w:tcW w:w="2039" w:type="dxa"/>
            <w:gridSpan w:val="2"/>
            <w:vAlign w:val="center"/>
          </w:tcPr>
          <w:p w14:paraId="31E21F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11.07</w:t>
            </w:r>
          </w:p>
        </w:tc>
        <w:tc>
          <w:tcPr>
            <w:tcW w:w="1983" w:type="dxa"/>
            <w:gridSpan w:val="2"/>
            <w:vAlign w:val="center"/>
          </w:tcPr>
          <w:p w14:paraId="4FD7453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7.45</w:t>
            </w:r>
          </w:p>
        </w:tc>
        <w:tc>
          <w:tcPr>
            <w:tcW w:w="1983" w:type="dxa"/>
            <w:vAlign w:val="center"/>
          </w:tcPr>
          <w:p w14:paraId="5DC80456">
            <w:pPr>
              <w:spacing w:line="240" w:lineRule="auto"/>
              <w:ind w:firstLine="420"/>
              <w:jc w:val="center"/>
              <w:rPr>
                <w:rFonts w:hint="eastAsia" w:ascii="仿宋_GB2312" w:eastAsia="仿宋_GB2312"/>
                <w:kern w:val="0"/>
                <w:lang w:val="en-US" w:eastAsia="zh-CN"/>
              </w:rPr>
            </w:pPr>
          </w:p>
        </w:tc>
        <w:tc>
          <w:tcPr>
            <w:tcW w:w="1983" w:type="dxa"/>
            <w:vAlign w:val="center"/>
          </w:tcPr>
          <w:p w14:paraId="4A118097">
            <w:pPr>
              <w:spacing w:line="240" w:lineRule="auto"/>
              <w:ind w:firstLine="420"/>
              <w:jc w:val="center"/>
              <w:rPr>
                <w:rFonts w:hint="eastAsia" w:ascii="仿宋_GB2312" w:eastAsia="仿宋_GB2312"/>
                <w:kern w:val="0"/>
                <w:lang w:val="en-US" w:eastAsia="zh-CN"/>
              </w:rPr>
            </w:pPr>
          </w:p>
        </w:tc>
      </w:tr>
      <w:tr w14:paraId="50F84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10.91</w:t>
            </w:r>
          </w:p>
        </w:tc>
        <w:tc>
          <w:tcPr>
            <w:tcW w:w="2039" w:type="dxa"/>
            <w:gridSpan w:val="2"/>
            <w:vAlign w:val="center"/>
          </w:tcPr>
          <w:p w14:paraId="467174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8.1</w:t>
            </w:r>
          </w:p>
        </w:tc>
        <w:tc>
          <w:tcPr>
            <w:tcW w:w="1983" w:type="dxa"/>
            <w:gridSpan w:val="2"/>
            <w:vAlign w:val="center"/>
          </w:tcPr>
          <w:p w14:paraId="550E4F9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2.05</w:t>
            </w:r>
          </w:p>
        </w:tc>
        <w:tc>
          <w:tcPr>
            <w:tcW w:w="1983" w:type="dxa"/>
            <w:vAlign w:val="center"/>
          </w:tcPr>
          <w:p w14:paraId="671DA075">
            <w:pPr>
              <w:spacing w:line="240" w:lineRule="auto"/>
              <w:ind w:firstLine="420"/>
              <w:jc w:val="center"/>
              <w:rPr>
                <w:rFonts w:hint="eastAsia" w:ascii="仿宋_GB2312" w:eastAsia="仿宋_GB2312"/>
                <w:kern w:val="0"/>
                <w:lang w:val="en-US" w:eastAsia="zh-CN"/>
              </w:rPr>
            </w:pPr>
          </w:p>
        </w:tc>
        <w:tc>
          <w:tcPr>
            <w:tcW w:w="1983" w:type="dxa"/>
            <w:vAlign w:val="center"/>
          </w:tcPr>
          <w:p w14:paraId="089B4E1B">
            <w:pPr>
              <w:spacing w:line="240" w:lineRule="auto"/>
              <w:ind w:firstLine="420"/>
              <w:jc w:val="center"/>
              <w:rPr>
                <w:rFonts w:hint="eastAsia" w:ascii="仿宋_GB2312" w:eastAsia="仿宋_GB2312"/>
                <w:kern w:val="0"/>
                <w:lang w:val="en-US" w:eastAsia="zh-CN"/>
              </w:rPr>
            </w:pPr>
          </w:p>
        </w:tc>
      </w:tr>
      <w:tr w14:paraId="68982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ascii="仿宋_GB2312" w:eastAsia="仿宋_GB2312"/>
                <w:kern w:val="0"/>
              </w:rPr>
            </w:pPr>
          </w:p>
        </w:tc>
        <w:tc>
          <w:tcPr>
            <w:tcW w:w="2039" w:type="dxa"/>
            <w:gridSpan w:val="2"/>
            <w:vAlign w:val="center"/>
          </w:tcPr>
          <w:p w14:paraId="18AD18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28</w:t>
            </w:r>
          </w:p>
        </w:tc>
        <w:tc>
          <w:tcPr>
            <w:tcW w:w="1983" w:type="dxa"/>
            <w:gridSpan w:val="2"/>
            <w:vAlign w:val="center"/>
          </w:tcPr>
          <w:p w14:paraId="4363E7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45.83</w:t>
            </w:r>
          </w:p>
        </w:tc>
        <w:tc>
          <w:tcPr>
            <w:tcW w:w="1983" w:type="dxa"/>
            <w:vAlign w:val="center"/>
          </w:tcPr>
          <w:p w14:paraId="647F0A3D">
            <w:pPr>
              <w:spacing w:line="240" w:lineRule="auto"/>
              <w:ind w:firstLine="420"/>
              <w:jc w:val="center"/>
              <w:rPr>
                <w:rFonts w:hint="eastAsia" w:ascii="仿宋_GB2312" w:eastAsia="仿宋_GB2312"/>
                <w:kern w:val="0"/>
                <w:lang w:val="en-US" w:eastAsia="zh-CN"/>
              </w:rPr>
            </w:pPr>
          </w:p>
        </w:tc>
        <w:tc>
          <w:tcPr>
            <w:tcW w:w="1983" w:type="dxa"/>
            <w:vAlign w:val="center"/>
          </w:tcPr>
          <w:p w14:paraId="4DF119C3">
            <w:pPr>
              <w:spacing w:line="240" w:lineRule="auto"/>
              <w:ind w:firstLine="420"/>
              <w:jc w:val="center"/>
              <w:rPr>
                <w:rFonts w:hint="eastAsia" w:ascii="仿宋_GB2312" w:eastAsia="仿宋_GB2312"/>
                <w:kern w:val="0"/>
                <w:lang w:val="en-US" w:eastAsia="zh-CN"/>
              </w:rPr>
            </w:pPr>
          </w:p>
        </w:tc>
      </w:tr>
      <w:tr w14:paraId="32AE8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359.63</w:t>
            </w:r>
          </w:p>
        </w:tc>
        <w:tc>
          <w:tcPr>
            <w:tcW w:w="1983" w:type="dxa"/>
            <w:gridSpan w:val="2"/>
            <w:vAlign w:val="center"/>
          </w:tcPr>
          <w:p w14:paraId="5A7B693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375.66</w:t>
            </w:r>
          </w:p>
        </w:tc>
        <w:tc>
          <w:tcPr>
            <w:tcW w:w="1983" w:type="dxa"/>
            <w:vAlign w:val="center"/>
          </w:tcPr>
          <w:p w14:paraId="4C826896">
            <w:pPr>
              <w:spacing w:line="240" w:lineRule="auto"/>
              <w:ind w:firstLine="420"/>
              <w:jc w:val="center"/>
              <w:rPr>
                <w:rFonts w:hint="eastAsia" w:ascii="仿宋_GB2312" w:eastAsia="仿宋_GB2312"/>
                <w:kern w:val="0"/>
                <w:lang w:val="en-US" w:eastAsia="zh-CN"/>
              </w:rPr>
            </w:pPr>
          </w:p>
        </w:tc>
        <w:tc>
          <w:tcPr>
            <w:tcW w:w="1983" w:type="dxa"/>
            <w:vAlign w:val="center"/>
          </w:tcPr>
          <w:p w14:paraId="2C6CD4D7">
            <w:pPr>
              <w:spacing w:line="240" w:lineRule="auto"/>
              <w:ind w:firstLine="420"/>
              <w:jc w:val="center"/>
              <w:rPr>
                <w:rFonts w:hint="eastAsia" w:ascii="仿宋_GB2312" w:eastAsia="仿宋_GB2312"/>
                <w:kern w:val="0"/>
                <w:lang w:val="en-US" w:eastAsia="zh-CN"/>
              </w:rPr>
            </w:pPr>
          </w:p>
        </w:tc>
      </w:tr>
      <w:tr w14:paraId="2ED7C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c>
          <w:tcPr>
            <w:tcW w:w="1983" w:type="dxa"/>
            <w:vAlign w:val="center"/>
          </w:tcPr>
          <w:p w14:paraId="28E282DD">
            <w:pPr>
              <w:spacing w:line="240" w:lineRule="auto"/>
              <w:jc w:val="center"/>
              <w:rPr>
                <w:rFonts w:hint="eastAsia" w:ascii="仿宋_GB2312" w:hAnsi="宋体" w:eastAsia="仿宋_GB2312" w:cs="宋体"/>
                <w:kern w:val="0"/>
                <w:lang w:eastAsia="zh-CN"/>
              </w:rPr>
            </w:pPr>
          </w:p>
        </w:tc>
        <w:tc>
          <w:tcPr>
            <w:tcW w:w="1983" w:type="dxa"/>
            <w:vAlign w:val="center"/>
          </w:tcPr>
          <w:p w14:paraId="3F1DBE91">
            <w:pPr>
              <w:spacing w:line="240" w:lineRule="auto"/>
              <w:jc w:val="center"/>
              <w:rPr>
                <w:rFonts w:hint="eastAsia" w:ascii="仿宋_GB2312" w:hAnsi="宋体" w:eastAsia="仿宋_GB2312" w:cs="宋体"/>
                <w:kern w:val="0"/>
                <w:lang w:eastAsia="zh-CN"/>
              </w:rPr>
            </w:pPr>
          </w:p>
        </w:tc>
      </w:tr>
      <w:tr w14:paraId="74831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无</w:t>
            </w: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983" w:type="dxa"/>
            <w:vAlign w:val="center"/>
          </w:tcPr>
          <w:p w14:paraId="0C15E21E">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983" w:type="dxa"/>
            <w:vAlign w:val="center"/>
          </w:tcPr>
          <w:p w14:paraId="5F83E0A6">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5F694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公务接待一般在食堂就餐，节省了接待费。</w:t>
            </w:r>
          </w:p>
        </w:tc>
        <w:tc>
          <w:tcPr>
            <w:tcW w:w="1983" w:type="dxa"/>
            <w:vAlign w:val="center"/>
          </w:tcPr>
          <w:p w14:paraId="3481F01C">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983" w:type="dxa"/>
            <w:vAlign w:val="center"/>
          </w:tcPr>
          <w:p w14:paraId="1EF7A6B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 xml:space="preserve">胡辉 </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2023.6.16</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13787995938</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欧明目</w:t>
      </w:r>
    </w:p>
    <w:p w14:paraId="10E75E42">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汨罗市政法委</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461.63</w:t>
            </w:r>
          </w:p>
        </w:tc>
        <w:tc>
          <w:tcPr>
            <w:tcW w:w="1298" w:type="dxa"/>
            <w:vAlign w:val="center"/>
          </w:tcPr>
          <w:p w14:paraId="78350D2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706.88</w:t>
            </w:r>
          </w:p>
        </w:tc>
        <w:tc>
          <w:tcPr>
            <w:tcW w:w="1269" w:type="dxa"/>
            <w:vAlign w:val="center"/>
          </w:tcPr>
          <w:p w14:paraId="5FDA3D2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706.88</w:t>
            </w: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4BE68CE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按支出性质分：</w:t>
            </w:r>
            <w:r>
              <w:rPr>
                <w:rFonts w:hint="eastAsia" w:ascii="仿宋_GB2312" w:hAnsi="宋体" w:eastAsia="仿宋_GB2312" w:cs="宋体"/>
                <w:kern w:val="0"/>
                <w:lang w:val="en-US" w:eastAsia="zh-CN"/>
              </w:rPr>
              <w:t>706.88</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706.88</w:t>
            </w:r>
          </w:p>
        </w:tc>
        <w:tc>
          <w:tcPr>
            <w:tcW w:w="4260" w:type="dxa"/>
            <w:gridSpan w:val="4"/>
            <w:vAlign w:val="center"/>
          </w:tcPr>
          <w:p w14:paraId="459DAAE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375.66</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55BECDEE">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331.22</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7795BFAD">
            <w:pPr>
              <w:spacing w:line="240" w:lineRule="auto"/>
              <w:ind w:firstLine="420"/>
              <w:jc w:val="center"/>
              <w:rPr>
                <w:rFonts w:hint="eastAsia" w:ascii="仿宋_GB2312" w:eastAsia="仿宋_GB2312"/>
                <w:kern w:val="0"/>
              </w:rPr>
            </w:pPr>
            <w:r>
              <w:rPr>
                <w:rFonts w:hint="eastAsia" w:ascii="仿宋_GB2312" w:eastAsia="仿宋_GB2312"/>
                <w:kern w:val="0"/>
              </w:rPr>
              <w:t>目标1、综治工作：民调进入全省综治创省优。</w:t>
            </w:r>
          </w:p>
          <w:p w14:paraId="36F3BC02">
            <w:pPr>
              <w:spacing w:line="240" w:lineRule="auto"/>
              <w:ind w:firstLine="420"/>
              <w:jc w:val="center"/>
              <w:rPr>
                <w:rFonts w:hint="eastAsia" w:ascii="仿宋_GB2312" w:eastAsia="仿宋_GB2312"/>
                <w:kern w:val="0"/>
              </w:rPr>
            </w:pPr>
            <w:r>
              <w:rPr>
                <w:rFonts w:hint="eastAsia" w:ascii="仿宋_GB2312" w:eastAsia="仿宋_GB2312"/>
                <w:kern w:val="0"/>
              </w:rPr>
              <w:t>涉法涉诉方面：一是争取省级司法救助款全面落实到位。二是尽最大努力做好息访息诉工作。</w:t>
            </w:r>
          </w:p>
          <w:p w14:paraId="216751BE">
            <w:pPr>
              <w:spacing w:line="240" w:lineRule="auto"/>
              <w:ind w:firstLine="420"/>
              <w:jc w:val="center"/>
              <w:rPr>
                <w:rFonts w:hint="eastAsia" w:ascii="仿宋_GB2312" w:eastAsia="仿宋_GB2312"/>
                <w:kern w:val="0"/>
              </w:rPr>
            </w:pPr>
            <w:r>
              <w:rPr>
                <w:rFonts w:hint="eastAsia" w:ascii="仿宋_GB2312" w:eastAsia="仿宋_GB2312"/>
                <w:kern w:val="0"/>
              </w:rPr>
              <w:t>目标2：维稳工作：做好节假日安全保卫，及时稳妥处理、协调好突发性重大（案）件。</w:t>
            </w:r>
          </w:p>
          <w:p w14:paraId="5630C8FD">
            <w:pPr>
              <w:spacing w:line="240" w:lineRule="auto"/>
              <w:ind w:firstLine="420"/>
              <w:jc w:val="center"/>
              <w:rPr>
                <w:rFonts w:hint="eastAsia" w:ascii="仿宋_GB2312" w:eastAsia="仿宋_GB2312"/>
                <w:kern w:val="0"/>
                <w:lang w:eastAsia="zh-CN"/>
              </w:rPr>
            </w:pPr>
            <w:r>
              <w:rPr>
                <w:rFonts w:hint="eastAsia" w:ascii="仿宋_GB2312" w:eastAsia="仿宋_GB2312"/>
                <w:kern w:val="0"/>
              </w:rPr>
              <w:t xml:space="preserve">目标3：开展好扫黑除恶常态化工作，全面建立综治网格化服务管理平台。 </w:t>
            </w:r>
            <w:r>
              <w:rPr>
                <w:rFonts w:hint="eastAsia" w:ascii="仿宋_GB2312" w:eastAsia="仿宋_GB2312"/>
                <w:kern w:val="0"/>
                <w:lang w:val="en-US" w:eastAsia="zh-CN"/>
              </w:rPr>
              <w:t xml:space="preserve"> </w:t>
            </w:r>
          </w:p>
        </w:tc>
        <w:tc>
          <w:tcPr>
            <w:tcW w:w="4260" w:type="dxa"/>
            <w:gridSpan w:val="4"/>
            <w:vAlign w:val="center"/>
          </w:tcPr>
          <w:p w14:paraId="156E0DC0">
            <w:pPr>
              <w:spacing w:line="240" w:lineRule="auto"/>
              <w:ind w:firstLine="420"/>
              <w:jc w:val="center"/>
              <w:rPr>
                <w:rFonts w:ascii="仿宋_GB2312" w:eastAsia="仿宋_GB2312"/>
                <w:kern w:val="0"/>
              </w:rPr>
            </w:pPr>
            <w:r>
              <w:rPr>
                <w:rFonts w:hint="eastAsia" w:ascii="仿宋_GB2312" w:eastAsia="仿宋_GB2312"/>
                <w:kern w:val="0"/>
                <w:lang w:val="en-US" w:eastAsia="zh-CN"/>
              </w:rPr>
              <w:t xml:space="preserve">1、综治民调工作全年基本完成问卷抽样调查。2、涉法涉诉基本做到了息访息诉，司法救助款完成率达到100%，全部落实到位。3、维稳工作：基本得到平稳、安全、无重大交通事故堵门堵路情况。综治网格化服务管理中心基本建立完成，网格化服务视频监控平台得到有续开展，人民群众办事效率大大提高。 </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tabs>
                <w:tab w:val="left" w:pos="756"/>
              </w:tabs>
              <w:spacing w:line="240" w:lineRule="auto"/>
              <w:ind w:firstLine="420"/>
              <w:jc w:val="left"/>
              <w:rPr>
                <w:rFonts w:hint="default" w:ascii="仿宋_GB2312" w:eastAsia="仿宋_GB2312"/>
                <w:kern w:val="0"/>
                <w:lang w:val="en-US" w:eastAsia="zh-CN"/>
              </w:rPr>
            </w:pPr>
            <w:r>
              <w:rPr>
                <w:rFonts w:hint="eastAsia" w:ascii="仿宋_GB2312" w:eastAsia="仿宋_GB2312"/>
                <w:kern w:val="0"/>
                <w:lang w:eastAsia="zh-CN"/>
              </w:rPr>
              <w:tab/>
            </w:r>
            <w:r>
              <w:rPr>
                <w:rFonts w:hint="eastAsia" w:ascii="仿宋_GB2312" w:hAnsi="宋体" w:eastAsia="仿宋_GB2312" w:cs="宋体"/>
                <w:kern w:val="0"/>
                <w:lang w:val="en-US" w:eastAsia="zh-CN"/>
              </w:rPr>
              <w:t>网格化管理进一步完善，完成率达100%。                        2.综治民调全年1次，创全省优秀。</w:t>
            </w:r>
          </w:p>
        </w:tc>
        <w:tc>
          <w:tcPr>
            <w:tcW w:w="1298" w:type="dxa"/>
            <w:vAlign w:val="center"/>
          </w:tcPr>
          <w:p w14:paraId="2A37482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14:paraId="708D788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w:t>
            </w:r>
          </w:p>
        </w:tc>
        <w:tc>
          <w:tcPr>
            <w:tcW w:w="699" w:type="dxa"/>
            <w:vAlign w:val="center"/>
          </w:tcPr>
          <w:p w14:paraId="567F5E5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2717B7C4">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14:paraId="7CF9B186">
            <w:pPr>
              <w:spacing w:line="240" w:lineRule="auto"/>
              <w:ind w:firstLine="42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2D67C45">
            <w:pPr>
              <w:spacing w:line="240" w:lineRule="auto"/>
              <w:ind w:firstLine="420"/>
              <w:jc w:val="center"/>
              <w:rPr>
                <w:rFonts w:ascii="仿宋_GB2312" w:eastAsia="仿宋_GB2312"/>
                <w:kern w:val="0"/>
              </w:rPr>
            </w:pPr>
          </w:p>
        </w:tc>
        <w:tc>
          <w:tcPr>
            <w:tcW w:w="1249" w:type="dxa"/>
            <w:vAlign w:val="center"/>
          </w:tcPr>
          <w:p w14:paraId="35E485C8">
            <w:pPr>
              <w:spacing w:line="240" w:lineRule="auto"/>
              <w:ind w:firstLine="420"/>
              <w:jc w:val="both"/>
              <w:rPr>
                <w:rFonts w:hint="default" w:ascii="仿宋_GB2312" w:eastAsia="仿宋_GB2312"/>
                <w:kern w:val="0"/>
                <w:lang w:val="en-US" w:eastAsia="zh-CN"/>
              </w:rPr>
            </w:pPr>
          </w:p>
        </w:tc>
        <w:tc>
          <w:tcPr>
            <w:tcW w:w="1298" w:type="dxa"/>
            <w:vAlign w:val="center"/>
          </w:tcPr>
          <w:p w14:paraId="15CE1D7F">
            <w:pPr>
              <w:spacing w:line="240" w:lineRule="auto"/>
              <w:ind w:firstLine="420"/>
              <w:jc w:val="center"/>
              <w:rPr>
                <w:rFonts w:ascii="仿宋_GB2312" w:eastAsia="仿宋_GB2312"/>
                <w:kern w:val="0"/>
              </w:rPr>
            </w:pPr>
          </w:p>
        </w:tc>
        <w:tc>
          <w:tcPr>
            <w:tcW w:w="1269" w:type="dxa"/>
            <w:vAlign w:val="center"/>
          </w:tcPr>
          <w:p w14:paraId="346D111F">
            <w:pPr>
              <w:spacing w:line="240" w:lineRule="auto"/>
              <w:ind w:firstLine="420"/>
              <w:jc w:val="center"/>
              <w:rPr>
                <w:rFonts w:ascii="仿宋_GB2312" w:eastAsia="仿宋_GB2312"/>
                <w:kern w:val="0"/>
              </w:rPr>
            </w:pPr>
          </w:p>
        </w:tc>
        <w:tc>
          <w:tcPr>
            <w:tcW w:w="699" w:type="dxa"/>
            <w:vAlign w:val="center"/>
          </w:tcPr>
          <w:p w14:paraId="4812C5E9">
            <w:pPr>
              <w:spacing w:line="240" w:lineRule="auto"/>
              <w:ind w:firstLine="420"/>
              <w:jc w:val="center"/>
              <w:rPr>
                <w:rFonts w:ascii="仿宋_GB2312" w:eastAsia="仿宋_GB2312"/>
                <w:kern w:val="0"/>
              </w:rPr>
            </w:pPr>
          </w:p>
        </w:tc>
        <w:tc>
          <w:tcPr>
            <w:tcW w:w="869" w:type="dxa"/>
            <w:vAlign w:val="center"/>
          </w:tcPr>
          <w:p w14:paraId="42665481">
            <w:pPr>
              <w:spacing w:line="240" w:lineRule="auto"/>
              <w:ind w:firstLine="420"/>
              <w:jc w:val="center"/>
              <w:rPr>
                <w:rFonts w:ascii="仿宋_GB2312" w:eastAsia="仿宋_GB2312"/>
                <w:kern w:val="0"/>
              </w:rPr>
            </w:pPr>
          </w:p>
        </w:tc>
        <w:tc>
          <w:tcPr>
            <w:tcW w:w="1423" w:type="dxa"/>
            <w:vAlign w:val="center"/>
          </w:tcPr>
          <w:p w14:paraId="01001FE5">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10423A4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 xml:space="preserve">综治工作 </w:t>
            </w:r>
          </w:p>
        </w:tc>
        <w:tc>
          <w:tcPr>
            <w:tcW w:w="1298" w:type="dxa"/>
            <w:vAlign w:val="center"/>
          </w:tcPr>
          <w:p w14:paraId="1A5ADA3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14:paraId="54075F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93</w:t>
            </w:r>
          </w:p>
        </w:tc>
        <w:tc>
          <w:tcPr>
            <w:tcW w:w="699" w:type="dxa"/>
            <w:vAlign w:val="center"/>
          </w:tcPr>
          <w:p w14:paraId="5580FC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0982B11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14:paraId="09E0DC5F">
            <w:pPr>
              <w:spacing w:line="240" w:lineRule="auto"/>
              <w:ind w:firstLine="420"/>
              <w:jc w:val="center"/>
              <w:rPr>
                <w:rFonts w:ascii="仿宋_GB2312" w:eastAsia="仿宋_GB2312"/>
                <w:kern w:val="0"/>
              </w:rPr>
            </w:pP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3ECD9A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201BAD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EE26171">
            <w:pPr>
              <w:spacing w:line="240" w:lineRule="auto"/>
              <w:ind w:firstLine="420"/>
              <w:jc w:val="center"/>
              <w:rPr>
                <w:rFonts w:ascii="仿宋_GB2312" w:eastAsia="仿宋_GB2312"/>
                <w:kern w:val="0"/>
              </w:rPr>
            </w:pPr>
          </w:p>
        </w:tc>
        <w:tc>
          <w:tcPr>
            <w:tcW w:w="1249" w:type="dxa"/>
            <w:vAlign w:val="center"/>
          </w:tcPr>
          <w:p w14:paraId="3BA53E08">
            <w:pPr>
              <w:spacing w:line="240" w:lineRule="auto"/>
              <w:ind w:firstLine="420"/>
              <w:jc w:val="center"/>
              <w:rPr>
                <w:rFonts w:ascii="仿宋_GB2312" w:eastAsia="仿宋_GB2312"/>
                <w:kern w:val="0"/>
              </w:rPr>
            </w:pPr>
          </w:p>
        </w:tc>
        <w:tc>
          <w:tcPr>
            <w:tcW w:w="1298" w:type="dxa"/>
            <w:vAlign w:val="center"/>
          </w:tcPr>
          <w:p w14:paraId="33DF5A21">
            <w:pPr>
              <w:spacing w:line="240" w:lineRule="auto"/>
              <w:ind w:firstLine="420"/>
              <w:jc w:val="center"/>
              <w:rPr>
                <w:rFonts w:ascii="仿宋_GB2312" w:eastAsia="仿宋_GB2312"/>
                <w:kern w:val="0"/>
              </w:rPr>
            </w:pPr>
          </w:p>
        </w:tc>
        <w:tc>
          <w:tcPr>
            <w:tcW w:w="1269" w:type="dxa"/>
            <w:vAlign w:val="center"/>
          </w:tcPr>
          <w:p w14:paraId="4F080A08">
            <w:pPr>
              <w:spacing w:line="240" w:lineRule="auto"/>
              <w:ind w:firstLine="420"/>
              <w:jc w:val="center"/>
              <w:rPr>
                <w:rFonts w:ascii="仿宋_GB2312" w:eastAsia="仿宋_GB2312"/>
                <w:kern w:val="0"/>
              </w:rPr>
            </w:pPr>
          </w:p>
        </w:tc>
        <w:tc>
          <w:tcPr>
            <w:tcW w:w="699" w:type="dxa"/>
            <w:vAlign w:val="center"/>
          </w:tcPr>
          <w:p w14:paraId="155F4AED">
            <w:pPr>
              <w:spacing w:line="240" w:lineRule="auto"/>
              <w:ind w:firstLine="420"/>
              <w:jc w:val="center"/>
              <w:rPr>
                <w:rFonts w:ascii="仿宋_GB2312" w:eastAsia="仿宋_GB2312"/>
                <w:kern w:val="0"/>
              </w:rPr>
            </w:pPr>
          </w:p>
        </w:tc>
        <w:tc>
          <w:tcPr>
            <w:tcW w:w="869" w:type="dxa"/>
            <w:vAlign w:val="center"/>
          </w:tcPr>
          <w:p w14:paraId="2A226188">
            <w:pPr>
              <w:spacing w:line="240" w:lineRule="auto"/>
              <w:ind w:firstLine="420"/>
              <w:jc w:val="center"/>
              <w:rPr>
                <w:rFonts w:ascii="仿宋_GB2312" w:eastAsia="仿宋_GB2312"/>
                <w:kern w:val="0"/>
              </w:rPr>
            </w:pPr>
          </w:p>
        </w:tc>
        <w:tc>
          <w:tcPr>
            <w:tcW w:w="1423" w:type="dxa"/>
            <w:vAlign w:val="center"/>
          </w:tcPr>
          <w:p w14:paraId="3D7116F6">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spacing w:line="240" w:lineRule="auto"/>
              <w:ind w:firstLine="420"/>
              <w:jc w:val="center"/>
              <w:rPr>
                <w:rFonts w:ascii="仿宋_GB2312" w:eastAsia="仿宋_GB2312"/>
                <w:kern w:val="0"/>
              </w:rPr>
            </w:pPr>
            <w:r>
              <w:rPr>
                <w:rFonts w:hint="eastAsia" w:ascii="仿宋_GB2312" w:eastAsia="仿宋_GB2312"/>
                <w:kern w:val="0"/>
              </w:rPr>
              <w:t>按时完成绩效目标任务</w:t>
            </w:r>
          </w:p>
        </w:tc>
        <w:tc>
          <w:tcPr>
            <w:tcW w:w="1298" w:type="dxa"/>
            <w:vAlign w:val="center"/>
          </w:tcPr>
          <w:p w14:paraId="479FA5D5">
            <w:pPr>
              <w:spacing w:line="240" w:lineRule="auto"/>
              <w:ind w:firstLine="420"/>
              <w:jc w:val="center"/>
              <w:rPr>
                <w:rFonts w:hint="eastAsia" w:ascii="仿宋_GB2312" w:eastAsia="仿宋_GB2312"/>
                <w:kern w:val="0"/>
                <w:lang w:eastAsia="zh-CN"/>
              </w:rPr>
            </w:pPr>
            <w:r>
              <w:rPr>
                <w:rFonts w:hint="eastAsia" w:ascii="仿宋_GB2312" w:eastAsia="仿宋_GB2312"/>
                <w:kern w:val="0"/>
                <w:lang w:val="en-US" w:eastAsia="zh-CN"/>
              </w:rPr>
              <w:t>1</w:t>
            </w:r>
            <w:r>
              <w:rPr>
                <w:rFonts w:hint="eastAsia" w:ascii="仿宋_GB2312" w:eastAsia="仿宋_GB2312"/>
                <w:kern w:val="0"/>
                <w:lang w:eastAsia="zh-CN"/>
              </w:rPr>
              <w:t>年</w:t>
            </w:r>
          </w:p>
        </w:tc>
        <w:tc>
          <w:tcPr>
            <w:tcW w:w="1269" w:type="dxa"/>
            <w:vAlign w:val="center"/>
          </w:tcPr>
          <w:p w14:paraId="5C1B3402">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1年</w:t>
            </w:r>
          </w:p>
        </w:tc>
        <w:tc>
          <w:tcPr>
            <w:tcW w:w="699" w:type="dxa"/>
            <w:vAlign w:val="center"/>
          </w:tcPr>
          <w:p w14:paraId="4C56B99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5DA3483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BF8C6A4">
            <w:pPr>
              <w:spacing w:line="240" w:lineRule="auto"/>
              <w:ind w:firstLine="420"/>
              <w:jc w:val="center"/>
              <w:rPr>
                <w:rFonts w:ascii="仿宋_GB2312" w:eastAsia="仿宋_GB2312"/>
                <w:kern w:val="0"/>
              </w:rPr>
            </w:pPr>
          </w:p>
        </w:tc>
      </w:tr>
      <w:tr w14:paraId="0E1E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1C42FDD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8ADF2D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8AFBDEC">
            <w:pPr>
              <w:spacing w:line="240" w:lineRule="auto"/>
              <w:ind w:firstLine="420"/>
              <w:jc w:val="center"/>
              <w:rPr>
                <w:rFonts w:ascii="仿宋_GB2312" w:eastAsia="仿宋_GB2312"/>
                <w:kern w:val="0"/>
              </w:rPr>
            </w:pPr>
          </w:p>
        </w:tc>
        <w:tc>
          <w:tcPr>
            <w:tcW w:w="1249" w:type="dxa"/>
            <w:vAlign w:val="center"/>
          </w:tcPr>
          <w:p w14:paraId="14EC514E">
            <w:pPr>
              <w:spacing w:line="240" w:lineRule="auto"/>
              <w:ind w:firstLine="420"/>
              <w:jc w:val="center"/>
              <w:rPr>
                <w:rFonts w:ascii="仿宋_GB2312" w:eastAsia="仿宋_GB2312"/>
                <w:kern w:val="0"/>
              </w:rPr>
            </w:pPr>
          </w:p>
        </w:tc>
        <w:tc>
          <w:tcPr>
            <w:tcW w:w="1298" w:type="dxa"/>
            <w:vAlign w:val="center"/>
          </w:tcPr>
          <w:p w14:paraId="7A000B20">
            <w:pPr>
              <w:spacing w:line="240" w:lineRule="auto"/>
              <w:jc w:val="both"/>
              <w:rPr>
                <w:rFonts w:ascii="仿宋_GB2312" w:eastAsia="仿宋_GB2312"/>
                <w:kern w:val="0"/>
              </w:rPr>
            </w:pPr>
          </w:p>
        </w:tc>
        <w:tc>
          <w:tcPr>
            <w:tcW w:w="1269" w:type="dxa"/>
            <w:vAlign w:val="center"/>
          </w:tcPr>
          <w:p w14:paraId="494C6CF7">
            <w:pPr>
              <w:spacing w:line="240" w:lineRule="auto"/>
              <w:ind w:firstLine="420"/>
              <w:jc w:val="center"/>
              <w:rPr>
                <w:rFonts w:ascii="仿宋_GB2312" w:eastAsia="仿宋_GB2312"/>
                <w:kern w:val="0"/>
              </w:rPr>
            </w:pPr>
          </w:p>
        </w:tc>
        <w:tc>
          <w:tcPr>
            <w:tcW w:w="699" w:type="dxa"/>
            <w:vAlign w:val="center"/>
          </w:tcPr>
          <w:p w14:paraId="37EBC37F">
            <w:pPr>
              <w:spacing w:line="240" w:lineRule="auto"/>
              <w:ind w:firstLine="420"/>
              <w:jc w:val="center"/>
              <w:rPr>
                <w:rFonts w:ascii="仿宋_GB2312" w:eastAsia="仿宋_GB2312"/>
                <w:kern w:val="0"/>
              </w:rPr>
            </w:pPr>
          </w:p>
        </w:tc>
        <w:tc>
          <w:tcPr>
            <w:tcW w:w="869" w:type="dxa"/>
            <w:vAlign w:val="center"/>
          </w:tcPr>
          <w:p w14:paraId="0E73072C">
            <w:pPr>
              <w:spacing w:line="240" w:lineRule="auto"/>
              <w:ind w:firstLine="420"/>
              <w:jc w:val="center"/>
              <w:rPr>
                <w:rFonts w:ascii="仿宋_GB2312" w:eastAsia="仿宋_GB2312"/>
                <w:kern w:val="0"/>
              </w:rPr>
            </w:pPr>
          </w:p>
        </w:tc>
        <w:tc>
          <w:tcPr>
            <w:tcW w:w="1423" w:type="dxa"/>
            <w:vAlign w:val="center"/>
          </w:tcPr>
          <w:p w14:paraId="5672D5D1">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2611957">
            <w:pPr>
              <w:spacing w:line="240" w:lineRule="auto"/>
              <w:ind w:firstLine="420"/>
              <w:jc w:val="center"/>
              <w:rPr>
                <w:rFonts w:ascii="仿宋_GB2312" w:eastAsia="仿宋_GB2312"/>
                <w:kern w:val="0"/>
              </w:rPr>
            </w:pPr>
            <w:r>
              <w:rPr>
                <w:rFonts w:hint="eastAsia" w:ascii="仿宋_GB2312" w:eastAsia="仿宋_GB2312"/>
                <w:kern w:val="0"/>
              </w:rPr>
              <w:t>上级司法救助款全面落实到位，使人民群众得到了救助</w:t>
            </w:r>
          </w:p>
        </w:tc>
        <w:tc>
          <w:tcPr>
            <w:tcW w:w="1298" w:type="dxa"/>
            <w:vAlign w:val="center"/>
          </w:tcPr>
          <w:p w14:paraId="078289F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w:t>
            </w:r>
          </w:p>
        </w:tc>
        <w:tc>
          <w:tcPr>
            <w:tcW w:w="1269" w:type="dxa"/>
            <w:vAlign w:val="center"/>
          </w:tcPr>
          <w:p w14:paraId="7A453B8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90</w:t>
            </w:r>
          </w:p>
        </w:tc>
        <w:tc>
          <w:tcPr>
            <w:tcW w:w="699" w:type="dxa"/>
            <w:vAlign w:val="center"/>
          </w:tcPr>
          <w:p w14:paraId="415A3F6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w:t>
            </w:r>
          </w:p>
        </w:tc>
        <w:tc>
          <w:tcPr>
            <w:tcW w:w="869" w:type="dxa"/>
            <w:vAlign w:val="center"/>
          </w:tcPr>
          <w:p w14:paraId="2AC58B9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w:t>
            </w:r>
          </w:p>
        </w:tc>
        <w:tc>
          <w:tcPr>
            <w:tcW w:w="1423" w:type="dxa"/>
            <w:vAlign w:val="center"/>
          </w:tcPr>
          <w:p w14:paraId="63D43995">
            <w:pPr>
              <w:spacing w:line="240" w:lineRule="auto"/>
              <w:ind w:firstLine="420"/>
              <w:jc w:val="center"/>
              <w:rPr>
                <w:rFonts w:ascii="仿宋_GB2312" w:eastAsia="仿宋_GB2312"/>
                <w:kern w:val="0"/>
              </w:rPr>
            </w:pPr>
          </w:p>
        </w:tc>
      </w:tr>
      <w:tr w14:paraId="5337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95DEC8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40B64B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0745A337">
            <w:pPr>
              <w:spacing w:line="240" w:lineRule="auto"/>
              <w:ind w:firstLine="420"/>
              <w:jc w:val="center"/>
              <w:rPr>
                <w:rFonts w:ascii="仿宋_GB2312" w:eastAsia="仿宋_GB2312"/>
                <w:kern w:val="0"/>
              </w:rPr>
            </w:pPr>
          </w:p>
        </w:tc>
        <w:tc>
          <w:tcPr>
            <w:tcW w:w="1249" w:type="dxa"/>
            <w:vAlign w:val="center"/>
          </w:tcPr>
          <w:p w14:paraId="50A34D2D">
            <w:pPr>
              <w:spacing w:line="240" w:lineRule="auto"/>
              <w:ind w:firstLine="420"/>
              <w:jc w:val="center"/>
              <w:rPr>
                <w:rFonts w:ascii="仿宋_GB2312" w:eastAsia="仿宋_GB2312"/>
                <w:kern w:val="0"/>
              </w:rPr>
            </w:pPr>
            <w:r>
              <w:rPr>
                <w:rFonts w:hint="eastAsia" w:ascii="仿宋_GB2312" w:eastAsia="仿宋_GB2312"/>
                <w:kern w:val="0"/>
              </w:rPr>
              <w:t>优化资源配置，提高财政资金使用效益网格化服务管理平台，使老百姓办事率效大大提高</w:t>
            </w:r>
          </w:p>
        </w:tc>
        <w:tc>
          <w:tcPr>
            <w:tcW w:w="1298" w:type="dxa"/>
            <w:vAlign w:val="center"/>
          </w:tcPr>
          <w:p w14:paraId="54DB100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w:t>
            </w:r>
          </w:p>
        </w:tc>
        <w:tc>
          <w:tcPr>
            <w:tcW w:w="1269" w:type="dxa"/>
            <w:vAlign w:val="center"/>
          </w:tcPr>
          <w:p w14:paraId="40D8D42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93</w:t>
            </w:r>
          </w:p>
        </w:tc>
        <w:tc>
          <w:tcPr>
            <w:tcW w:w="699" w:type="dxa"/>
            <w:vAlign w:val="center"/>
          </w:tcPr>
          <w:p w14:paraId="12404D4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w:t>
            </w:r>
          </w:p>
        </w:tc>
        <w:tc>
          <w:tcPr>
            <w:tcW w:w="869" w:type="dxa"/>
            <w:vAlign w:val="center"/>
          </w:tcPr>
          <w:p w14:paraId="6DE220A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w:t>
            </w:r>
          </w:p>
        </w:tc>
        <w:tc>
          <w:tcPr>
            <w:tcW w:w="1423" w:type="dxa"/>
            <w:vAlign w:val="center"/>
          </w:tcPr>
          <w:p w14:paraId="6004A8BA">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5D9BC272">
            <w:pPr>
              <w:spacing w:line="240" w:lineRule="auto"/>
              <w:ind w:firstLine="420"/>
              <w:jc w:val="center"/>
              <w:rPr>
                <w:rFonts w:ascii="仿宋_GB2312" w:eastAsia="仿宋_GB2312"/>
                <w:kern w:val="0"/>
              </w:rPr>
            </w:pPr>
            <w:r>
              <w:rPr>
                <w:rFonts w:hint="eastAsia" w:ascii="仿宋_GB2312" w:eastAsia="仿宋_GB2312"/>
                <w:kern w:val="0"/>
              </w:rPr>
              <w:t>维护社会政治稳定，金融安全</w:t>
            </w:r>
          </w:p>
        </w:tc>
        <w:tc>
          <w:tcPr>
            <w:tcW w:w="1298" w:type="dxa"/>
            <w:vAlign w:val="center"/>
          </w:tcPr>
          <w:p w14:paraId="6E8C487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w:t>
            </w:r>
          </w:p>
        </w:tc>
        <w:tc>
          <w:tcPr>
            <w:tcW w:w="1269" w:type="dxa"/>
            <w:vAlign w:val="center"/>
          </w:tcPr>
          <w:p w14:paraId="4886005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w:t>
            </w:r>
          </w:p>
        </w:tc>
        <w:tc>
          <w:tcPr>
            <w:tcW w:w="699" w:type="dxa"/>
            <w:vAlign w:val="center"/>
          </w:tcPr>
          <w:p w14:paraId="75FAE414">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8</w:t>
            </w:r>
          </w:p>
        </w:tc>
        <w:tc>
          <w:tcPr>
            <w:tcW w:w="869" w:type="dxa"/>
            <w:vAlign w:val="center"/>
          </w:tcPr>
          <w:p w14:paraId="330990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w:t>
            </w:r>
          </w:p>
        </w:tc>
        <w:tc>
          <w:tcPr>
            <w:tcW w:w="1423" w:type="dxa"/>
            <w:vAlign w:val="center"/>
          </w:tcPr>
          <w:p w14:paraId="4D65F265">
            <w:pPr>
              <w:spacing w:line="240" w:lineRule="auto"/>
              <w:ind w:firstLine="420"/>
              <w:jc w:val="center"/>
              <w:rPr>
                <w:rFonts w:ascii="仿宋_GB2312" w:eastAsia="仿宋_GB2312"/>
                <w:kern w:val="0"/>
              </w:rPr>
            </w:pPr>
          </w:p>
        </w:tc>
      </w:tr>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4A612F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7D09F0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2ABD683">
            <w:pPr>
              <w:spacing w:line="240" w:lineRule="auto"/>
              <w:ind w:firstLine="420"/>
              <w:jc w:val="center"/>
              <w:rPr>
                <w:rFonts w:ascii="仿宋_GB2312" w:eastAsia="仿宋_GB2312"/>
                <w:kern w:val="0"/>
              </w:rPr>
            </w:pPr>
          </w:p>
        </w:tc>
        <w:tc>
          <w:tcPr>
            <w:tcW w:w="1249" w:type="dxa"/>
            <w:vAlign w:val="center"/>
          </w:tcPr>
          <w:p w14:paraId="710DCE7A">
            <w:pPr>
              <w:spacing w:line="240" w:lineRule="auto"/>
              <w:ind w:firstLine="420"/>
              <w:jc w:val="center"/>
              <w:rPr>
                <w:rFonts w:ascii="仿宋_GB2312" w:eastAsia="仿宋_GB2312"/>
                <w:kern w:val="0"/>
              </w:rPr>
            </w:pPr>
          </w:p>
        </w:tc>
        <w:tc>
          <w:tcPr>
            <w:tcW w:w="1298" w:type="dxa"/>
            <w:vAlign w:val="center"/>
          </w:tcPr>
          <w:p w14:paraId="610F1A26">
            <w:pPr>
              <w:spacing w:line="240" w:lineRule="auto"/>
              <w:ind w:firstLine="420"/>
              <w:jc w:val="center"/>
              <w:rPr>
                <w:rFonts w:ascii="仿宋_GB2312" w:eastAsia="仿宋_GB2312"/>
                <w:kern w:val="0"/>
              </w:rPr>
            </w:pPr>
          </w:p>
        </w:tc>
        <w:tc>
          <w:tcPr>
            <w:tcW w:w="1269" w:type="dxa"/>
            <w:vAlign w:val="center"/>
          </w:tcPr>
          <w:p w14:paraId="4AC02997">
            <w:pPr>
              <w:spacing w:line="240" w:lineRule="auto"/>
              <w:ind w:firstLine="420"/>
              <w:jc w:val="center"/>
              <w:rPr>
                <w:rFonts w:ascii="仿宋_GB2312" w:eastAsia="仿宋_GB2312"/>
                <w:kern w:val="0"/>
              </w:rPr>
            </w:pPr>
          </w:p>
        </w:tc>
        <w:tc>
          <w:tcPr>
            <w:tcW w:w="699" w:type="dxa"/>
            <w:vAlign w:val="center"/>
          </w:tcPr>
          <w:p w14:paraId="56C66EDF">
            <w:pPr>
              <w:spacing w:line="240" w:lineRule="auto"/>
              <w:ind w:firstLine="420"/>
              <w:jc w:val="center"/>
              <w:rPr>
                <w:rFonts w:ascii="仿宋_GB2312" w:eastAsia="仿宋_GB2312"/>
                <w:kern w:val="0"/>
              </w:rPr>
            </w:pPr>
          </w:p>
        </w:tc>
        <w:tc>
          <w:tcPr>
            <w:tcW w:w="869" w:type="dxa"/>
            <w:vAlign w:val="center"/>
          </w:tcPr>
          <w:p w14:paraId="14AC2896">
            <w:pPr>
              <w:spacing w:line="240" w:lineRule="auto"/>
              <w:ind w:firstLine="420"/>
              <w:jc w:val="center"/>
              <w:rPr>
                <w:rFonts w:ascii="仿宋_GB2312" w:eastAsia="仿宋_GB2312"/>
                <w:kern w:val="0"/>
              </w:rPr>
            </w:pPr>
          </w:p>
        </w:tc>
        <w:tc>
          <w:tcPr>
            <w:tcW w:w="1423" w:type="dxa"/>
            <w:vAlign w:val="center"/>
          </w:tcPr>
          <w:p w14:paraId="759B9D12">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DC60689">
            <w:pPr>
              <w:spacing w:line="240" w:lineRule="auto"/>
              <w:ind w:firstLine="420"/>
              <w:jc w:val="center"/>
              <w:rPr>
                <w:rFonts w:hint="eastAsia" w:ascii="仿宋_GB2312" w:eastAsia="仿宋_GB2312"/>
                <w:kern w:val="0"/>
                <w:lang w:eastAsia="zh-CN"/>
              </w:rPr>
            </w:pPr>
            <w:r>
              <w:rPr>
                <w:rFonts w:hint="eastAsia" w:ascii="仿宋_GB2312" w:eastAsia="仿宋_GB2312"/>
                <w:kern w:val="0"/>
                <w:lang w:val="en-US" w:eastAsia="zh-CN"/>
              </w:rPr>
              <w:t xml:space="preserve"> </w:t>
            </w:r>
          </w:p>
        </w:tc>
        <w:tc>
          <w:tcPr>
            <w:tcW w:w="1298" w:type="dxa"/>
            <w:vAlign w:val="center"/>
          </w:tcPr>
          <w:p w14:paraId="45B96CBB">
            <w:pPr>
              <w:spacing w:line="240" w:lineRule="auto"/>
              <w:ind w:firstLine="420"/>
              <w:jc w:val="center"/>
              <w:rPr>
                <w:rFonts w:ascii="仿宋_GB2312" w:eastAsia="仿宋_GB2312"/>
                <w:kern w:val="0"/>
              </w:rPr>
            </w:pPr>
          </w:p>
        </w:tc>
        <w:tc>
          <w:tcPr>
            <w:tcW w:w="1269" w:type="dxa"/>
            <w:vAlign w:val="center"/>
          </w:tcPr>
          <w:p w14:paraId="35C3564D">
            <w:pPr>
              <w:spacing w:line="240" w:lineRule="auto"/>
              <w:ind w:firstLine="420"/>
              <w:jc w:val="center"/>
              <w:rPr>
                <w:rFonts w:ascii="仿宋_GB2312" w:eastAsia="仿宋_GB2312"/>
                <w:kern w:val="0"/>
              </w:rPr>
            </w:pPr>
          </w:p>
        </w:tc>
        <w:tc>
          <w:tcPr>
            <w:tcW w:w="699" w:type="dxa"/>
            <w:vAlign w:val="center"/>
          </w:tcPr>
          <w:p w14:paraId="6A822248">
            <w:pPr>
              <w:spacing w:line="240" w:lineRule="auto"/>
              <w:ind w:firstLine="420"/>
              <w:jc w:val="center"/>
              <w:rPr>
                <w:rFonts w:ascii="仿宋_GB2312" w:eastAsia="仿宋_GB2312"/>
                <w:kern w:val="0"/>
              </w:rPr>
            </w:pPr>
          </w:p>
        </w:tc>
        <w:tc>
          <w:tcPr>
            <w:tcW w:w="869" w:type="dxa"/>
            <w:vAlign w:val="center"/>
          </w:tcPr>
          <w:p w14:paraId="73C931F8">
            <w:pPr>
              <w:spacing w:line="240" w:lineRule="auto"/>
              <w:ind w:firstLine="420"/>
              <w:jc w:val="center"/>
              <w:rPr>
                <w:rFonts w:ascii="仿宋_GB2312" w:eastAsia="仿宋_GB2312"/>
                <w:kern w:val="0"/>
              </w:rPr>
            </w:pPr>
          </w:p>
        </w:tc>
        <w:tc>
          <w:tcPr>
            <w:tcW w:w="1423" w:type="dxa"/>
            <w:vAlign w:val="center"/>
          </w:tcPr>
          <w:p w14:paraId="0E6767B7">
            <w:pPr>
              <w:spacing w:line="240" w:lineRule="auto"/>
              <w:ind w:firstLine="420"/>
              <w:jc w:val="center"/>
              <w:rPr>
                <w:rFonts w:ascii="仿宋_GB2312" w:eastAsia="仿宋_GB2312"/>
                <w:kern w:val="0"/>
              </w:rPr>
            </w:pPr>
          </w:p>
        </w:tc>
      </w:tr>
      <w:tr w14:paraId="07F4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77D494F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FDA6254">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D87285">
            <w:pPr>
              <w:spacing w:line="240" w:lineRule="auto"/>
              <w:ind w:firstLine="420"/>
              <w:jc w:val="center"/>
              <w:rPr>
                <w:rFonts w:ascii="仿宋_GB2312" w:eastAsia="仿宋_GB2312"/>
                <w:kern w:val="0"/>
              </w:rPr>
            </w:pPr>
          </w:p>
        </w:tc>
        <w:tc>
          <w:tcPr>
            <w:tcW w:w="1249" w:type="dxa"/>
            <w:vAlign w:val="center"/>
          </w:tcPr>
          <w:p w14:paraId="4F0190D3">
            <w:pPr>
              <w:spacing w:line="240" w:lineRule="auto"/>
              <w:ind w:firstLine="420"/>
              <w:jc w:val="center"/>
              <w:rPr>
                <w:rFonts w:hint="eastAsia" w:ascii="仿宋_GB2312" w:eastAsia="仿宋_GB2312"/>
                <w:kern w:val="0"/>
                <w:lang w:eastAsia="zh-CN"/>
              </w:rPr>
            </w:pPr>
            <w:r>
              <w:rPr>
                <w:rFonts w:hint="eastAsia" w:ascii="仿宋_GB2312" w:eastAsia="仿宋_GB2312"/>
                <w:kern w:val="0"/>
                <w:lang w:val="en-US" w:eastAsia="zh-CN"/>
              </w:rPr>
              <w:t xml:space="preserve"> </w:t>
            </w:r>
          </w:p>
        </w:tc>
        <w:tc>
          <w:tcPr>
            <w:tcW w:w="1298" w:type="dxa"/>
            <w:vAlign w:val="center"/>
          </w:tcPr>
          <w:p w14:paraId="1F4912D3">
            <w:pPr>
              <w:spacing w:line="240" w:lineRule="auto"/>
              <w:ind w:firstLine="420"/>
              <w:jc w:val="center"/>
              <w:rPr>
                <w:rFonts w:ascii="仿宋_GB2312" w:eastAsia="仿宋_GB2312"/>
                <w:kern w:val="0"/>
              </w:rPr>
            </w:pPr>
          </w:p>
        </w:tc>
        <w:tc>
          <w:tcPr>
            <w:tcW w:w="1269" w:type="dxa"/>
            <w:vAlign w:val="center"/>
          </w:tcPr>
          <w:p w14:paraId="53DC0322">
            <w:pPr>
              <w:spacing w:line="240" w:lineRule="auto"/>
              <w:ind w:firstLine="420"/>
              <w:jc w:val="center"/>
              <w:rPr>
                <w:rFonts w:ascii="仿宋_GB2312" w:eastAsia="仿宋_GB2312"/>
                <w:kern w:val="0"/>
              </w:rPr>
            </w:pPr>
          </w:p>
        </w:tc>
        <w:tc>
          <w:tcPr>
            <w:tcW w:w="699" w:type="dxa"/>
            <w:vAlign w:val="center"/>
          </w:tcPr>
          <w:p w14:paraId="5664813A">
            <w:pPr>
              <w:spacing w:line="240" w:lineRule="auto"/>
              <w:ind w:firstLine="420"/>
              <w:jc w:val="center"/>
              <w:rPr>
                <w:rFonts w:ascii="仿宋_GB2312" w:eastAsia="仿宋_GB2312"/>
                <w:kern w:val="0"/>
              </w:rPr>
            </w:pPr>
          </w:p>
        </w:tc>
        <w:tc>
          <w:tcPr>
            <w:tcW w:w="869" w:type="dxa"/>
            <w:vAlign w:val="center"/>
          </w:tcPr>
          <w:p w14:paraId="44C25015">
            <w:pPr>
              <w:spacing w:line="240" w:lineRule="auto"/>
              <w:ind w:firstLine="420"/>
              <w:jc w:val="center"/>
              <w:rPr>
                <w:rFonts w:ascii="仿宋_GB2312" w:eastAsia="仿宋_GB2312"/>
                <w:kern w:val="0"/>
              </w:rPr>
            </w:pPr>
          </w:p>
        </w:tc>
        <w:tc>
          <w:tcPr>
            <w:tcW w:w="1423" w:type="dxa"/>
            <w:vAlign w:val="center"/>
          </w:tcPr>
          <w:p w14:paraId="3B6320B6">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1B548B4C">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保持优良政法社会风气</w:t>
            </w:r>
          </w:p>
        </w:tc>
        <w:tc>
          <w:tcPr>
            <w:tcW w:w="1298" w:type="dxa"/>
            <w:vAlign w:val="center"/>
          </w:tcPr>
          <w:p w14:paraId="055B34E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w:t>
            </w:r>
          </w:p>
        </w:tc>
        <w:tc>
          <w:tcPr>
            <w:tcW w:w="1269" w:type="dxa"/>
            <w:vAlign w:val="center"/>
          </w:tcPr>
          <w:p w14:paraId="46B4146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w:t>
            </w:r>
          </w:p>
        </w:tc>
        <w:tc>
          <w:tcPr>
            <w:tcW w:w="699" w:type="dxa"/>
            <w:vAlign w:val="center"/>
          </w:tcPr>
          <w:p w14:paraId="447C4D9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869" w:type="dxa"/>
            <w:vAlign w:val="center"/>
          </w:tcPr>
          <w:p w14:paraId="71C7C72F">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04D49FFC">
            <w:pPr>
              <w:spacing w:line="240" w:lineRule="auto"/>
              <w:ind w:firstLine="420"/>
              <w:jc w:val="center"/>
              <w:rPr>
                <w:rFonts w:ascii="仿宋_GB2312" w:eastAsia="仿宋_GB2312"/>
                <w:kern w:val="0"/>
              </w:rPr>
            </w:pPr>
          </w:p>
        </w:tc>
      </w:tr>
      <w:tr w14:paraId="01FA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62BCDD44">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4D0DE132">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8272E2">
            <w:pPr>
              <w:spacing w:line="240" w:lineRule="auto"/>
              <w:ind w:firstLine="420"/>
              <w:jc w:val="center"/>
              <w:rPr>
                <w:rFonts w:ascii="仿宋_GB2312" w:eastAsia="仿宋_GB2312"/>
                <w:kern w:val="0"/>
              </w:rPr>
            </w:pPr>
          </w:p>
        </w:tc>
        <w:tc>
          <w:tcPr>
            <w:tcW w:w="1249" w:type="dxa"/>
            <w:vAlign w:val="center"/>
          </w:tcPr>
          <w:p w14:paraId="66B92778">
            <w:pPr>
              <w:spacing w:line="240" w:lineRule="auto"/>
              <w:ind w:firstLine="420"/>
              <w:jc w:val="center"/>
              <w:rPr>
                <w:rFonts w:ascii="仿宋_GB2312" w:eastAsia="仿宋_GB2312"/>
                <w:kern w:val="0"/>
              </w:rPr>
            </w:pPr>
          </w:p>
        </w:tc>
        <w:tc>
          <w:tcPr>
            <w:tcW w:w="1298" w:type="dxa"/>
            <w:vAlign w:val="center"/>
          </w:tcPr>
          <w:p w14:paraId="5BB249F1">
            <w:pPr>
              <w:spacing w:line="240" w:lineRule="auto"/>
              <w:ind w:firstLine="420"/>
              <w:jc w:val="center"/>
              <w:rPr>
                <w:rFonts w:ascii="仿宋_GB2312" w:eastAsia="仿宋_GB2312"/>
                <w:kern w:val="0"/>
              </w:rPr>
            </w:pPr>
          </w:p>
        </w:tc>
        <w:tc>
          <w:tcPr>
            <w:tcW w:w="1269" w:type="dxa"/>
            <w:vAlign w:val="center"/>
          </w:tcPr>
          <w:p w14:paraId="54B7E676">
            <w:pPr>
              <w:spacing w:line="240" w:lineRule="auto"/>
              <w:ind w:firstLine="420"/>
              <w:jc w:val="center"/>
              <w:rPr>
                <w:rFonts w:ascii="仿宋_GB2312" w:eastAsia="仿宋_GB2312"/>
                <w:kern w:val="0"/>
              </w:rPr>
            </w:pPr>
          </w:p>
        </w:tc>
        <w:tc>
          <w:tcPr>
            <w:tcW w:w="699" w:type="dxa"/>
            <w:vAlign w:val="center"/>
          </w:tcPr>
          <w:p w14:paraId="5CB64A1A">
            <w:pPr>
              <w:spacing w:line="240" w:lineRule="auto"/>
              <w:ind w:firstLine="420"/>
              <w:jc w:val="center"/>
              <w:rPr>
                <w:rFonts w:ascii="仿宋_GB2312" w:eastAsia="仿宋_GB2312"/>
                <w:kern w:val="0"/>
              </w:rPr>
            </w:pPr>
          </w:p>
        </w:tc>
        <w:tc>
          <w:tcPr>
            <w:tcW w:w="869" w:type="dxa"/>
            <w:vAlign w:val="center"/>
          </w:tcPr>
          <w:p w14:paraId="006A7188">
            <w:pPr>
              <w:spacing w:line="240" w:lineRule="auto"/>
              <w:ind w:firstLine="420"/>
              <w:jc w:val="center"/>
              <w:rPr>
                <w:rFonts w:ascii="仿宋_GB2312" w:eastAsia="仿宋_GB2312"/>
                <w:kern w:val="0"/>
              </w:rPr>
            </w:pPr>
          </w:p>
        </w:tc>
        <w:tc>
          <w:tcPr>
            <w:tcW w:w="1423" w:type="dxa"/>
            <w:vAlign w:val="center"/>
          </w:tcPr>
          <w:p w14:paraId="04C6D291">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4F2AFDD1">
            <w:pPr>
              <w:spacing w:line="240" w:lineRule="auto"/>
              <w:ind w:firstLine="420"/>
              <w:jc w:val="center"/>
              <w:rPr>
                <w:rFonts w:ascii="仿宋_GB2312" w:eastAsia="仿宋_GB2312"/>
                <w:kern w:val="0"/>
              </w:rPr>
            </w:pPr>
            <w:r>
              <w:rPr>
                <w:rFonts w:hint="eastAsia" w:ascii="仿宋_GB2312" w:eastAsia="仿宋_GB2312"/>
                <w:kern w:val="0"/>
              </w:rPr>
              <w:t>人民群众对安全服务满意度</w:t>
            </w:r>
          </w:p>
        </w:tc>
        <w:tc>
          <w:tcPr>
            <w:tcW w:w="1298" w:type="dxa"/>
            <w:vAlign w:val="center"/>
          </w:tcPr>
          <w:p w14:paraId="6ABEB3E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w:t>
            </w:r>
          </w:p>
        </w:tc>
        <w:tc>
          <w:tcPr>
            <w:tcW w:w="1269" w:type="dxa"/>
            <w:vAlign w:val="center"/>
          </w:tcPr>
          <w:p w14:paraId="31B5B32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90</w:t>
            </w:r>
          </w:p>
        </w:tc>
        <w:tc>
          <w:tcPr>
            <w:tcW w:w="699" w:type="dxa"/>
            <w:vAlign w:val="center"/>
          </w:tcPr>
          <w:p w14:paraId="41D3F37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9FFC8CC">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14:paraId="0412303D">
            <w:pPr>
              <w:spacing w:line="240" w:lineRule="auto"/>
              <w:ind w:firstLine="420"/>
              <w:jc w:val="center"/>
              <w:rPr>
                <w:rFonts w:ascii="仿宋_GB2312" w:eastAsia="仿宋_GB2312"/>
                <w:kern w:val="0"/>
              </w:rPr>
            </w:pPr>
          </w:p>
        </w:tc>
      </w:tr>
      <w:tr w14:paraId="59D3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FFA43A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4778A7">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28984CF5">
            <w:pPr>
              <w:spacing w:line="240" w:lineRule="auto"/>
              <w:ind w:firstLine="420"/>
              <w:jc w:val="center"/>
              <w:rPr>
                <w:rFonts w:ascii="仿宋_GB2312" w:eastAsia="仿宋_GB2312"/>
                <w:kern w:val="0"/>
              </w:rPr>
            </w:pPr>
          </w:p>
        </w:tc>
        <w:tc>
          <w:tcPr>
            <w:tcW w:w="1249" w:type="dxa"/>
            <w:vAlign w:val="center"/>
          </w:tcPr>
          <w:p w14:paraId="767D8AA9">
            <w:pPr>
              <w:spacing w:line="240" w:lineRule="auto"/>
              <w:ind w:firstLine="420"/>
              <w:jc w:val="center"/>
              <w:rPr>
                <w:rFonts w:ascii="仿宋_GB2312" w:eastAsia="仿宋_GB2312"/>
                <w:kern w:val="0"/>
              </w:rPr>
            </w:pPr>
          </w:p>
        </w:tc>
        <w:tc>
          <w:tcPr>
            <w:tcW w:w="1298" w:type="dxa"/>
            <w:vAlign w:val="center"/>
          </w:tcPr>
          <w:p w14:paraId="5D1571F7">
            <w:pPr>
              <w:spacing w:line="240" w:lineRule="auto"/>
              <w:ind w:firstLine="420"/>
              <w:jc w:val="center"/>
              <w:rPr>
                <w:rFonts w:ascii="仿宋_GB2312" w:eastAsia="仿宋_GB2312"/>
                <w:kern w:val="0"/>
              </w:rPr>
            </w:pPr>
          </w:p>
        </w:tc>
        <w:tc>
          <w:tcPr>
            <w:tcW w:w="1269" w:type="dxa"/>
            <w:vAlign w:val="center"/>
          </w:tcPr>
          <w:p w14:paraId="14AA98DC">
            <w:pPr>
              <w:spacing w:line="240" w:lineRule="auto"/>
              <w:ind w:firstLine="420"/>
              <w:jc w:val="center"/>
              <w:rPr>
                <w:rFonts w:ascii="仿宋_GB2312" w:eastAsia="仿宋_GB2312"/>
                <w:kern w:val="0"/>
              </w:rPr>
            </w:pPr>
          </w:p>
        </w:tc>
        <w:tc>
          <w:tcPr>
            <w:tcW w:w="699" w:type="dxa"/>
            <w:vAlign w:val="center"/>
          </w:tcPr>
          <w:p w14:paraId="45F31835">
            <w:pPr>
              <w:spacing w:line="240" w:lineRule="auto"/>
              <w:ind w:firstLine="420"/>
              <w:jc w:val="center"/>
              <w:rPr>
                <w:rFonts w:ascii="仿宋_GB2312" w:eastAsia="仿宋_GB2312"/>
                <w:kern w:val="0"/>
              </w:rPr>
            </w:pPr>
          </w:p>
        </w:tc>
        <w:tc>
          <w:tcPr>
            <w:tcW w:w="869" w:type="dxa"/>
            <w:vAlign w:val="center"/>
          </w:tcPr>
          <w:p w14:paraId="3D62FDEF">
            <w:pPr>
              <w:spacing w:line="240" w:lineRule="auto"/>
              <w:ind w:firstLine="420"/>
              <w:jc w:val="center"/>
              <w:rPr>
                <w:rFonts w:ascii="仿宋_GB2312" w:eastAsia="仿宋_GB2312"/>
                <w:kern w:val="0"/>
              </w:rPr>
            </w:pPr>
          </w:p>
        </w:tc>
        <w:tc>
          <w:tcPr>
            <w:tcW w:w="1423" w:type="dxa"/>
            <w:vAlign w:val="center"/>
          </w:tcPr>
          <w:p w14:paraId="57DECFDE">
            <w:pPr>
              <w:spacing w:line="240" w:lineRule="auto"/>
              <w:ind w:firstLine="420"/>
              <w:jc w:val="center"/>
              <w:rPr>
                <w:rFonts w:ascii="仿宋_GB2312" w:eastAsia="仿宋_GB2312"/>
                <w:kern w:val="0"/>
              </w:rPr>
            </w:pPr>
          </w:p>
        </w:tc>
      </w:tr>
      <w:tr w14:paraId="0B5D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7573E0B">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782E37C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58BAF7">
            <w:pPr>
              <w:spacing w:line="240" w:lineRule="auto"/>
              <w:ind w:firstLine="420"/>
              <w:jc w:val="center"/>
              <w:rPr>
                <w:rFonts w:ascii="仿宋_GB2312" w:eastAsia="仿宋_GB2312"/>
                <w:kern w:val="0"/>
              </w:rPr>
            </w:pPr>
          </w:p>
        </w:tc>
        <w:tc>
          <w:tcPr>
            <w:tcW w:w="1249" w:type="dxa"/>
            <w:vAlign w:val="center"/>
          </w:tcPr>
          <w:p w14:paraId="353ED426">
            <w:pPr>
              <w:spacing w:line="240" w:lineRule="auto"/>
              <w:ind w:firstLine="420"/>
              <w:jc w:val="center"/>
              <w:rPr>
                <w:rFonts w:ascii="仿宋_GB2312" w:eastAsia="仿宋_GB2312"/>
                <w:kern w:val="0"/>
              </w:rPr>
            </w:pPr>
          </w:p>
        </w:tc>
        <w:tc>
          <w:tcPr>
            <w:tcW w:w="1298" w:type="dxa"/>
            <w:vAlign w:val="center"/>
          </w:tcPr>
          <w:p w14:paraId="3D4C98A6">
            <w:pPr>
              <w:spacing w:line="240" w:lineRule="auto"/>
              <w:ind w:firstLine="420"/>
              <w:jc w:val="center"/>
              <w:rPr>
                <w:rFonts w:ascii="仿宋_GB2312" w:eastAsia="仿宋_GB2312"/>
                <w:kern w:val="0"/>
              </w:rPr>
            </w:pPr>
          </w:p>
        </w:tc>
        <w:tc>
          <w:tcPr>
            <w:tcW w:w="1269" w:type="dxa"/>
            <w:vAlign w:val="center"/>
          </w:tcPr>
          <w:p w14:paraId="2FC22B0A">
            <w:pPr>
              <w:spacing w:line="240" w:lineRule="auto"/>
              <w:ind w:firstLine="420"/>
              <w:jc w:val="center"/>
              <w:rPr>
                <w:rFonts w:ascii="仿宋_GB2312" w:eastAsia="仿宋_GB2312"/>
                <w:kern w:val="0"/>
              </w:rPr>
            </w:pPr>
          </w:p>
        </w:tc>
        <w:tc>
          <w:tcPr>
            <w:tcW w:w="699" w:type="dxa"/>
            <w:vAlign w:val="center"/>
          </w:tcPr>
          <w:p w14:paraId="29711080">
            <w:pPr>
              <w:spacing w:line="240" w:lineRule="auto"/>
              <w:ind w:firstLine="420"/>
              <w:jc w:val="center"/>
              <w:rPr>
                <w:rFonts w:ascii="仿宋_GB2312" w:eastAsia="仿宋_GB2312"/>
                <w:kern w:val="0"/>
              </w:rPr>
            </w:pPr>
          </w:p>
        </w:tc>
        <w:tc>
          <w:tcPr>
            <w:tcW w:w="869" w:type="dxa"/>
            <w:vAlign w:val="center"/>
          </w:tcPr>
          <w:p w14:paraId="7760B7D8">
            <w:pPr>
              <w:spacing w:line="240" w:lineRule="auto"/>
              <w:ind w:firstLine="420"/>
              <w:jc w:val="center"/>
              <w:rPr>
                <w:rFonts w:ascii="仿宋_GB2312" w:eastAsia="仿宋_GB2312"/>
                <w:kern w:val="0"/>
              </w:rPr>
            </w:pPr>
          </w:p>
        </w:tc>
        <w:tc>
          <w:tcPr>
            <w:tcW w:w="1423" w:type="dxa"/>
            <w:vAlign w:val="center"/>
          </w:tcPr>
          <w:p w14:paraId="340A98DE">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63B7EC90">
            <w:pPr>
              <w:spacing w:line="240" w:lineRule="auto"/>
              <w:ind w:firstLine="420"/>
              <w:jc w:val="center"/>
              <w:rPr>
                <w:rFonts w:ascii="仿宋_GB2312" w:eastAsia="仿宋_GB2312"/>
                <w:kern w:val="0"/>
              </w:rPr>
            </w:pPr>
            <w:r>
              <w:rPr>
                <w:rFonts w:hint="eastAsia" w:ascii="仿宋_GB2312" w:eastAsia="仿宋_GB2312"/>
                <w:kern w:val="0"/>
              </w:rPr>
              <w:t>严格控制在年度预算资金范围内</w:t>
            </w:r>
          </w:p>
        </w:tc>
        <w:tc>
          <w:tcPr>
            <w:tcW w:w="1298" w:type="dxa"/>
            <w:vAlign w:val="center"/>
          </w:tcPr>
          <w:p w14:paraId="15ECA8D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w:t>
            </w:r>
          </w:p>
        </w:tc>
        <w:tc>
          <w:tcPr>
            <w:tcW w:w="1269" w:type="dxa"/>
            <w:vAlign w:val="center"/>
          </w:tcPr>
          <w:p w14:paraId="3C32824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w:t>
            </w:r>
          </w:p>
        </w:tc>
        <w:tc>
          <w:tcPr>
            <w:tcW w:w="699" w:type="dxa"/>
            <w:vAlign w:val="center"/>
          </w:tcPr>
          <w:p w14:paraId="42BD2B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869" w:type="dxa"/>
            <w:vAlign w:val="center"/>
          </w:tcPr>
          <w:p w14:paraId="786F430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423" w:type="dxa"/>
            <w:vAlign w:val="center"/>
          </w:tcPr>
          <w:p w14:paraId="0F79A5E1">
            <w:pPr>
              <w:spacing w:line="240" w:lineRule="auto"/>
              <w:ind w:firstLine="420"/>
              <w:jc w:val="center"/>
              <w:rPr>
                <w:rFonts w:ascii="仿宋_GB2312" w:eastAsia="仿宋_GB2312"/>
                <w:kern w:val="0"/>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1298" w:type="dxa"/>
            <w:vAlign w:val="center"/>
          </w:tcPr>
          <w:p w14:paraId="09361E43">
            <w:pPr>
              <w:spacing w:line="240" w:lineRule="auto"/>
              <w:ind w:firstLine="420"/>
              <w:jc w:val="center"/>
              <w:rPr>
                <w:rFonts w:ascii="仿宋_GB2312" w:eastAsia="仿宋_GB2312"/>
                <w:kern w:val="0"/>
              </w:rPr>
            </w:pPr>
          </w:p>
        </w:tc>
        <w:tc>
          <w:tcPr>
            <w:tcW w:w="1269" w:type="dxa"/>
            <w:vAlign w:val="center"/>
          </w:tcPr>
          <w:p w14:paraId="32DCD303">
            <w:pPr>
              <w:spacing w:line="240" w:lineRule="auto"/>
              <w:ind w:firstLine="420"/>
              <w:jc w:val="center"/>
              <w:rPr>
                <w:rFonts w:ascii="仿宋_GB2312" w:eastAsia="仿宋_GB2312"/>
                <w:kern w:val="0"/>
              </w:rPr>
            </w:pPr>
          </w:p>
        </w:tc>
        <w:tc>
          <w:tcPr>
            <w:tcW w:w="699" w:type="dxa"/>
            <w:vAlign w:val="center"/>
          </w:tcPr>
          <w:p w14:paraId="765229A3">
            <w:pPr>
              <w:spacing w:line="240" w:lineRule="auto"/>
              <w:ind w:firstLine="420"/>
              <w:jc w:val="center"/>
              <w:rPr>
                <w:rFonts w:ascii="仿宋_GB2312" w:eastAsia="仿宋_GB2312"/>
                <w:kern w:val="0"/>
              </w:rPr>
            </w:pPr>
          </w:p>
        </w:tc>
        <w:tc>
          <w:tcPr>
            <w:tcW w:w="869" w:type="dxa"/>
            <w:vAlign w:val="center"/>
          </w:tcPr>
          <w:p w14:paraId="4012A71B">
            <w:pPr>
              <w:spacing w:line="240" w:lineRule="auto"/>
              <w:ind w:firstLine="420"/>
              <w:jc w:val="center"/>
              <w:rPr>
                <w:rFonts w:ascii="仿宋_GB2312" w:eastAsia="仿宋_GB2312"/>
                <w:kern w:val="0"/>
              </w:rPr>
            </w:pP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1298" w:type="dxa"/>
            <w:vAlign w:val="center"/>
          </w:tcPr>
          <w:p w14:paraId="789CDCB9">
            <w:pPr>
              <w:spacing w:line="240" w:lineRule="auto"/>
              <w:ind w:firstLine="420"/>
              <w:jc w:val="center"/>
              <w:rPr>
                <w:rFonts w:ascii="仿宋_GB2312" w:eastAsia="仿宋_GB2312"/>
                <w:kern w:val="0"/>
              </w:rPr>
            </w:pPr>
          </w:p>
        </w:tc>
        <w:tc>
          <w:tcPr>
            <w:tcW w:w="1269" w:type="dxa"/>
            <w:vAlign w:val="center"/>
          </w:tcPr>
          <w:p w14:paraId="4E354EE6">
            <w:pPr>
              <w:spacing w:line="240" w:lineRule="auto"/>
              <w:ind w:firstLine="420"/>
              <w:jc w:val="center"/>
              <w:rPr>
                <w:rFonts w:ascii="仿宋_GB2312" w:eastAsia="仿宋_GB2312"/>
                <w:kern w:val="0"/>
              </w:rPr>
            </w:pPr>
          </w:p>
        </w:tc>
        <w:tc>
          <w:tcPr>
            <w:tcW w:w="699" w:type="dxa"/>
            <w:vAlign w:val="center"/>
          </w:tcPr>
          <w:p w14:paraId="6C36DE67">
            <w:pPr>
              <w:spacing w:line="240" w:lineRule="auto"/>
              <w:ind w:firstLine="420"/>
              <w:jc w:val="center"/>
              <w:rPr>
                <w:rFonts w:ascii="仿宋_GB2312" w:eastAsia="仿宋_GB2312"/>
                <w:kern w:val="0"/>
              </w:rPr>
            </w:pPr>
          </w:p>
        </w:tc>
        <w:tc>
          <w:tcPr>
            <w:tcW w:w="869" w:type="dxa"/>
            <w:vAlign w:val="center"/>
          </w:tcPr>
          <w:p w14:paraId="6B31F2AB">
            <w:pPr>
              <w:spacing w:line="240" w:lineRule="auto"/>
              <w:ind w:firstLine="420"/>
              <w:jc w:val="center"/>
              <w:rPr>
                <w:rFonts w:ascii="仿宋_GB2312" w:eastAsia="仿宋_GB2312"/>
                <w:kern w:val="0"/>
              </w:rPr>
            </w:pP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93</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胡辉</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2023.6.16</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13787995938</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欧明目</w:t>
      </w:r>
      <w:r>
        <w:rPr>
          <w:rFonts w:ascii="仿宋_GB2312" w:hAnsi="宋体" w:eastAsia="仿宋_GB2312" w:cs="宋体"/>
          <w:snapToGrid w:val="0"/>
          <w:color w:val="000000"/>
          <w:sz w:val="35"/>
          <w:szCs w:val="35"/>
          <w:lang w:val="en-US" w:eastAsia="zh-CN" w:bidi="ar-SA"/>
        </w:rPr>
        <w:t xml:space="preserve"> </w:t>
      </w: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1105"/>
        <w:gridCol w:w="1127"/>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维稳协调</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汨罗市政法委</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1105"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127"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14:paraId="54320DC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165.7</w:t>
            </w:r>
          </w:p>
        </w:tc>
        <w:tc>
          <w:tcPr>
            <w:tcW w:w="1099" w:type="dxa"/>
            <w:vAlign w:val="center"/>
          </w:tcPr>
          <w:p w14:paraId="0C9E823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165.7</w:t>
            </w: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1105" w:type="dxa"/>
            <w:vAlign w:val="center"/>
          </w:tcPr>
          <w:p w14:paraId="3347080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127" w:type="dxa"/>
            <w:vAlign w:val="center"/>
          </w:tcPr>
          <w:p w14:paraId="7A8C6380">
            <w:pPr>
              <w:spacing w:line="240" w:lineRule="auto"/>
              <w:ind w:firstLine="420"/>
              <w:jc w:val="center"/>
              <w:rPr>
                <w:rFonts w:ascii="仿宋_GB2312" w:hAnsi="宋体" w:eastAsia="仿宋_GB2312" w:cs="宋体"/>
                <w:kern w:val="0"/>
                <w:lang w:eastAsia="zh-CN"/>
              </w:rPr>
            </w:pP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jc w:val="center"/>
              <w:rPr>
                <w:rFonts w:ascii="仿宋_GB2312" w:hAnsi="宋体" w:eastAsia="仿宋_GB2312" w:cs="宋体"/>
                <w:kern w:val="0"/>
                <w:lang w:eastAsia="zh-CN"/>
              </w:rPr>
            </w:pPr>
          </w:p>
        </w:tc>
        <w:tc>
          <w:tcPr>
            <w:tcW w:w="1099" w:type="dxa"/>
            <w:vAlign w:val="center"/>
          </w:tcPr>
          <w:p w14:paraId="5536407E">
            <w:pPr>
              <w:spacing w:line="240" w:lineRule="auto"/>
              <w:ind w:firstLine="420"/>
              <w:jc w:val="center"/>
              <w:rPr>
                <w:rFonts w:ascii="仿宋_GB2312" w:hAnsi="宋体" w:eastAsia="仿宋_GB2312" w:cs="宋体"/>
                <w:kern w:val="0"/>
                <w:lang w:eastAsia="zh-CN"/>
              </w:rPr>
            </w:pPr>
          </w:p>
        </w:tc>
        <w:tc>
          <w:tcPr>
            <w:tcW w:w="1099" w:type="dxa"/>
            <w:vAlign w:val="center"/>
          </w:tcPr>
          <w:p w14:paraId="0401DF6C">
            <w:pPr>
              <w:spacing w:line="240" w:lineRule="auto"/>
              <w:ind w:firstLine="420"/>
              <w:jc w:val="center"/>
              <w:rPr>
                <w:rFonts w:ascii="仿宋_GB2312" w:hAnsi="宋体" w:eastAsia="仿宋_GB2312" w:cs="宋体"/>
                <w:kern w:val="0"/>
                <w:lang w:eastAsia="zh-CN"/>
              </w:rPr>
            </w:pP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1105" w:type="dxa"/>
            <w:vAlign w:val="center"/>
          </w:tcPr>
          <w:p w14:paraId="4AC8E360">
            <w:pPr>
              <w:spacing w:line="240" w:lineRule="auto"/>
              <w:ind w:firstLine="420"/>
              <w:jc w:val="center"/>
              <w:rPr>
                <w:rFonts w:ascii="仿宋_GB2312" w:hAnsi="宋体" w:eastAsia="仿宋_GB2312" w:cs="宋体"/>
                <w:kern w:val="0"/>
                <w:lang w:eastAsia="zh-CN"/>
              </w:rPr>
            </w:pPr>
          </w:p>
        </w:tc>
        <w:tc>
          <w:tcPr>
            <w:tcW w:w="1127"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ascii="仿宋_GB2312" w:hAnsi="宋体" w:eastAsia="仿宋_GB2312" w:cs="宋体"/>
                <w:kern w:val="0"/>
                <w:lang w:eastAsia="zh-CN"/>
              </w:rPr>
            </w:pPr>
          </w:p>
        </w:tc>
        <w:tc>
          <w:tcPr>
            <w:tcW w:w="1099" w:type="dxa"/>
            <w:vAlign w:val="center"/>
          </w:tcPr>
          <w:p w14:paraId="3E136F30">
            <w:pPr>
              <w:spacing w:line="240" w:lineRule="auto"/>
              <w:ind w:firstLine="420"/>
              <w:jc w:val="center"/>
              <w:rPr>
                <w:rFonts w:ascii="仿宋_GB2312" w:hAnsi="宋体" w:eastAsia="仿宋_GB2312" w:cs="宋体"/>
                <w:kern w:val="0"/>
                <w:lang w:eastAsia="zh-CN"/>
              </w:rPr>
            </w:pPr>
          </w:p>
        </w:tc>
        <w:tc>
          <w:tcPr>
            <w:tcW w:w="1099" w:type="dxa"/>
            <w:vAlign w:val="center"/>
          </w:tcPr>
          <w:p w14:paraId="7EF1A3EC">
            <w:pPr>
              <w:spacing w:line="240" w:lineRule="auto"/>
              <w:ind w:firstLine="420"/>
              <w:jc w:val="center"/>
              <w:rPr>
                <w:rFonts w:ascii="仿宋_GB2312" w:hAnsi="宋体" w:eastAsia="仿宋_GB2312" w:cs="宋体"/>
                <w:kern w:val="0"/>
                <w:lang w:eastAsia="zh-CN"/>
              </w:rPr>
            </w:pP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1105" w:type="dxa"/>
            <w:vAlign w:val="center"/>
          </w:tcPr>
          <w:p w14:paraId="72BEE34C">
            <w:pPr>
              <w:spacing w:line="240" w:lineRule="auto"/>
              <w:ind w:firstLine="420"/>
              <w:jc w:val="center"/>
              <w:rPr>
                <w:rFonts w:ascii="仿宋_GB2312" w:hAnsi="宋体" w:eastAsia="仿宋_GB2312" w:cs="宋体"/>
                <w:kern w:val="0"/>
                <w:lang w:eastAsia="zh-CN"/>
              </w:rPr>
            </w:pPr>
          </w:p>
        </w:tc>
        <w:tc>
          <w:tcPr>
            <w:tcW w:w="1127"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ascii="仿宋_GB2312" w:hAnsi="宋体" w:eastAsia="仿宋_GB2312" w:cs="宋体"/>
                <w:kern w:val="0"/>
              </w:rPr>
            </w:pPr>
          </w:p>
        </w:tc>
        <w:tc>
          <w:tcPr>
            <w:tcW w:w="1099" w:type="dxa"/>
            <w:vAlign w:val="center"/>
          </w:tcPr>
          <w:p w14:paraId="03D3AC3D">
            <w:pPr>
              <w:spacing w:line="240" w:lineRule="auto"/>
              <w:ind w:firstLine="420"/>
              <w:jc w:val="center"/>
              <w:rPr>
                <w:rFonts w:ascii="仿宋_GB2312" w:hAnsi="宋体" w:eastAsia="仿宋_GB2312" w:cs="宋体"/>
                <w:kern w:val="0"/>
              </w:rPr>
            </w:pPr>
          </w:p>
        </w:tc>
        <w:tc>
          <w:tcPr>
            <w:tcW w:w="1099" w:type="dxa"/>
            <w:vAlign w:val="center"/>
          </w:tcPr>
          <w:p w14:paraId="186F5ED3">
            <w:pPr>
              <w:spacing w:line="240" w:lineRule="auto"/>
              <w:ind w:firstLine="420"/>
              <w:jc w:val="center"/>
              <w:rPr>
                <w:rFonts w:ascii="仿宋_GB2312" w:hAnsi="宋体" w:eastAsia="仿宋_GB2312" w:cs="宋体"/>
                <w:kern w:val="0"/>
              </w:rPr>
            </w:pP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1105" w:type="dxa"/>
            <w:vAlign w:val="center"/>
          </w:tcPr>
          <w:p w14:paraId="0EAD3560">
            <w:pPr>
              <w:spacing w:line="240" w:lineRule="auto"/>
              <w:ind w:firstLine="420"/>
              <w:jc w:val="center"/>
              <w:rPr>
                <w:rFonts w:ascii="仿宋_GB2312" w:hAnsi="宋体" w:eastAsia="仿宋_GB2312" w:cs="宋体"/>
                <w:kern w:val="0"/>
              </w:rPr>
            </w:pPr>
          </w:p>
        </w:tc>
        <w:tc>
          <w:tcPr>
            <w:tcW w:w="1127"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jc w:val="center"/>
              <w:rPr>
                <w:rFonts w:ascii="仿宋_GB2312" w:hAnsi="宋体" w:eastAsia="仿宋_GB2312" w:cs="宋体"/>
                <w:kern w:val="0"/>
              </w:rPr>
            </w:pPr>
            <w:r>
              <w:rPr>
                <w:rFonts w:hint="eastAsia" w:ascii="仿宋_GB2312" w:eastAsia="仿宋_GB2312"/>
                <w:kern w:val="0"/>
              </w:rPr>
              <w:t>2023年度政法委用于维稳协调的开支维护社会大局持续稳定，做好重大节假日安全保卫及时化解预防和化解群体性事件，协调好突发性和重大（案）事件，及时排查化解矛盾纠纷，定期判研稳定形势，促进社会公平正义。保证人民群众安居乐业。1、突出积案化解，2、突出矛盾排查，3、突出应急处理、4、做好重大安保，5、扫黑除恶，黑恶势力铲除在萌芽状态6、加加强政法队伍建设等</w:t>
            </w:r>
          </w:p>
        </w:tc>
        <w:tc>
          <w:tcPr>
            <w:tcW w:w="4140" w:type="dxa"/>
            <w:gridSpan w:val="4"/>
            <w:vAlign w:val="center"/>
          </w:tcPr>
          <w:p w14:paraId="309F7763">
            <w:pPr>
              <w:spacing w:line="240" w:lineRule="auto"/>
              <w:ind w:firstLine="420"/>
              <w:jc w:val="center"/>
              <w:rPr>
                <w:rFonts w:ascii="仿宋_GB2312" w:hAnsi="宋体" w:eastAsia="仿宋_GB2312" w:cs="宋体"/>
                <w:kern w:val="0"/>
              </w:rPr>
            </w:pPr>
            <w:r>
              <w:rPr>
                <w:rFonts w:hint="eastAsia" w:ascii="仿宋_GB2312" w:eastAsia="仿宋_GB2312"/>
                <w:kern w:val="0"/>
                <w:lang w:val="en-US" w:eastAsia="zh-CN"/>
              </w:rPr>
              <w:t>2</w:t>
            </w:r>
            <w:r>
              <w:rPr>
                <w:rFonts w:hint="eastAsia" w:ascii="仿宋_GB2312" w:eastAsia="仿宋_GB2312"/>
                <w:kern w:val="0"/>
              </w:rPr>
              <w:t>023年度政法委用于维稳协调的开支维护社会大局持续稳定，做好重大节假日安全保卫及时化解预防和化解群体性事件，协调好突发性和重大（案）事件，及时排查化解矛盾纠纷，定期判研稳定形势，促进社会公平正义。保证人民群众安居乐业。1、突出积案化解，2、突出矛盾排查，3、突出应急处理、4、做好重大安保，5、扫黑除恶，黑恶势力铲除在萌芽状态6、加加强政法队伍建设等。</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1105"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127"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维稳协调接访率达到100% 。</w:t>
            </w:r>
          </w:p>
        </w:tc>
        <w:tc>
          <w:tcPr>
            <w:tcW w:w="1099" w:type="dxa"/>
            <w:vAlign w:val="center"/>
          </w:tcPr>
          <w:p w14:paraId="54B9394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7F49710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809" w:type="dxa"/>
            <w:vAlign w:val="center"/>
          </w:tcPr>
          <w:p w14:paraId="450DEC1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1105" w:type="dxa"/>
            <w:vAlign w:val="center"/>
          </w:tcPr>
          <w:p w14:paraId="5F7B7A4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127" w:type="dxa"/>
            <w:vAlign w:val="center"/>
          </w:tcPr>
          <w:p w14:paraId="47B69173">
            <w:pPr>
              <w:spacing w:line="240" w:lineRule="auto"/>
              <w:ind w:firstLine="420"/>
              <w:jc w:val="center"/>
              <w:rPr>
                <w:rFonts w:ascii="仿宋_GB2312" w:hAnsi="宋体" w:eastAsia="仿宋_GB2312" w:cs="宋体"/>
                <w:kern w:val="0"/>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D5CE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941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66FD07B">
            <w:pPr>
              <w:spacing w:line="240" w:lineRule="auto"/>
              <w:ind w:firstLine="420"/>
              <w:jc w:val="center"/>
              <w:rPr>
                <w:rFonts w:ascii="仿宋_GB2312" w:hAnsi="宋体" w:eastAsia="仿宋_GB2312" w:cs="宋体"/>
                <w:kern w:val="0"/>
              </w:rPr>
            </w:pPr>
          </w:p>
        </w:tc>
        <w:tc>
          <w:tcPr>
            <w:tcW w:w="1020" w:type="dxa"/>
            <w:vAlign w:val="center"/>
          </w:tcPr>
          <w:p w14:paraId="221334DE">
            <w:pPr>
              <w:spacing w:line="240" w:lineRule="auto"/>
              <w:ind w:firstLine="420"/>
              <w:jc w:val="center"/>
              <w:rPr>
                <w:rFonts w:hint="default" w:ascii="仿宋_GB2312" w:hAnsi="宋体" w:eastAsia="仿宋_GB2312" w:cs="宋体"/>
                <w:kern w:val="0"/>
                <w:lang w:val="en-US"/>
              </w:rPr>
            </w:pPr>
            <w:r>
              <w:rPr>
                <w:rFonts w:hint="eastAsia" w:ascii="仿宋_GB2312" w:hAnsi="宋体" w:eastAsia="仿宋_GB2312" w:cs="宋体"/>
                <w:kern w:val="0"/>
              </w:rPr>
              <w:t>扫黑除恶</w:t>
            </w:r>
            <w:r>
              <w:rPr>
                <w:rFonts w:hint="eastAsia" w:ascii="仿宋_GB2312" w:hAnsi="宋体" w:eastAsia="仿宋_GB2312" w:cs="宋体"/>
                <w:kern w:val="0"/>
                <w:lang w:val="en-US" w:eastAsia="zh-CN"/>
              </w:rPr>
              <w:t>100%</w:t>
            </w:r>
          </w:p>
        </w:tc>
        <w:tc>
          <w:tcPr>
            <w:tcW w:w="1099" w:type="dxa"/>
            <w:vAlign w:val="center"/>
          </w:tcPr>
          <w:p w14:paraId="29CCEED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70F41D2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809" w:type="dxa"/>
            <w:vAlign w:val="center"/>
          </w:tcPr>
          <w:p w14:paraId="662F704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1105" w:type="dxa"/>
            <w:vAlign w:val="center"/>
          </w:tcPr>
          <w:p w14:paraId="676686A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1127" w:type="dxa"/>
            <w:vAlign w:val="center"/>
          </w:tcPr>
          <w:p w14:paraId="0ED4F555">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维稳协调工作</w:t>
            </w:r>
          </w:p>
        </w:tc>
        <w:tc>
          <w:tcPr>
            <w:tcW w:w="1099" w:type="dxa"/>
            <w:vAlign w:val="center"/>
          </w:tcPr>
          <w:p w14:paraId="2D69FB32">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好</w:t>
            </w:r>
          </w:p>
        </w:tc>
        <w:tc>
          <w:tcPr>
            <w:tcW w:w="1099" w:type="dxa"/>
            <w:vAlign w:val="center"/>
          </w:tcPr>
          <w:p w14:paraId="03BC31E1">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好</w:t>
            </w:r>
          </w:p>
        </w:tc>
        <w:tc>
          <w:tcPr>
            <w:tcW w:w="809" w:type="dxa"/>
            <w:vAlign w:val="center"/>
          </w:tcPr>
          <w:p w14:paraId="5DC8615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1105" w:type="dxa"/>
            <w:vAlign w:val="center"/>
          </w:tcPr>
          <w:p w14:paraId="25177C6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1127" w:type="dxa"/>
            <w:vAlign w:val="center"/>
          </w:tcPr>
          <w:p w14:paraId="2036CC26">
            <w:pPr>
              <w:spacing w:line="240" w:lineRule="auto"/>
              <w:ind w:firstLine="420"/>
              <w:jc w:val="center"/>
              <w:rPr>
                <w:rFonts w:ascii="仿宋_GB2312" w:hAnsi="宋体" w:eastAsia="仿宋_GB2312" w:cs="宋体"/>
                <w:kern w:val="0"/>
              </w:rPr>
            </w:pP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ACF22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F4A07E3">
            <w:pPr>
              <w:spacing w:line="240" w:lineRule="auto"/>
              <w:ind w:firstLine="420"/>
              <w:jc w:val="center"/>
              <w:rPr>
                <w:rFonts w:ascii="仿宋_GB2312" w:hAnsi="宋体" w:eastAsia="仿宋_GB2312" w:cs="宋体"/>
                <w:kern w:val="0"/>
              </w:rPr>
            </w:pPr>
          </w:p>
        </w:tc>
        <w:tc>
          <w:tcPr>
            <w:tcW w:w="1020" w:type="dxa"/>
            <w:vAlign w:val="center"/>
          </w:tcPr>
          <w:p w14:paraId="37972163">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rPr>
              <w:t>扫黑除恶</w:t>
            </w:r>
            <w:r>
              <w:rPr>
                <w:rFonts w:hint="eastAsia" w:ascii="仿宋_GB2312" w:hAnsi="宋体" w:eastAsia="仿宋_GB2312" w:cs="宋体"/>
                <w:kern w:val="0"/>
                <w:lang w:eastAsia="zh-CN"/>
              </w:rPr>
              <w:t>工作</w:t>
            </w:r>
          </w:p>
        </w:tc>
        <w:tc>
          <w:tcPr>
            <w:tcW w:w="1099" w:type="dxa"/>
            <w:vAlign w:val="center"/>
          </w:tcPr>
          <w:p w14:paraId="29C293EB">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好</w:t>
            </w:r>
          </w:p>
        </w:tc>
        <w:tc>
          <w:tcPr>
            <w:tcW w:w="1099" w:type="dxa"/>
            <w:vAlign w:val="center"/>
          </w:tcPr>
          <w:p w14:paraId="1620D8FA">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好</w:t>
            </w:r>
          </w:p>
        </w:tc>
        <w:tc>
          <w:tcPr>
            <w:tcW w:w="809" w:type="dxa"/>
            <w:vAlign w:val="center"/>
          </w:tcPr>
          <w:p w14:paraId="1CFE771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1105" w:type="dxa"/>
            <w:vAlign w:val="center"/>
          </w:tcPr>
          <w:p w14:paraId="182C2D1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1127" w:type="dxa"/>
            <w:vAlign w:val="center"/>
          </w:tcPr>
          <w:p w14:paraId="20090E9D">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 xml:space="preserve">按时完成绩效目标任务 </w:t>
            </w:r>
          </w:p>
        </w:tc>
        <w:tc>
          <w:tcPr>
            <w:tcW w:w="1099" w:type="dxa"/>
            <w:vAlign w:val="center"/>
          </w:tcPr>
          <w:p w14:paraId="015D039B">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w:t>
            </w:r>
            <w:r>
              <w:rPr>
                <w:rFonts w:hint="eastAsia" w:ascii="仿宋_GB2312" w:hAnsi="宋体" w:eastAsia="仿宋_GB2312" w:cs="宋体"/>
                <w:kern w:val="0"/>
                <w:lang w:eastAsia="zh-CN"/>
              </w:rPr>
              <w:t>年</w:t>
            </w:r>
          </w:p>
        </w:tc>
        <w:tc>
          <w:tcPr>
            <w:tcW w:w="1099" w:type="dxa"/>
            <w:vAlign w:val="center"/>
          </w:tcPr>
          <w:p w14:paraId="5C21687F">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1年</w:t>
            </w:r>
          </w:p>
        </w:tc>
        <w:tc>
          <w:tcPr>
            <w:tcW w:w="809" w:type="dxa"/>
            <w:vAlign w:val="center"/>
          </w:tcPr>
          <w:p w14:paraId="0D16C33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1105" w:type="dxa"/>
            <w:vAlign w:val="center"/>
          </w:tcPr>
          <w:p w14:paraId="094C7D5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1127" w:type="dxa"/>
            <w:vAlign w:val="center"/>
          </w:tcPr>
          <w:p w14:paraId="46CE8FD2">
            <w:pPr>
              <w:spacing w:line="240" w:lineRule="auto"/>
              <w:ind w:firstLine="420"/>
              <w:jc w:val="center"/>
              <w:rPr>
                <w:rFonts w:ascii="仿宋_GB2312" w:hAnsi="宋体" w:eastAsia="仿宋_GB2312" w:cs="宋体"/>
                <w:kern w:val="0"/>
              </w:rPr>
            </w:pPr>
          </w:p>
        </w:tc>
      </w:tr>
      <w:tr w14:paraId="4841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D9AB2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8001EC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3D7B1B6">
            <w:pPr>
              <w:spacing w:line="240" w:lineRule="auto"/>
              <w:ind w:firstLine="420"/>
              <w:jc w:val="center"/>
              <w:rPr>
                <w:rFonts w:ascii="仿宋_GB2312" w:hAnsi="宋体" w:eastAsia="仿宋_GB2312" w:cs="宋体"/>
                <w:kern w:val="0"/>
              </w:rPr>
            </w:pPr>
          </w:p>
        </w:tc>
        <w:tc>
          <w:tcPr>
            <w:tcW w:w="1020" w:type="dxa"/>
            <w:vAlign w:val="center"/>
          </w:tcPr>
          <w:p w14:paraId="54579AB0">
            <w:pPr>
              <w:spacing w:line="240" w:lineRule="auto"/>
              <w:ind w:firstLine="420"/>
              <w:jc w:val="center"/>
              <w:rPr>
                <w:rFonts w:ascii="仿宋_GB2312" w:hAnsi="宋体" w:eastAsia="仿宋_GB2312" w:cs="宋体"/>
                <w:kern w:val="0"/>
              </w:rPr>
            </w:pPr>
          </w:p>
        </w:tc>
        <w:tc>
          <w:tcPr>
            <w:tcW w:w="1099" w:type="dxa"/>
            <w:vAlign w:val="center"/>
          </w:tcPr>
          <w:p w14:paraId="7E44AA5B">
            <w:pPr>
              <w:spacing w:line="240" w:lineRule="auto"/>
              <w:ind w:firstLine="420"/>
              <w:jc w:val="center"/>
              <w:rPr>
                <w:rFonts w:ascii="仿宋_GB2312" w:hAnsi="宋体" w:eastAsia="仿宋_GB2312" w:cs="宋体"/>
                <w:kern w:val="0"/>
              </w:rPr>
            </w:pPr>
          </w:p>
        </w:tc>
        <w:tc>
          <w:tcPr>
            <w:tcW w:w="1099" w:type="dxa"/>
            <w:vAlign w:val="center"/>
          </w:tcPr>
          <w:p w14:paraId="00736A60">
            <w:pPr>
              <w:spacing w:line="240" w:lineRule="auto"/>
              <w:ind w:firstLine="420"/>
              <w:jc w:val="center"/>
              <w:rPr>
                <w:rFonts w:ascii="仿宋_GB2312" w:hAnsi="宋体" w:eastAsia="仿宋_GB2312" w:cs="宋体"/>
                <w:kern w:val="0"/>
              </w:rPr>
            </w:pPr>
          </w:p>
        </w:tc>
        <w:tc>
          <w:tcPr>
            <w:tcW w:w="809" w:type="dxa"/>
            <w:vAlign w:val="center"/>
          </w:tcPr>
          <w:p w14:paraId="13AFCFC5">
            <w:pPr>
              <w:spacing w:line="240" w:lineRule="auto"/>
              <w:ind w:firstLine="420"/>
              <w:jc w:val="center"/>
              <w:rPr>
                <w:rFonts w:ascii="仿宋_GB2312" w:hAnsi="宋体" w:eastAsia="仿宋_GB2312" w:cs="宋体"/>
                <w:kern w:val="0"/>
              </w:rPr>
            </w:pPr>
          </w:p>
        </w:tc>
        <w:tc>
          <w:tcPr>
            <w:tcW w:w="1105" w:type="dxa"/>
            <w:vAlign w:val="center"/>
          </w:tcPr>
          <w:p w14:paraId="5322DFE5">
            <w:pPr>
              <w:spacing w:line="240" w:lineRule="auto"/>
              <w:ind w:firstLine="420"/>
              <w:jc w:val="center"/>
              <w:rPr>
                <w:rFonts w:ascii="仿宋_GB2312" w:hAnsi="宋体" w:eastAsia="仿宋_GB2312" w:cs="宋体"/>
                <w:kern w:val="0"/>
              </w:rPr>
            </w:pPr>
          </w:p>
        </w:tc>
        <w:tc>
          <w:tcPr>
            <w:tcW w:w="1127" w:type="dxa"/>
            <w:vAlign w:val="center"/>
          </w:tcPr>
          <w:p w14:paraId="5BEADF18">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 xml:space="preserve"> 提高财政资金使用效益</w:t>
            </w:r>
          </w:p>
        </w:tc>
        <w:tc>
          <w:tcPr>
            <w:tcW w:w="1099" w:type="dxa"/>
            <w:vAlign w:val="center"/>
          </w:tcPr>
          <w:p w14:paraId="53928C3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1099" w:type="dxa"/>
            <w:vAlign w:val="center"/>
          </w:tcPr>
          <w:p w14:paraId="6D883DD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90</w:t>
            </w:r>
          </w:p>
        </w:tc>
        <w:tc>
          <w:tcPr>
            <w:tcW w:w="809" w:type="dxa"/>
            <w:vAlign w:val="center"/>
          </w:tcPr>
          <w:p w14:paraId="2958485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105" w:type="dxa"/>
            <w:vAlign w:val="center"/>
          </w:tcPr>
          <w:p w14:paraId="41D412C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127" w:type="dxa"/>
            <w:vAlign w:val="center"/>
          </w:tcPr>
          <w:p w14:paraId="5D804D2D">
            <w:pPr>
              <w:spacing w:line="240" w:lineRule="auto"/>
              <w:ind w:firstLine="420"/>
              <w:jc w:val="center"/>
              <w:rPr>
                <w:rFonts w:ascii="仿宋_GB2312" w:hAnsi="宋体" w:eastAsia="仿宋_GB2312" w:cs="宋体"/>
                <w:kern w:val="0"/>
              </w:rPr>
            </w:pPr>
          </w:p>
        </w:tc>
      </w:tr>
      <w:tr w14:paraId="4742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42360D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BA1947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80F7AD3">
            <w:pPr>
              <w:spacing w:line="240" w:lineRule="auto"/>
              <w:ind w:firstLine="420"/>
              <w:jc w:val="center"/>
              <w:rPr>
                <w:rFonts w:ascii="仿宋_GB2312" w:hAnsi="宋体" w:eastAsia="仿宋_GB2312" w:cs="宋体"/>
                <w:kern w:val="0"/>
              </w:rPr>
            </w:pPr>
          </w:p>
        </w:tc>
        <w:tc>
          <w:tcPr>
            <w:tcW w:w="1020" w:type="dxa"/>
            <w:vAlign w:val="center"/>
          </w:tcPr>
          <w:p w14:paraId="393F2438">
            <w:pPr>
              <w:spacing w:line="240" w:lineRule="auto"/>
              <w:ind w:firstLine="420"/>
              <w:jc w:val="center"/>
              <w:rPr>
                <w:rFonts w:ascii="仿宋_GB2312" w:hAnsi="宋体" w:eastAsia="仿宋_GB2312" w:cs="宋体"/>
                <w:kern w:val="0"/>
              </w:rPr>
            </w:pPr>
          </w:p>
        </w:tc>
        <w:tc>
          <w:tcPr>
            <w:tcW w:w="1099" w:type="dxa"/>
            <w:vAlign w:val="center"/>
          </w:tcPr>
          <w:p w14:paraId="2C0C58B6">
            <w:pPr>
              <w:spacing w:line="240" w:lineRule="auto"/>
              <w:ind w:firstLine="420"/>
              <w:jc w:val="center"/>
              <w:rPr>
                <w:rFonts w:ascii="仿宋_GB2312" w:hAnsi="宋体" w:eastAsia="仿宋_GB2312" w:cs="宋体"/>
                <w:kern w:val="0"/>
              </w:rPr>
            </w:pPr>
          </w:p>
        </w:tc>
        <w:tc>
          <w:tcPr>
            <w:tcW w:w="1099" w:type="dxa"/>
            <w:vAlign w:val="center"/>
          </w:tcPr>
          <w:p w14:paraId="076658D4">
            <w:pPr>
              <w:spacing w:line="240" w:lineRule="auto"/>
              <w:ind w:firstLine="420"/>
              <w:jc w:val="center"/>
              <w:rPr>
                <w:rFonts w:ascii="仿宋_GB2312" w:hAnsi="宋体" w:eastAsia="仿宋_GB2312" w:cs="宋体"/>
                <w:kern w:val="0"/>
              </w:rPr>
            </w:pPr>
          </w:p>
        </w:tc>
        <w:tc>
          <w:tcPr>
            <w:tcW w:w="809" w:type="dxa"/>
            <w:vAlign w:val="center"/>
          </w:tcPr>
          <w:p w14:paraId="3D83AE10">
            <w:pPr>
              <w:spacing w:line="240" w:lineRule="auto"/>
              <w:ind w:firstLine="420"/>
              <w:jc w:val="center"/>
              <w:rPr>
                <w:rFonts w:ascii="仿宋_GB2312" w:hAnsi="宋体" w:eastAsia="仿宋_GB2312" w:cs="宋体"/>
                <w:kern w:val="0"/>
              </w:rPr>
            </w:pPr>
          </w:p>
        </w:tc>
        <w:tc>
          <w:tcPr>
            <w:tcW w:w="1105" w:type="dxa"/>
            <w:vAlign w:val="center"/>
          </w:tcPr>
          <w:p w14:paraId="6B84A567">
            <w:pPr>
              <w:spacing w:line="240" w:lineRule="auto"/>
              <w:ind w:firstLine="420"/>
              <w:jc w:val="center"/>
              <w:rPr>
                <w:rFonts w:ascii="仿宋_GB2312" w:hAnsi="宋体" w:eastAsia="仿宋_GB2312" w:cs="宋体"/>
                <w:kern w:val="0"/>
              </w:rPr>
            </w:pPr>
          </w:p>
        </w:tc>
        <w:tc>
          <w:tcPr>
            <w:tcW w:w="1127" w:type="dxa"/>
            <w:vAlign w:val="center"/>
          </w:tcPr>
          <w:p w14:paraId="145E24DC">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维稳协调 优化资源配置， 维护社会稳</w:t>
            </w:r>
          </w:p>
        </w:tc>
        <w:tc>
          <w:tcPr>
            <w:tcW w:w="1099" w:type="dxa"/>
            <w:vAlign w:val="center"/>
          </w:tcPr>
          <w:p w14:paraId="0187539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90</w:t>
            </w:r>
          </w:p>
        </w:tc>
        <w:tc>
          <w:tcPr>
            <w:tcW w:w="1099" w:type="dxa"/>
            <w:vAlign w:val="center"/>
          </w:tcPr>
          <w:p w14:paraId="4101F8D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90</w:t>
            </w:r>
          </w:p>
        </w:tc>
        <w:tc>
          <w:tcPr>
            <w:tcW w:w="809" w:type="dxa"/>
            <w:vAlign w:val="center"/>
          </w:tcPr>
          <w:p w14:paraId="699C14A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105" w:type="dxa"/>
            <w:vAlign w:val="center"/>
          </w:tcPr>
          <w:p w14:paraId="0665EFF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127" w:type="dxa"/>
            <w:vAlign w:val="center"/>
          </w:tcPr>
          <w:p w14:paraId="27B9758C">
            <w:pPr>
              <w:spacing w:line="240" w:lineRule="auto"/>
              <w:ind w:firstLine="420"/>
              <w:jc w:val="center"/>
              <w:rPr>
                <w:rFonts w:ascii="仿宋_GB2312" w:hAnsi="宋体" w:eastAsia="仿宋_GB2312" w:cs="宋体"/>
                <w:kern w:val="0"/>
              </w:rPr>
            </w:pPr>
          </w:p>
        </w:tc>
      </w:tr>
      <w:tr w14:paraId="3673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B1D63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C76C5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5B5E5FB">
            <w:pPr>
              <w:spacing w:line="240" w:lineRule="auto"/>
              <w:ind w:firstLine="420"/>
              <w:jc w:val="center"/>
              <w:rPr>
                <w:rFonts w:ascii="仿宋_GB2312" w:hAnsi="宋体" w:eastAsia="仿宋_GB2312" w:cs="宋体"/>
                <w:kern w:val="0"/>
              </w:rPr>
            </w:pPr>
          </w:p>
        </w:tc>
        <w:tc>
          <w:tcPr>
            <w:tcW w:w="1020" w:type="dxa"/>
            <w:vAlign w:val="center"/>
          </w:tcPr>
          <w:p w14:paraId="75BCFFE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夯实基层基础</w:t>
            </w:r>
          </w:p>
        </w:tc>
        <w:tc>
          <w:tcPr>
            <w:tcW w:w="1099" w:type="dxa"/>
            <w:vAlign w:val="center"/>
          </w:tcPr>
          <w:p w14:paraId="77BC489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1099" w:type="dxa"/>
            <w:vAlign w:val="center"/>
          </w:tcPr>
          <w:p w14:paraId="7115F4A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90</w:t>
            </w:r>
          </w:p>
        </w:tc>
        <w:tc>
          <w:tcPr>
            <w:tcW w:w="809" w:type="dxa"/>
            <w:vAlign w:val="center"/>
          </w:tcPr>
          <w:p w14:paraId="063BB88A">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105" w:type="dxa"/>
            <w:vAlign w:val="center"/>
          </w:tcPr>
          <w:p w14:paraId="2493074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127" w:type="dxa"/>
            <w:vAlign w:val="center"/>
          </w:tcPr>
          <w:p w14:paraId="7B7FD6F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spacing w:line="240" w:lineRule="auto"/>
              <w:ind w:firstLine="420"/>
              <w:jc w:val="center"/>
              <w:rPr>
                <w:rFonts w:ascii="仿宋_GB2312" w:hAnsi="宋体" w:eastAsia="仿宋_GB2312" w:cs="宋体"/>
                <w:kern w:val="0"/>
              </w:rPr>
            </w:pPr>
          </w:p>
        </w:tc>
        <w:tc>
          <w:tcPr>
            <w:tcW w:w="1099" w:type="dxa"/>
            <w:vAlign w:val="center"/>
          </w:tcPr>
          <w:p w14:paraId="286C2197">
            <w:pPr>
              <w:spacing w:line="240" w:lineRule="auto"/>
              <w:ind w:firstLine="420"/>
              <w:jc w:val="center"/>
              <w:rPr>
                <w:rFonts w:ascii="仿宋_GB2312" w:hAnsi="宋体" w:eastAsia="仿宋_GB2312" w:cs="宋体"/>
                <w:kern w:val="0"/>
              </w:rPr>
            </w:pPr>
          </w:p>
        </w:tc>
        <w:tc>
          <w:tcPr>
            <w:tcW w:w="1099" w:type="dxa"/>
            <w:vAlign w:val="center"/>
          </w:tcPr>
          <w:p w14:paraId="4CA75DEB">
            <w:pPr>
              <w:spacing w:line="240" w:lineRule="auto"/>
              <w:ind w:firstLine="420"/>
              <w:jc w:val="center"/>
              <w:rPr>
                <w:rFonts w:ascii="仿宋_GB2312" w:hAnsi="宋体" w:eastAsia="仿宋_GB2312" w:cs="宋体"/>
                <w:kern w:val="0"/>
              </w:rPr>
            </w:pPr>
          </w:p>
        </w:tc>
        <w:tc>
          <w:tcPr>
            <w:tcW w:w="809" w:type="dxa"/>
            <w:vAlign w:val="center"/>
          </w:tcPr>
          <w:p w14:paraId="491BA994">
            <w:pPr>
              <w:spacing w:line="240" w:lineRule="auto"/>
              <w:ind w:firstLine="420"/>
              <w:jc w:val="center"/>
              <w:rPr>
                <w:rFonts w:ascii="仿宋_GB2312" w:hAnsi="宋体" w:eastAsia="仿宋_GB2312" w:cs="宋体"/>
                <w:kern w:val="0"/>
              </w:rPr>
            </w:pPr>
          </w:p>
        </w:tc>
        <w:tc>
          <w:tcPr>
            <w:tcW w:w="1105" w:type="dxa"/>
            <w:vAlign w:val="center"/>
          </w:tcPr>
          <w:p w14:paraId="1BF7EB9C">
            <w:pPr>
              <w:spacing w:line="240" w:lineRule="auto"/>
              <w:ind w:firstLine="420"/>
              <w:jc w:val="center"/>
              <w:rPr>
                <w:rFonts w:ascii="仿宋_GB2312" w:hAnsi="宋体" w:eastAsia="仿宋_GB2312" w:cs="宋体"/>
                <w:kern w:val="0"/>
              </w:rPr>
            </w:pPr>
          </w:p>
        </w:tc>
        <w:tc>
          <w:tcPr>
            <w:tcW w:w="1127" w:type="dxa"/>
            <w:vAlign w:val="center"/>
          </w:tcPr>
          <w:p w14:paraId="5E0A44CC">
            <w:pPr>
              <w:spacing w:line="240" w:lineRule="auto"/>
              <w:ind w:firstLine="420"/>
              <w:jc w:val="center"/>
              <w:rPr>
                <w:rFonts w:ascii="仿宋_GB2312" w:hAnsi="宋体" w:eastAsia="仿宋_GB2312" w:cs="宋体"/>
                <w:kern w:val="0"/>
              </w:rPr>
            </w:pPr>
          </w:p>
        </w:tc>
      </w:tr>
      <w:tr w14:paraId="7915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ED169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648E9A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26F5CFF">
            <w:pPr>
              <w:spacing w:line="240" w:lineRule="auto"/>
              <w:ind w:firstLine="420"/>
              <w:jc w:val="center"/>
              <w:rPr>
                <w:rFonts w:ascii="仿宋_GB2312" w:hAnsi="宋体" w:eastAsia="仿宋_GB2312" w:cs="宋体"/>
                <w:kern w:val="0"/>
              </w:rPr>
            </w:pPr>
          </w:p>
        </w:tc>
        <w:tc>
          <w:tcPr>
            <w:tcW w:w="1020" w:type="dxa"/>
            <w:vAlign w:val="center"/>
          </w:tcPr>
          <w:p w14:paraId="03E0B683">
            <w:pPr>
              <w:spacing w:line="240" w:lineRule="auto"/>
              <w:ind w:firstLine="420"/>
              <w:jc w:val="center"/>
              <w:rPr>
                <w:rFonts w:ascii="仿宋_GB2312" w:hAnsi="宋体" w:eastAsia="仿宋_GB2312" w:cs="宋体"/>
                <w:kern w:val="0"/>
              </w:rPr>
            </w:pPr>
          </w:p>
        </w:tc>
        <w:tc>
          <w:tcPr>
            <w:tcW w:w="1099" w:type="dxa"/>
            <w:vAlign w:val="center"/>
          </w:tcPr>
          <w:p w14:paraId="284DAE29">
            <w:pPr>
              <w:spacing w:line="240" w:lineRule="auto"/>
              <w:ind w:firstLine="420"/>
              <w:jc w:val="center"/>
              <w:rPr>
                <w:rFonts w:ascii="仿宋_GB2312" w:hAnsi="宋体" w:eastAsia="仿宋_GB2312" w:cs="宋体"/>
                <w:kern w:val="0"/>
              </w:rPr>
            </w:pPr>
          </w:p>
        </w:tc>
        <w:tc>
          <w:tcPr>
            <w:tcW w:w="1099" w:type="dxa"/>
            <w:vAlign w:val="center"/>
          </w:tcPr>
          <w:p w14:paraId="3E80B33A">
            <w:pPr>
              <w:spacing w:line="240" w:lineRule="auto"/>
              <w:ind w:firstLine="420"/>
              <w:jc w:val="center"/>
              <w:rPr>
                <w:rFonts w:ascii="仿宋_GB2312" w:hAnsi="宋体" w:eastAsia="仿宋_GB2312" w:cs="宋体"/>
                <w:kern w:val="0"/>
              </w:rPr>
            </w:pPr>
          </w:p>
        </w:tc>
        <w:tc>
          <w:tcPr>
            <w:tcW w:w="809" w:type="dxa"/>
            <w:vAlign w:val="center"/>
          </w:tcPr>
          <w:p w14:paraId="5B45A609">
            <w:pPr>
              <w:spacing w:line="240" w:lineRule="auto"/>
              <w:ind w:firstLine="420"/>
              <w:jc w:val="center"/>
              <w:rPr>
                <w:rFonts w:ascii="仿宋_GB2312" w:hAnsi="宋体" w:eastAsia="仿宋_GB2312" w:cs="宋体"/>
                <w:kern w:val="0"/>
              </w:rPr>
            </w:pPr>
          </w:p>
        </w:tc>
        <w:tc>
          <w:tcPr>
            <w:tcW w:w="1105" w:type="dxa"/>
            <w:vAlign w:val="center"/>
          </w:tcPr>
          <w:p w14:paraId="5506B9DE">
            <w:pPr>
              <w:spacing w:line="240" w:lineRule="auto"/>
              <w:ind w:firstLine="420"/>
              <w:jc w:val="center"/>
              <w:rPr>
                <w:rFonts w:ascii="仿宋_GB2312" w:hAnsi="宋体" w:eastAsia="仿宋_GB2312" w:cs="宋体"/>
                <w:kern w:val="0"/>
              </w:rPr>
            </w:pPr>
          </w:p>
        </w:tc>
        <w:tc>
          <w:tcPr>
            <w:tcW w:w="1127" w:type="dxa"/>
            <w:vAlign w:val="center"/>
          </w:tcPr>
          <w:p w14:paraId="1E093232">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保持良好社会风气</w:t>
            </w:r>
          </w:p>
        </w:tc>
        <w:tc>
          <w:tcPr>
            <w:tcW w:w="1099" w:type="dxa"/>
            <w:vAlign w:val="center"/>
          </w:tcPr>
          <w:p w14:paraId="48F3A1C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1099" w:type="dxa"/>
            <w:vAlign w:val="center"/>
          </w:tcPr>
          <w:p w14:paraId="596F13D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90</w:t>
            </w:r>
          </w:p>
        </w:tc>
        <w:tc>
          <w:tcPr>
            <w:tcW w:w="809" w:type="dxa"/>
            <w:vAlign w:val="center"/>
          </w:tcPr>
          <w:p w14:paraId="49A57C7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105" w:type="dxa"/>
            <w:vAlign w:val="center"/>
          </w:tcPr>
          <w:p w14:paraId="044D5C8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127" w:type="dxa"/>
            <w:vAlign w:val="center"/>
          </w:tcPr>
          <w:p w14:paraId="2463F4C6">
            <w:pPr>
              <w:spacing w:line="240" w:lineRule="auto"/>
              <w:ind w:firstLine="420"/>
              <w:jc w:val="center"/>
              <w:rPr>
                <w:rFonts w:ascii="仿宋_GB2312" w:hAnsi="宋体" w:eastAsia="仿宋_GB2312" w:cs="宋体"/>
                <w:kern w:val="0"/>
              </w:rPr>
            </w:pPr>
          </w:p>
        </w:tc>
      </w:tr>
      <w:tr w14:paraId="5B24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FB86F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C3FF72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542575E">
            <w:pPr>
              <w:spacing w:line="240" w:lineRule="auto"/>
              <w:ind w:firstLine="420"/>
              <w:jc w:val="center"/>
              <w:rPr>
                <w:rFonts w:ascii="仿宋_GB2312" w:hAnsi="宋体" w:eastAsia="仿宋_GB2312" w:cs="宋体"/>
                <w:kern w:val="0"/>
              </w:rPr>
            </w:pPr>
          </w:p>
        </w:tc>
        <w:tc>
          <w:tcPr>
            <w:tcW w:w="1020" w:type="dxa"/>
            <w:vAlign w:val="center"/>
          </w:tcPr>
          <w:p w14:paraId="1072249E">
            <w:pPr>
              <w:spacing w:line="240" w:lineRule="auto"/>
              <w:ind w:firstLine="420"/>
              <w:jc w:val="center"/>
              <w:rPr>
                <w:rFonts w:ascii="仿宋_GB2312" w:hAnsi="宋体" w:eastAsia="仿宋_GB2312" w:cs="宋体"/>
                <w:kern w:val="0"/>
              </w:rPr>
            </w:pPr>
          </w:p>
        </w:tc>
        <w:tc>
          <w:tcPr>
            <w:tcW w:w="1099" w:type="dxa"/>
            <w:vAlign w:val="center"/>
          </w:tcPr>
          <w:p w14:paraId="6FDEFD75">
            <w:pPr>
              <w:spacing w:line="240" w:lineRule="auto"/>
              <w:ind w:firstLine="420"/>
              <w:jc w:val="center"/>
              <w:rPr>
                <w:rFonts w:ascii="仿宋_GB2312" w:hAnsi="宋体" w:eastAsia="仿宋_GB2312" w:cs="宋体"/>
                <w:kern w:val="0"/>
              </w:rPr>
            </w:pPr>
          </w:p>
        </w:tc>
        <w:tc>
          <w:tcPr>
            <w:tcW w:w="1099" w:type="dxa"/>
            <w:vAlign w:val="center"/>
          </w:tcPr>
          <w:p w14:paraId="080101B6">
            <w:pPr>
              <w:spacing w:line="240" w:lineRule="auto"/>
              <w:ind w:firstLine="420"/>
              <w:jc w:val="center"/>
              <w:rPr>
                <w:rFonts w:ascii="仿宋_GB2312" w:hAnsi="宋体" w:eastAsia="仿宋_GB2312" w:cs="宋体"/>
                <w:kern w:val="0"/>
              </w:rPr>
            </w:pPr>
          </w:p>
        </w:tc>
        <w:tc>
          <w:tcPr>
            <w:tcW w:w="809" w:type="dxa"/>
            <w:vAlign w:val="center"/>
          </w:tcPr>
          <w:p w14:paraId="08424C68">
            <w:pPr>
              <w:spacing w:line="240" w:lineRule="auto"/>
              <w:ind w:firstLine="420"/>
              <w:jc w:val="center"/>
              <w:rPr>
                <w:rFonts w:ascii="仿宋_GB2312" w:hAnsi="宋体" w:eastAsia="仿宋_GB2312" w:cs="宋体"/>
                <w:kern w:val="0"/>
              </w:rPr>
            </w:pPr>
          </w:p>
        </w:tc>
        <w:tc>
          <w:tcPr>
            <w:tcW w:w="1105" w:type="dxa"/>
            <w:vAlign w:val="center"/>
          </w:tcPr>
          <w:p w14:paraId="20F78EF3">
            <w:pPr>
              <w:spacing w:line="240" w:lineRule="auto"/>
              <w:ind w:firstLine="420"/>
              <w:jc w:val="center"/>
              <w:rPr>
                <w:rFonts w:ascii="仿宋_GB2312" w:hAnsi="宋体" w:eastAsia="仿宋_GB2312" w:cs="宋体"/>
                <w:kern w:val="0"/>
              </w:rPr>
            </w:pPr>
          </w:p>
        </w:tc>
        <w:tc>
          <w:tcPr>
            <w:tcW w:w="1127" w:type="dxa"/>
            <w:vAlign w:val="center"/>
          </w:tcPr>
          <w:p w14:paraId="5EED7278">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471F21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满意度</w:t>
            </w:r>
          </w:p>
        </w:tc>
        <w:tc>
          <w:tcPr>
            <w:tcW w:w="1099" w:type="dxa"/>
            <w:vAlign w:val="center"/>
          </w:tcPr>
          <w:p w14:paraId="10DB725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1099" w:type="dxa"/>
            <w:vAlign w:val="center"/>
          </w:tcPr>
          <w:p w14:paraId="65FCC67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93</w:t>
            </w:r>
          </w:p>
        </w:tc>
        <w:tc>
          <w:tcPr>
            <w:tcW w:w="809" w:type="dxa"/>
            <w:vAlign w:val="center"/>
          </w:tcPr>
          <w:p w14:paraId="29FD5B5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105" w:type="dxa"/>
            <w:vAlign w:val="center"/>
          </w:tcPr>
          <w:p w14:paraId="57CE9A5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127" w:type="dxa"/>
            <w:vAlign w:val="center"/>
          </w:tcPr>
          <w:p w14:paraId="5D355892">
            <w:pPr>
              <w:spacing w:line="240" w:lineRule="auto"/>
              <w:ind w:firstLine="420"/>
              <w:jc w:val="center"/>
              <w:rPr>
                <w:rFonts w:ascii="仿宋_GB2312" w:hAnsi="宋体" w:eastAsia="仿宋_GB2312" w:cs="宋体"/>
                <w:kern w:val="0"/>
              </w:rPr>
            </w:pPr>
          </w:p>
        </w:tc>
      </w:tr>
      <w:tr w14:paraId="2E92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375ED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8D4EAC">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6C89EE40">
            <w:pPr>
              <w:spacing w:line="240" w:lineRule="auto"/>
              <w:ind w:firstLine="420"/>
              <w:jc w:val="center"/>
              <w:rPr>
                <w:rFonts w:ascii="仿宋_GB2312" w:hAnsi="宋体" w:eastAsia="仿宋_GB2312" w:cs="宋体"/>
                <w:kern w:val="0"/>
              </w:rPr>
            </w:pPr>
          </w:p>
        </w:tc>
        <w:tc>
          <w:tcPr>
            <w:tcW w:w="1020" w:type="dxa"/>
            <w:vAlign w:val="center"/>
          </w:tcPr>
          <w:p w14:paraId="1703DA95">
            <w:pPr>
              <w:spacing w:line="240" w:lineRule="auto"/>
              <w:ind w:firstLine="420"/>
              <w:jc w:val="center"/>
              <w:rPr>
                <w:rFonts w:ascii="仿宋_GB2312" w:hAnsi="宋体" w:eastAsia="仿宋_GB2312" w:cs="宋体"/>
                <w:kern w:val="0"/>
              </w:rPr>
            </w:pPr>
          </w:p>
        </w:tc>
        <w:tc>
          <w:tcPr>
            <w:tcW w:w="1099" w:type="dxa"/>
            <w:vAlign w:val="center"/>
          </w:tcPr>
          <w:p w14:paraId="1AF12BF9">
            <w:pPr>
              <w:spacing w:line="240" w:lineRule="auto"/>
              <w:ind w:firstLine="420"/>
              <w:jc w:val="center"/>
              <w:rPr>
                <w:rFonts w:ascii="仿宋_GB2312" w:hAnsi="宋体" w:eastAsia="仿宋_GB2312" w:cs="宋体"/>
                <w:kern w:val="0"/>
              </w:rPr>
            </w:pPr>
          </w:p>
        </w:tc>
        <w:tc>
          <w:tcPr>
            <w:tcW w:w="1099" w:type="dxa"/>
            <w:vAlign w:val="center"/>
          </w:tcPr>
          <w:p w14:paraId="17728D02">
            <w:pPr>
              <w:spacing w:line="240" w:lineRule="auto"/>
              <w:ind w:firstLine="420"/>
              <w:jc w:val="center"/>
              <w:rPr>
                <w:rFonts w:ascii="仿宋_GB2312" w:hAnsi="宋体" w:eastAsia="仿宋_GB2312" w:cs="宋体"/>
                <w:kern w:val="0"/>
              </w:rPr>
            </w:pPr>
          </w:p>
        </w:tc>
        <w:tc>
          <w:tcPr>
            <w:tcW w:w="809" w:type="dxa"/>
            <w:vAlign w:val="center"/>
          </w:tcPr>
          <w:p w14:paraId="444A0622">
            <w:pPr>
              <w:spacing w:line="240" w:lineRule="auto"/>
              <w:ind w:firstLine="420"/>
              <w:jc w:val="center"/>
              <w:rPr>
                <w:rFonts w:ascii="仿宋_GB2312" w:hAnsi="宋体" w:eastAsia="仿宋_GB2312" w:cs="宋体"/>
                <w:kern w:val="0"/>
              </w:rPr>
            </w:pPr>
          </w:p>
        </w:tc>
        <w:tc>
          <w:tcPr>
            <w:tcW w:w="1105" w:type="dxa"/>
            <w:vAlign w:val="center"/>
          </w:tcPr>
          <w:p w14:paraId="371E2947">
            <w:pPr>
              <w:spacing w:line="240" w:lineRule="auto"/>
              <w:ind w:firstLine="420"/>
              <w:jc w:val="center"/>
              <w:rPr>
                <w:rFonts w:ascii="仿宋_GB2312" w:hAnsi="宋体" w:eastAsia="仿宋_GB2312" w:cs="宋体"/>
                <w:kern w:val="0"/>
              </w:rPr>
            </w:pPr>
          </w:p>
        </w:tc>
        <w:tc>
          <w:tcPr>
            <w:tcW w:w="1127" w:type="dxa"/>
            <w:vAlign w:val="center"/>
          </w:tcPr>
          <w:p w14:paraId="3FF5E018">
            <w:pPr>
              <w:spacing w:line="240" w:lineRule="auto"/>
              <w:ind w:firstLine="420"/>
              <w:jc w:val="center"/>
              <w:rPr>
                <w:rFonts w:ascii="仿宋_GB2312" w:hAnsi="宋体" w:eastAsia="仿宋_GB2312" w:cs="宋体"/>
                <w:kern w:val="0"/>
              </w:rPr>
            </w:pPr>
          </w:p>
        </w:tc>
      </w:tr>
      <w:tr w14:paraId="790F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7F77C2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327F26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5A079AD">
            <w:pPr>
              <w:spacing w:line="240" w:lineRule="auto"/>
              <w:ind w:firstLine="420"/>
              <w:jc w:val="center"/>
              <w:rPr>
                <w:rFonts w:ascii="仿宋_GB2312" w:hAnsi="宋体" w:eastAsia="仿宋_GB2312" w:cs="宋体"/>
                <w:kern w:val="0"/>
              </w:rPr>
            </w:pPr>
          </w:p>
        </w:tc>
        <w:tc>
          <w:tcPr>
            <w:tcW w:w="1020" w:type="dxa"/>
            <w:vAlign w:val="center"/>
          </w:tcPr>
          <w:p w14:paraId="78B84DF9">
            <w:pPr>
              <w:spacing w:line="240" w:lineRule="auto"/>
              <w:ind w:firstLine="420"/>
              <w:jc w:val="center"/>
              <w:rPr>
                <w:rFonts w:ascii="仿宋_GB2312" w:hAnsi="宋体" w:eastAsia="仿宋_GB2312" w:cs="宋体"/>
                <w:kern w:val="0"/>
              </w:rPr>
            </w:pPr>
          </w:p>
        </w:tc>
        <w:tc>
          <w:tcPr>
            <w:tcW w:w="1099" w:type="dxa"/>
            <w:vAlign w:val="center"/>
          </w:tcPr>
          <w:p w14:paraId="5E84FB58">
            <w:pPr>
              <w:spacing w:line="240" w:lineRule="auto"/>
              <w:ind w:firstLine="420"/>
              <w:jc w:val="center"/>
              <w:rPr>
                <w:rFonts w:hint="default" w:ascii="仿宋_GB2312" w:hAnsi="宋体" w:eastAsia="仿宋_GB2312" w:cs="宋体"/>
                <w:kern w:val="0"/>
                <w:lang w:val="en-US" w:eastAsia="zh-CN"/>
              </w:rPr>
            </w:pPr>
          </w:p>
        </w:tc>
        <w:tc>
          <w:tcPr>
            <w:tcW w:w="1099" w:type="dxa"/>
            <w:vAlign w:val="center"/>
          </w:tcPr>
          <w:p w14:paraId="27CE5650">
            <w:pPr>
              <w:spacing w:line="240" w:lineRule="auto"/>
              <w:ind w:firstLine="420"/>
              <w:jc w:val="center"/>
              <w:rPr>
                <w:rFonts w:ascii="仿宋_GB2312" w:hAnsi="宋体" w:eastAsia="仿宋_GB2312" w:cs="宋体"/>
                <w:kern w:val="0"/>
              </w:rPr>
            </w:pPr>
          </w:p>
        </w:tc>
        <w:tc>
          <w:tcPr>
            <w:tcW w:w="809" w:type="dxa"/>
            <w:vAlign w:val="center"/>
          </w:tcPr>
          <w:p w14:paraId="78CED8C4">
            <w:pPr>
              <w:spacing w:line="240" w:lineRule="auto"/>
              <w:ind w:firstLine="420"/>
              <w:jc w:val="center"/>
              <w:rPr>
                <w:rFonts w:ascii="仿宋_GB2312" w:hAnsi="宋体" w:eastAsia="仿宋_GB2312" w:cs="宋体"/>
                <w:kern w:val="0"/>
              </w:rPr>
            </w:pPr>
          </w:p>
        </w:tc>
        <w:tc>
          <w:tcPr>
            <w:tcW w:w="1105" w:type="dxa"/>
            <w:vAlign w:val="center"/>
          </w:tcPr>
          <w:p w14:paraId="7ED607E5">
            <w:pPr>
              <w:spacing w:line="240" w:lineRule="auto"/>
              <w:ind w:firstLine="420"/>
              <w:jc w:val="center"/>
              <w:rPr>
                <w:rFonts w:ascii="仿宋_GB2312" w:hAnsi="宋体" w:eastAsia="仿宋_GB2312" w:cs="宋体"/>
                <w:kern w:val="0"/>
              </w:rPr>
            </w:pPr>
          </w:p>
        </w:tc>
        <w:tc>
          <w:tcPr>
            <w:tcW w:w="1127" w:type="dxa"/>
            <w:vAlign w:val="center"/>
          </w:tcPr>
          <w:p w14:paraId="4F5D532F">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严格控制在年度预算资金范围内</w:t>
            </w:r>
          </w:p>
        </w:tc>
        <w:tc>
          <w:tcPr>
            <w:tcW w:w="1099" w:type="dxa"/>
            <w:vAlign w:val="center"/>
          </w:tcPr>
          <w:p w14:paraId="7D8FEFD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729BFD5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14:paraId="43443E1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105" w:type="dxa"/>
            <w:vAlign w:val="center"/>
          </w:tcPr>
          <w:p w14:paraId="1005FDF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19</w:t>
            </w:r>
          </w:p>
        </w:tc>
        <w:tc>
          <w:tcPr>
            <w:tcW w:w="1127"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515A6775">
            <w:pPr>
              <w:spacing w:line="240" w:lineRule="auto"/>
              <w:ind w:firstLine="420"/>
              <w:jc w:val="center"/>
              <w:rPr>
                <w:rFonts w:ascii="仿宋_GB2312" w:hAnsi="宋体" w:eastAsia="仿宋_GB2312" w:cs="宋体"/>
                <w:kern w:val="0"/>
              </w:rPr>
            </w:pPr>
          </w:p>
        </w:tc>
        <w:tc>
          <w:tcPr>
            <w:tcW w:w="1099" w:type="dxa"/>
            <w:vAlign w:val="center"/>
          </w:tcPr>
          <w:p w14:paraId="79BCBEC4">
            <w:pPr>
              <w:spacing w:line="240" w:lineRule="auto"/>
              <w:ind w:firstLine="420"/>
              <w:jc w:val="center"/>
              <w:rPr>
                <w:rFonts w:ascii="仿宋_GB2312" w:hAnsi="宋体" w:eastAsia="仿宋_GB2312" w:cs="宋体"/>
                <w:kern w:val="0"/>
              </w:rPr>
            </w:pPr>
          </w:p>
        </w:tc>
        <w:tc>
          <w:tcPr>
            <w:tcW w:w="809" w:type="dxa"/>
            <w:vAlign w:val="center"/>
          </w:tcPr>
          <w:p w14:paraId="7CB491CD">
            <w:pPr>
              <w:spacing w:line="240" w:lineRule="auto"/>
              <w:ind w:firstLine="420"/>
              <w:jc w:val="center"/>
              <w:rPr>
                <w:rFonts w:ascii="仿宋_GB2312" w:hAnsi="宋体" w:eastAsia="仿宋_GB2312" w:cs="宋体"/>
                <w:kern w:val="0"/>
              </w:rPr>
            </w:pPr>
          </w:p>
        </w:tc>
        <w:tc>
          <w:tcPr>
            <w:tcW w:w="1105" w:type="dxa"/>
            <w:vAlign w:val="center"/>
          </w:tcPr>
          <w:p w14:paraId="7D797644">
            <w:pPr>
              <w:spacing w:line="240" w:lineRule="auto"/>
              <w:ind w:firstLine="420"/>
              <w:jc w:val="center"/>
              <w:rPr>
                <w:rFonts w:ascii="仿宋_GB2312" w:hAnsi="宋体" w:eastAsia="仿宋_GB2312" w:cs="宋体"/>
                <w:kern w:val="0"/>
              </w:rPr>
            </w:pPr>
          </w:p>
        </w:tc>
        <w:tc>
          <w:tcPr>
            <w:tcW w:w="1127"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52AC4F9E">
            <w:pPr>
              <w:spacing w:line="240" w:lineRule="auto"/>
              <w:ind w:firstLine="420"/>
              <w:jc w:val="center"/>
              <w:rPr>
                <w:rFonts w:ascii="仿宋_GB2312" w:hAnsi="宋体" w:eastAsia="仿宋_GB2312" w:cs="宋体"/>
                <w:kern w:val="0"/>
              </w:rPr>
            </w:pPr>
          </w:p>
        </w:tc>
        <w:tc>
          <w:tcPr>
            <w:tcW w:w="1099" w:type="dxa"/>
            <w:vAlign w:val="center"/>
          </w:tcPr>
          <w:p w14:paraId="0867BB9D">
            <w:pPr>
              <w:spacing w:line="240" w:lineRule="auto"/>
              <w:ind w:firstLine="420"/>
              <w:jc w:val="center"/>
              <w:rPr>
                <w:rFonts w:ascii="仿宋_GB2312" w:hAnsi="宋体" w:eastAsia="仿宋_GB2312" w:cs="宋体"/>
                <w:kern w:val="0"/>
              </w:rPr>
            </w:pPr>
          </w:p>
        </w:tc>
        <w:tc>
          <w:tcPr>
            <w:tcW w:w="809" w:type="dxa"/>
            <w:vAlign w:val="center"/>
          </w:tcPr>
          <w:p w14:paraId="640DCB80">
            <w:pPr>
              <w:spacing w:line="240" w:lineRule="auto"/>
              <w:ind w:firstLine="420"/>
              <w:jc w:val="center"/>
              <w:rPr>
                <w:rFonts w:ascii="仿宋_GB2312" w:hAnsi="宋体" w:eastAsia="仿宋_GB2312" w:cs="宋体"/>
                <w:kern w:val="0"/>
              </w:rPr>
            </w:pPr>
          </w:p>
        </w:tc>
        <w:tc>
          <w:tcPr>
            <w:tcW w:w="1105" w:type="dxa"/>
            <w:vAlign w:val="center"/>
          </w:tcPr>
          <w:p w14:paraId="03C9828A">
            <w:pPr>
              <w:spacing w:line="240" w:lineRule="auto"/>
              <w:ind w:firstLine="420"/>
              <w:jc w:val="center"/>
              <w:rPr>
                <w:rFonts w:ascii="仿宋_GB2312" w:hAnsi="宋体" w:eastAsia="仿宋_GB2312" w:cs="宋体"/>
                <w:kern w:val="0"/>
              </w:rPr>
            </w:pPr>
          </w:p>
        </w:tc>
        <w:tc>
          <w:tcPr>
            <w:tcW w:w="1127"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1105" w:type="dxa"/>
            <w:vAlign w:val="center"/>
          </w:tcPr>
          <w:p w14:paraId="3FD2854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93</w:t>
            </w:r>
          </w:p>
        </w:tc>
        <w:tc>
          <w:tcPr>
            <w:tcW w:w="1127"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692BD608">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填表人：胡辉</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2023.6.16</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13787995938</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4F1E538F">
      <w:pPr>
        <w:spacing w:line="240" w:lineRule="auto"/>
        <w:ind w:firstLine="880"/>
        <w:jc w:val="center"/>
        <w:rPr>
          <w:rFonts w:hint="eastAsia" w:ascii="仿宋_GB2312" w:hAnsi="宋体" w:eastAsia="仿宋_GB2312" w:cs="仿宋_GB2312"/>
          <w:i w:val="0"/>
          <w:iCs w:val="0"/>
          <w:snapToGrid w:val="0"/>
          <w:color w:val="000000"/>
          <w:kern w:val="0"/>
          <w:sz w:val="20"/>
          <w:szCs w:val="20"/>
          <w:u w:val="none"/>
          <w:bdr w:val="none" w:color="auto" w:sz="0" w:space="0"/>
          <w:lang w:val="en-US" w:eastAsia="zh-CN" w:bidi="ar"/>
        </w:rPr>
      </w:pPr>
    </w:p>
    <w:p w14:paraId="35798DF6">
      <w:pPr>
        <w:spacing w:line="240" w:lineRule="auto"/>
        <w:ind w:firstLine="880"/>
        <w:jc w:val="center"/>
        <w:rPr>
          <w:rFonts w:hint="eastAsia" w:ascii="仿宋_GB2312" w:hAnsi="宋体" w:eastAsia="仿宋_GB2312" w:cs="仿宋_GB2312"/>
          <w:i w:val="0"/>
          <w:iCs w:val="0"/>
          <w:snapToGrid w:val="0"/>
          <w:color w:val="000000"/>
          <w:kern w:val="0"/>
          <w:sz w:val="20"/>
          <w:szCs w:val="20"/>
          <w:u w:val="none"/>
          <w:bdr w:val="none" w:color="auto" w:sz="0" w:space="0"/>
          <w:lang w:val="en-US" w:eastAsia="zh-CN" w:bidi="ar"/>
        </w:rPr>
      </w:pPr>
    </w:p>
    <w:p w14:paraId="1A92987E">
      <w:pPr>
        <w:spacing w:line="240" w:lineRule="auto"/>
        <w:ind w:firstLine="880"/>
        <w:jc w:val="center"/>
        <w:rPr>
          <w:rFonts w:hint="eastAsia" w:ascii="仿宋_GB2312" w:hAnsi="宋体" w:eastAsia="仿宋_GB2312" w:cs="仿宋_GB2312"/>
          <w:i w:val="0"/>
          <w:iCs w:val="0"/>
          <w:snapToGrid w:val="0"/>
          <w:color w:val="000000"/>
          <w:kern w:val="0"/>
          <w:sz w:val="20"/>
          <w:szCs w:val="20"/>
          <w:u w:val="none"/>
          <w:bdr w:val="none" w:color="auto" w:sz="0" w:space="0"/>
          <w:lang w:val="en-US" w:eastAsia="zh-CN" w:bidi="ar"/>
        </w:rPr>
      </w:pPr>
    </w:p>
    <w:p w14:paraId="46C4629C">
      <w:pPr>
        <w:spacing w:line="240" w:lineRule="auto"/>
        <w:ind w:firstLine="880"/>
        <w:jc w:val="center"/>
        <w:rPr>
          <w:rFonts w:ascii="方正小标宋简体" w:hAnsi="宋体" w:eastAsia="方正小标宋简体" w:cs="宋体"/>
          <w:kern w:val="0"/>
          <w:sz w:val="44"/>
          <w:szCs w:val="44"/>
          <w:lang w:eastAsia="zh-CN"/>
        </w:rPr>
      </w:pPr>
      <w:r>
        <w:rPr>
          <w:rFonts w:hint="eastAsia" w:ascii="仿宋_GB2312" w:hAnsi="宋体" w:eastAsia="仿宋_GB2312" w:cs="仿宋_GB2312"/>
          <w:i w:val="0"/>
          <w:iCs w:val="0"/>
          <w:snapToGrid w:val="0"/>
          <w:color w:val="000000"/>
          <w:kern w:val="0"/>
          <w:sz w:val="20"/>
          <w:szCs w:val="20"/>
          <w:u w:val="none"/>
          <w:bdr w:val="none" w:color="auto" w:sz="0" w:space="0"/>
          <w:lang w:val="en-US" w:eastAsia="zh-CN" w:bidi="ar"/>
        </w:rPr>
        <w:t xml:space="preserve"> </w:t>
      </w: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年度汨罗市政法委部门整体支出</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2023</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6</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16</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hint="eastAsia" w:ascii="仿宋" w:hAnsi="仿宋" w:eastAsia="仿宋" w:cs="仿宋"/>
          <w:b/>
          <w:bCs/>
          <w:snapToGrid w:val="0"/>
          <w:color w:val="000000"/>
          <w:spacing w:val="18"/>
          <w:sz w:val="30"/>
          <w:szCs w:val="30"/>
          <w:lang w:val="en-US" w:eastAsia="zh-CN" w:bidi="ar-SA"/>
        </w:rPr>
        <w:t xml:space="preserve"> </w:t>
      </w: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5708C0BA">
      <w:pPr>
        <w:ind w:firstLine="611"/>
        <w:rPr>
          <w:rFonts w:hint="eastAsia"/>
          <w:sz w:val="32"/>
          <w:szCs w:val="32"/>
        </w:rPr>
      </w:pPr>
      <w:r>
        <w:rPr>
          <w:rFonts w:hint="eastAsia" w:eastAsia="宋体"/>
          <w:sz w:val="44"/>
          <w:szCs w:val="44"/>
          <w:lang w:val="en-US" w:eastAsia="zh-CN"/>
        </w:rPr>
        <w:t xml:space="preserve"> </w:t>
      </w:r>
      <w:r>
        <w:rPr>
          <w:rFonts w:hint="eastAsia"/>
        </w:rPr>
        <w:t xml:space="preserve">  </w:t>
      </w:r>
    </w:p>
    <w:p w14:paraId="61EF1EED">
      <w:pPr>
        <w:ind w:firstLine="611"/>
        <w:rPr>
          <w:rFonts w:asciiTheme="minorEastAsia" w:hAnsiTheme="minorEastAsia" w:eastAsiaTheme="minorEastAsia"/>
          <w:sz w:val="44"/>
          <w:szCs w:val="44"/>
        </w:rPr>
      </w:pPr>
    </w:p>
    <w:p w14:paraId="3FD63041">
      <w:pPr>
        <w:ind w:firstLine="611"/>
        <w:rPr>
          <w:rFonts w:asciiTheme="minorEastAsia" w:hAnsiTheme="minorEastAsia" w:eastAsiaTheme="minorEastAsia"/>
          <w:sz w:val="44"/>
          <w:szCs w:val="44"/>
        </w:rPr>
      </w:pPr>
    </w:p>
    <w:p w14:paraId="3A51E8EA">
      <w:pPr>
        <w:ind w:firstLine="611"/>
        <w:rPr>
          <w:rFonts w:asciiTheme="minorEastAsia" w:hAnsiTheme="minorEastAsia" w:eastAsiaTheme="minorEastAsia"/>
          <w:sz w:val="44"/>
          <w:szCs w:val="44"/>
        </w:rPr>
      </w:pPr>
    </w:p>
    <w:p w14:paraId="792707C1">
      <w:pPr>
        <w:ind w:firstLine="800" w:firstLineChars="200"/>
        <w:rPr>
          <w:rFonts w:hint="eastAsia" w:ascii="黑体" w:hAnsi="黑体" w:eastAsia="黑体" w:cs="黑体"/>
          <w:sz w:val="40"/>
          <w:szCs w:val="40"/>
        </w:rPr>
      </w:pPr>
      <w:r>
        <w:rPr>
          <w:rFonts w:hint="eastAsia" w:ascii="黑体" w:hAnsi="黑体" w:eastAsia="黑体" w:cs="黑体"/>
          <w:sz w:val="40"/>
          <w:szCs w:val="40"/>
        </w:rPr>
        <w:t>202</w:t>
      </w:r>
      <w:r>
        <w:rPr>
          <w:rFonts w:hint="eastAsia" w:ascii="黑体" w:hAnsi="黑体" w:eastAsia="黑体" w:cs="黑体"/>
          <w:sz w:val="40"/>
          <w:szCs w:val="40"/>
          <w:lang w:val="en-US" w:eastAsia="zh-CN"/>
        </w:rPr>
        <w:t>2</w:t>
      </w:r>
      <w:r>
        <w:rPr>
          <w:rFonts w:hint="eastAsia" w:ascii="黑体" w:hAnsi="黑体" w:eastAsia="黑体" w:cs="黑体"/>
          <w:sz w:val="40"/>
          <w:szCs w:val="40"/>
        </w:rPr>
        <w:t>年度汨罗市政法委部门整体支出</w:t>
      </w:r>
    </w:p>
    <w:p w14:paraId="43527C2E">
      <w:pPr>
        <w:ind w:firstLine="851"/>
        <w:rPr>
          <w:rFonts w:hint="eastAsia" w:ascii="黑体" w:hAnsi="黑体" w:eastAsia="黑体" w:cs="黑体"/>
          <w:sz w:val="40"/>
          <w:szCs w:val="40"/>
        </w:rPr>
      </w:pPr>
      <w:r>
        <w:rPr>
          <w:rFonts w:hint="eastAsia" w:ascii="黑体" w:hAnsi="黑体" w:eastAsia="黑体" w:cs="黑体"/>
          <w:sz w:val="40"/>
          <w:szCs w:val="40"/>
        </w:rPr>
        <w:t xml:space="preserve">             绩效自评报告</w:t>
      </w:r>
    </w:p>
    <w:p w14:paraId="7D11E011">
      <w:pPr>
        <w:ind w:firstLine="611"/>
        <w:rPr>
          <w:sz w:val="30"/>
          <w:szCs w:val="30"/>
        </w:rPr>
      </w:pPr>
    </w:p>
    <w:p w14:paraId="4F7150BC">
      <w:pPr>
        <w:ind w:firstLine="611"/>
        <w:rPr>
          <w:rFonts w:hint="eastAsia" w:ascii="黑体" w:hAnsi="黑体" w:eastAsia="黑体" w:cs="黑体"/>
          <w:sz w:val="30"/>
          <w:szCs w:val="30"/>
        </w:rPr>
      </w:pPr>
      <w:r>
        <w:rPr>
          <w:rFonts w:hint="eastAsia" w:ascii="黑体" w:hAnsi="黑体" w:eastAsia="黑体" w:cs="黑体"/>
          <w:sz w:val="30"/>
          <w:szCs w:val="30"/>
        </w:rPr>
        <w:t>一、部门(单位)基本情况</w:t>
      </w:r>
    </w:p>
    <w:p w14:paraId="124EFD75">
      <w:pPr>
        <w:ind w:firstLine="611"/>
        <w:rPr>
          <w:rFonts w:hint="default" w:ascii="Arial" w:hAnsi="Arial" w:eastAsia="宋体" w:cs="Arial"/>
          <w:sz w:val="21"/>
          <w:szCs w:val="21"/>
        </w:rPr>
      </w:pPr>
      <w:r>
        <w:rPr>
          <w:rFonts w:hint="default" w:ascii="Arial" w:hAnsi="Arial" w:eastAsia="宋体" w:cs="Arial"/>
          <w:sz w:val="21"/>
          <w:szCs w:val="21"/>
        </w:rPr>
        <w:t>中共汨罗市委政法委员会下设政策研究室、执法监督室、综治督导室、维稳指导室、政治安全室、政工室等六个科室。现有编制30人，退休7人，实有在岗人数2</w:t>
      </w:r>
      <w:r>
        <w:rPr>
          <w:rFonts w:hint="default" w:ascii="Arial" w:hAnsi="Arial" w:eastAsia="宋体" w:cs="Arial"/>
          <w:sz w:val="21"/>
          <w:szCs w:val="21"/>
          <w:lang w:val="en-US" w:eastAsia="zh-CN"/>
        </w:rPr>
        <w:t>5</w:t>
      </w:r>
      <w:r>
        <w:rPr>
          <w:rFonts w:hint="default" w:ascii="Arial" w:hAnsi="Arial" w:eastAsia="宋体" w:cs="Arial"/>
          <w:sz w:val="21"/>
          <w:szCs w:val="21"/>
        </w:rPr>
        <w:t>人。</w:t>
      </w:r>
    </w:p>
    <w:p w14:paraId="142A3B1B">
      <w:pPr>
        <w:pStyle w:val="5"/>
        <w:ind w:firstLine="458"/>
        <w:rPr>
          <w:rFonts w:hint="default" w:ascii="Arial" w:hAnsi="Arial" w:eastAsia="宋体" w:cs="Arial"/>
          <w:spacing w:val="-6"/>
          <w:sz w:val="21"/>
          <w:szCs w:val="21"/>
        </w:rPr>
      </w:pPr>
      <w:r>
        <w:rPr>
          <w:rFonts w:hint="default" w:ascii="Arial" w:hAnsi="Arial" w:eastAsia="宋体" w:cs="Arial"/>
          <w:spacing w:val="-6"/>
          <w:sz w:val="21"/>
          <w:szCs w:val="21"/>
        </w:rPr>
        <w:t>主要工作职责：</w:t>
      </w:r>
    </w:p>
    <w:p w14:paraId="7490536F">
      <w:pPr>
        <w:pStyle w:val="5"/>
        <w:ind w:firstLine="458"/>
        <w:rPr>
          <w:rFonts w:hint="default" w:ascii="Arial" w:hAnsi="Arial" w:eastAsia="宋体" w:cs="Arial"/>
          <w:sz w:val="21"/>
          <w:szCs w:val="21"/>
        </w:rPr>
      </w:pPr>
      <w:r>
        <w:rPr>
          <w:rFonts w:hint="default" w:ascii="Arial" w:hAnsi="Arial" w:eastAsia="宋体" w:cs="Arial"/>
          <w:sz w:val="21"/>
          <w:szCs w:val="21"/>
          <w:shd w:val="clear" w:color="auto" w:fill="FFFFFF"/>
        </w:rPr>
        <w:t>1、根据、党中央的路线、方针、政策和省委、市委和上级政法委决策部署，统一政法各单位的思想和行动；</w:t>
      </w:r>
    </w:p>
    <w:p w14:paraId="31DF4C35">
      <w:pPr>
        <w:pStyle w:val="5"/>
        <w:ind w:firstLine="450"/>
        <w:rPr>
          <w:rFonts w:hint="default" w:ascii="Arial" w:hAnsi="Arial" w:eastAsia="宋体" w:cs="Arial"/>
          <w:sz w:val="21"/>
          <w:szCs w:val="21"/>
        </w:rPr>
      </w:pPr>
      <w:r>
        <w:rPr>
          <w:rFonts w:hint="default" w:ascii="Arial" w:hAnsi="Arial" w:eastAsia="宋体" w:cs="Arial"/>
          <w:sz w:val="21"/>
          <w:szCs w:val="21"/>
          <w:shd w:val="clear" w:color="auto" w:fill="FFFFFF"/>
        </w:rPr>
        <w:t>2、协助市委研究制定全市政法工作的方针、政策，对全国政法工作作出全局性部署，并督促贯彻落实；</w:t>
      </w:r>
    </w:p>
    <w:p w14:paraId="26A1AE4D">
      <w:pPr>
        <w:pStyle w:val="5"/>
        <w:ind w:firstLine="450"/>
        <w:rPr>
          <w:rFonts w:hint="default" w:ascii="Arial" w:hAnsi="Arial" w:eastAsia="宋体" w:cs="Arial"/>
          <w:sz w:val="21"/>
          <w:szCs w:val="21"/>
        </w:rPr>
      </w:pPr>
      <w:r>
        <w:rPr>
          <w:rFonts w:hint="default" w:ascii="Arial" w:hAnsi="Arial" w:eastAsia="宋体" w:cs="Arial"/>
          <w:sz w:val="21"/>
          <w:szCs w:val="21"/>
          <w:shd w:val="clear" w:color="auto" w:fill="FFFFFF"/>
        </w:rPr>
        <w:t>3、组织协调指导维护社会稳定的工作；</w:t>
      </w:r>
    </w:p>
    <w:p w14:paraId="080549B3">
      <w:pPr>
        <w:pStyle w:val="5"/>
        <w:ind w:firstLine="450"/>
        <w:rPr>
          <w:rFonts w:hint="default" w:ascii="Arial" w:hAnsi="Arial" w:eastAsia="宋体" w:cs="Arial"/>
          <w:sz w:val="21"/>
          <w:szCs w:val="21"/>
        </w:rPr>
      </w:pPr>
      <w:r>
        <w:rPr>
          <w:rFonts w:hint="default" w:ascii="Arial" w:hAnsi="Arial" w:eastAsia="宋体" w:cs="Arial"/>
          <w:sz w:val="21"/>
          <w:szCs w:val="21"/>
          <w:shd w:val="clear" w:color="auto" w:fill="FFFFFF"/>
        </w:rPr>
        <w:t>4、支持和监督政法各单位依法行使职权，指导和协调政法各单位依法互相制约，密切配合；督促、推动大要案的查处工作，研究和协调有争议的重大、疑难案件；</w:t>
      </w:r>
    </w:p>
    <w:p w14:paraId="75F7C468">
      <w:pPr>
        <w:pStyle w:val="5"/>
        <w:ind w:firstLine="450"/>
        <w:rPr>
          <w:rFonts w:hint="default" w:ascii="Arial" w:hAnsi="Arial" w:eastAsia="宋体" w:cs="Arial"/>
          <w:sz w:val="21"/>
          <w:szCs w:val="21"/>
        </w:rPr>
      </w:pPr>
      <w:r>
        <w:rPr>
          <w:rFonts w:hint="default" w:ascii="Arial" w:hAnsi="Arial" w:eastAsia="宋体" w:cs="Arial"/>
          <w:sz w:val="21"/>
          <w:szCs w:val="21"/>
          <w:shd w:val="clear" w:color="auto" w:fill="FFFFFF"/>
        </w:rPr>
        <w:t>5、组织推动全市社会治安综合治理工作；</w:t>
      </w:r>
    </w:p>
    <w:p w14:paraId="3BAA4700">
      <w:pPr>
        <w:pStyle w:val="5"/>
        <w:ind w:firstLine="450"/>
        <w:rPr>
          <w:rFonts w:hint="default" w:ascii="Arial" w:hAnsi="Arial" w:eastAsia="宋体" w:cs="Arial"/>
          <w:sz w:val="21"/>
          <w:szCs w:val="21"/>
        </w:rPr>
      </w:pPr>
      <w:r>
        <w:rPr>
          <w:rFonts w:hint="default" w:ascii="Arial" w:hAnsi="Arial" w:eastAsia="宋体" w:cs="Arial"/>
          <w:sz w:val="21"/>
          <w:szCs w:val="21"/>
          <w:shd w:val="clear" w:color="auto" w:fill="FFFFFF"/>
        </w:rPr>
        <w:t>6、组织推动全市政法战线的调查和研究工作，推动全市政法工作改革；</w:t>
      </w:r>
    </w:p>
    <w:p w14:paraId="5D305931">
      <w:pPr>
        <w:pStyle w:val="5"/>
        <w:ind w:firstLine="450"/>
        <w:rPr>
          <w:rFonts w:hint="default" w:ascii="Arial" w:hAnsi="Arial" w:eastAsia="宋体" w:cs="Arial"/>
          <w:sz w:val="21"/>
          <w:szCs w:val="21"/>
        </w:rPr>
      </w:pPr>
      <w:r>
        <w:rPr>
          <w:rFonts w:hint="default" w:ascii="Arial" w:hAnsi="Arial" w:eastAsia="宋体" w:cs="Arial"/>
          <w:sz w:val="21"/>
          <w:szCs w:val="21"/>
          <w:shd w:val="clear" w:color="auto" w:fill="FFFFFF"/>
        </w:rPr>
        <w:t>7、研究、指导政法队伍建设和政法和各单位领导班子建设，协助市委和市组织部考察、管理全市政法单位的有关领导干部；</w:t>
      </w:r>
    </w:p>
    <w:p w14:paraId="3B1ADF1A">
      <w:pPr>
        <w:pStyle w:val="5"/>
        <w:ind w:firstLine="450"/>
        <w:rPr>
          <w:rFonts w:hint="default" w:ascii="Arial" w:hAnsi="Arial" w:eastAsia="宋体" w:cs="Arial"/>
          <w:sz w:val="21"/>
          <w:szCs w:val="21"/>
        </w:rPr>
      </w:pPr>
      <w:r>
        <w:rPr>
          <w:rFonts w:hint="default" w:ascii="Arial" w:hAnsi="Arial" w:eastAsia="宋体" w:cs="Arial"/>
          <w:sz w:val="21"/>
          <w:szCs w:val="21"/>
          <w:shd w:val="clear" w:color="auto" w:fill="FFFFFF"/>
        </w:rPr>
        <w:t>8、协助纪检、监察单位查处政法单位领导干部违法犯罪的案件；</w:t>
      </w:r>
    </w:p>
    <w:p w14:paraId="5DE2C95C">
      <w:pPr>
        <w:pStyle w:val="5"/>
        <w:ind w:firstLine="450"/>
        <w:rPr>
          <w:rFonts w:hint="default" w:ascii="Arial" w:hAnsi="Arial" w:eastAsia="宋体" w:cs="Arial"/>
          <w:sz w:val="21"/>
          <w:szCs w:val="21"/>
        </w:rPr>
      </w:pPr>
      <w:r>
        <w:rPr>
          <w:rFonts w:hint="default" w:ascii="Arial" w:hAnsi="Arial" w:eastAsia="宋体" w:cs="Arial"/>
          <w:sz w:val="21"/>
          <w:szCs w:val="21"/>
          <w:shd w:val="clear" w:color="auto" w:fill="FFFFFF"/>
        </w:rPr>
        <w:t>9、指导政法各单位的工作。</w:t>
      </w:r>
    </w:p>
    <w:p w14:paraId="348A8675">
      <w:pPr>
        <w:ind w:firstLine="611"/>
        <w:rPr>
          <w:rFonts w:hint="eastAsia" w:ascii="黑体" w:hAnsi="黑体" w:eastAsia="黑体" w:cs="黑体"/>
          <w:sz w:val="30"/>
          <w:szCs w:val="30"/>
        </w:rPr>
      </w:pPr>
      <w:r>
        <w:rPr>
          <w:rFonts w:hint="eastAsia" w:ascii="黑体" w:hAnsi="黑体" w:eastAsia="黑体" w:cs="黑体"/>
          <w:sz w:val="30"/>
          <w:szCs w:val="30"/>
        </w:rPr>
        <w:t>二、一般公共预算支出情况</w:t>
      </w:r>
    </w:p>
    <w:p w14:paraId="6544DAAC">
      <w:pPr>
        <w:pStyle w:val="2"/>
        <w:ind w:firstLine="611"/>
        <w:rPr>
          <w:rFonts w:hint="default" w:ascii="Arial" w:hAnsi="Arial" w:cs="Arial"/>
          <w:sz w:val="21"/>
          <w:szCs w:val="21"/>
          <w:lang w:eastAsia="zh-CN"/>
        </w:rPr>
      </w:pPr>
      <w:r>
        <w:rPr>
          <w:rFonts w:hint="default" w:ascii="Arial" w:hAnsi="Arial" w:cs="Arial"/>
          <w:sz w:val="21"/>
          <w:szCs w:val="21"/>
          <w:lang w:eastAsia="zh-CN"/>
        </w:rPr>
        <w:t>(一)基本支出情况</w:t>
      </w:r>
    </w:p>
    <w:p w14:paraId="44B29CD7">
      <w:pPr>
        <w:pStyle w:val="2"/>
        <w:ind w:firstLine="611"/>
        <w:rPr>
          <w:rFonts w:hint="default" w:ascii="Arial" w:hAnsi="Arial" w:cs="Arial"/>
          <w:sz w:val="21"/>
          <w:szCs w:val="21"/>
          <w:lang w:eastAsia="zh-CN"/>
        </w:rPr>
      </w:pPr>
      <w:r>
        <w:rPr>
          <w:rFonts w:hint="default" w:ascii="Arial" w:hAnsi="Arial" w:cs="Arial"/>
          <w:sz w:val="21"/>
          <w:szCs w:val="21"/>
          <w:lang w:eastAsia="zh-CN"/>
        </w:rPr>
        <w:t>我委基本支出</w:t>
      </w:r>
      <w:r>
        <w:rPr>
          <w:rFonts w:hint="default" w:ascii="Arial" w:hAnsi="Arial" w:cs="Arial"/>
          <w:sz w:val="21"/>
          <w:szCs w:val="21"/>
          <w:lang w:val="en-US" w:eastAsia="zh-CN"/>
        </w:rPr>
        <w:t>375.66</w:t>
      </w:r>
      <w:r>
        <w:rPr>
          <w:rFonts w:hint="default" w:ascii="Arial" w:hAnsi="Arial" w:cs="Arial"/>
          <w:sz w:val="21"/>
          <w:szCs w:val="21"/>
          <w:lang w:eastAsia="zh-CN"/>
        </w:rPr>
        <w:t>万元，其中人员支出</w:t>
      </w:r>
      <w:r>
        <w:rPr>
          <w:rFonts w:hint="default" w:ascii="Arial" w:hAnsi="Arial" w:cs="Arial"/>
          <w:sz w:val="21"/>
          <w:szCs w:val="21"/>
          <w:lang w:val="en-US" w:eastAsia="zh-CN"/>
        </w:rPr>
        <w:t>333.07</w:t>
      </w:r>
      <w:r>
        <w:rPr>
          <w:rFonts w:hint="default" w:ascii="Arial" w:hAnsi="Arial" w:cs="Arial"/>
          <w:sz w:val="21"/>
          <w:szCs w:val="21"/>
          <w:lang w:eastAsia="zh-CN"/>
        </w:rPr>
        <w:t>万元，主要用于人员工资及社会保障缴费等；日常公用支出</w:t>
      </w:r>
      <w:r>
        <w:rPr>
          <w:rFonts w:hint="default" w:ascii="Arial" w:hAnsi="Arial" w:cs="Arial"/>
          <w:sz w:val="21"/>
          <w:szCs w:val="21"/>
          <w:lang w:val="en-US" w:eastAsia="zh-CN"/>
        </w:rPr>
        <w:t>42.39</w:t>
      </w:r>
      <w:r>
        <w:rPr>
          <w:rFonts w:hint="default" w:ascii="Arial" w:hAnsi="Arial" w:cs="Arial"/>
          <w:sz w:val="21"/>
          <w:szCs w:val="21"/>
          <w:lang w:eastAsia="zh-CN"/>
        </w:rPr>
        <w:t>万元，主要用于单位日常运行费用。202</w:t>
      </w:r>
      <w:r>
        <w:rPr>
          <w:rFonts w:hint="default" w:ascii="Arial" w:hAnsi="Arial" w:cs="Arial"/>
          <w:sz w:val="21"/>
          <w:szCs w:val="21"/>
          <w:lang w:val="en-US" w:eastAsia="zh-CN"/>
        </w:rPr>
        <w:t>2</w:t>
      </w:r>
      <w:r>
        <w:rPr>
          <w:rFonts w:hint="default" w:ascii="Arial" w:hAnsi="Arial" w:cs="Arial"/>
          <w:sz w:val="21"/>
          <w:szCs w:val="21"/>
          <w:lang w:eastAsia="zh-CN"/>
        </w:rPr>
        <w:t>年度单位“三公”经费支出合计为</w:t>
      </w:r>
      <w:r>
        <w:rPr>
          <w:rFonts w:hint="default" w:ascii="Arial" w:hAnsi="Arial" w:cs="Arial"/>
          <w:sz w:val="21"/>
          <w:szCs w:val="21"/>
          <w:lang w:val="en-US" w:eastAsia="zh-CN"/>
        </w:rPr>
        <w:t>7.43</w:t>
      </w:r>
      <w:r>
        <w:rPr>
          <w:rFonts w:hint="default" w:ascii="Arial" w:hAnsi="Arial" w:cs="Arial"/>
          <w:sz w:val="21"/>
          <w:szCs w:val="21"/>
          <w:lang w:eastAsia="zh-CN"/>
        </w:rPr>
        <w:t>万元，其中：公务接待费</w:t>
      </w:r>
      <w:r>
        <w:rPr>
          <w:rFonts w:hint="default" w:ascii="Arial" w:hAnsi="Arial" w:cs="Arial"/>
          <w:sz w:val="21"/>
          <w:szCs w:val="21"/>
          <w:lang w:val="en-US" w:eastAsia="zh-CN"/>
        </w:rPr>
        <w:t>7.43</w:t>
      </w:r>
      <w:r>
        <w:rPr>
          <w:rFonts w:hint="default" w:ascii="Arial" w:hAnsi="Arial" w:cs="Arial"/>
          <w:sz w:val="21"/>
          <w:szCs w:val="21"/>
          <w:lang w:eastAsia="zh-CN"/>
        </w:rPr>
        <w:t>万元；水电费、差旅费支出</w:t>
      </w:r>
      <w:r>
        <w:rPr>
          <w:rFonts w:hint="default" w:ascii="Arial" w:hAnsi="Arial" w:cs="Arial"/>
          <w:sz w:val="21"/>
          <w:szCs w:val="21"/>
          <w:lang w:val="en-US" w:eastAsia="zh-CN"/>
        </w:rPr>
        <w:t>7.45</w:t>
      </w:r>
      <w:r>
        <w:rPr>
          <w:rFonts w:hint="default" w:ascii="Arial" w:hAnsi="Arial" w:cs="Arial"/>
          <w:sz w:val="21"/>
          <w:szCs w:val="21"/>
          <w:lang w:eastAsia="zh-CN"/>
        </w:rPr>
        <w:t>万元，预算支出</w:t>
      </w:r>
      <w:r>
        <w:rPr>
          <w:rFonts w:hint="default" w:ascii="Arial" w:hAnsi="Arial" w:cs="Arial"/>
          <w:sz w:val="21"/>
          <w:szCs w:val="21"/>
          <w:lang w:val="en-US" w:eastAsia="zh-CN"/>
        </w:rPr>
        <w:t>11.07</w:t>
      </w:r>
      <w:r>
        <w:rPr>
          <w:rFonts w:hint="default" w:ascii="Arial" w:hAnsi="Arial" w:cs="Arial"/>
          <w:sz w:val="21"/>
          <w:szCs w:val="21"/>
          <w:lang w:eastAsia="zh-CN"/>
        </w:rPr>
        <w:t>万元，2022年决算支出</w:t>
      </w:r>
      <w:r>
        <w:rPr>
          <w:rFonts w:hint="default" w:ascii="Arial" w:hAnsi="Arial" w:cs="Arial"/>
          <w:sz w:val="21"/>
          <w:szCs w:val="21"/>
          <w:lang w:val="en-US" w:eastAsia="zh-CN"/>
        </w:rPr>
        <w:t>14.88</w:t>
      </w:r>
      <w:r>
        <w:rPr>
          <w:rFonts w:hint="default" w:ascii="Arial" w:hAnsi="Arial" w:cs="Arial"/>
          <w:sz w:val="21"/>
          <w:szCs w:val="21"/>
          <w:lang w:eastAsia="zh-CN"/>
        </w:rPr>
        <w:t>万元；会议、培训费决算支出</w:t>
      </w:r>
      <w:r>
        <w:rPr>
          <w:rFonts w:hint="default" w:ascii="Arial" w:hAnsi="Arial" w:cs="Arial"/>
          <w:sz w:val="21"/>
          <w:szCs w:val="21"/>
          <w:lang w:val="en-US" w:eastAsia="zh-CN"/>
        </w:rPr>
        <w:t>2.05</w:t>
      </w:r>
      <w:r>
        <w:rPr>
          <w:rFonts w:hint="default" w:ascii="Arial" w:hAnsi="Arial" w:cs="Arial"/>
          <w:sz w:val="21"/>
          <w:szCs w:val="21"/>
          <w:lang w:eastAsia="zh-CN"/>
        </w:rPr>
        <w:t>万元，预算支出</w:t>
      </w:r>
      <w:r>
        <w:rPr>
          <w:rFonts w:hint="default" w:ascii="Arial" w:hAnsi="Arial" w:cs="Arial"/>
          <w:sz w:val="21"/>
          <w:szCs w:val="21"/>
          <w:lang w:val="en-US" w:eastAsia="zh-CN"/>
        </w:rPr>
        <w:t>8.1</w:t>
      </w:r>
      <w:r>
        <w:rPr>
          <w:rFonts w:hint="default" w:ascii="Arial" w:hAnsi="Arial" w:cs="Arial"/>
          <w:sz w:val="21"/>
          <w:szCs w:val="21"/>
          <w:lang w:eastAsia="zh-CN"/>
        </w:rPr>
        <w:t>万元。政府性采购支出</w:t>
      </w:r>
      <w:r>
        <w:rPr>
          <w:rFonts w:hint="default" w:ascii="Arial" w:hAnsi="Arial" w:cs="Arial"/>
          <w:sz w:val="21"/>
          <w:szCs w:val="21"/>
          <w:lang w:val="en-US" w:eastAsia="zh-CN"/>
        </w:rPr>
        <w:t>45.83</w:t>
      </w:r>
      <w:r>
        <w:rPr>
          <w:rFonts w:hint="default" w:ascii="Arial" w:hAnsi="Arial" w:cs="Arial"/>
          <w:sz w:val="21"/>
          <w:szCs w:val="21"/>
          <w:lang w:eastAsia="zh-CN"/>
        </w:rPr>
        <w:t>万元，预算支出</w:t>
      </w:r>
      <w:r>
        <w:rPr>
          <w:rFonts w:hint="default" w:ascii="Arial" w:hAnsi="Arial" w:cs="Arial"/>
          <w:sz w:val="21"/>
          <w:szCs w:val="21"/>
          <w:lang w:val="en-US" w:eastAsia="zh-CN"/>
        </w:rPr>
        <w:t>28</w:t>
      </w:r>
      <w:r>
        <w:rPr>
          <w:rFonts w:hint="default" w:ascii="Arial" w:hAnsi="Arial" w:cs="Arial"/>
          <w:sz w:val="21"/>
          <w:szCs w:val="21"/>
          <w:lang w:eastAsia="zh-CN"/>
        </w:rPr>
        <w:t>万元；无公车购置费；无出国境费用开支。部门基本支出预算资金</w:t>
      </w:r>
      <w:r>
        <w:rPr>
          <w:rFonts w:hint="default" w:ascii="Arial" w:hAnsi="Arial" w:cs="Arial"/>
          <w:sz w:val="21"/>
          <w:szCs w:val="21"/>
          <w:lang w:val="en-US" w:eastAsia="zh-CN"/>
        </w:rPr>
        <w:t>359.63</w:t>
      </w:r>
      <w:r>
        <w:rPr>
          <w:rFonts w:hint="default" w:ascii="Arial" w:hAnsi="Arial" w:cs="Arial"/>
          <w:sz w:val="21"/>
          <w:szCs w:val="21"/>
          <w:lang w:eastAsia="zh-CN"/>
        </w:rPr>
        <w:t>万元，决算资金3</w:t>
      </w:r>
      <w:r>
        <w:rPr>
          <w:rFonts w:hint="default" w:ascii="Arial" w:hAnsi="Arial" w:cs="Arial"/>
          <w:sz w:val="21"/>
          <w:szCs w:val="21"/>
          <w:lang w:val="en-US" w:eastAsia="zh-CN"/>
        </w:rPr>
        <w:t>75.66</w:t>
      </w:r>
      <w:r>
        <w:rPr>
          <w:rFonts w:hint="default" w:ascii="Arial" w:hAnsi="Arial" w:cs="Arial"/>
          <w:sz w:val="21"/>
          <w:szCs w:val="21"/>
          <w:lang w:eastAsia="zh-CN"/>
        </w:rPr>
        <w:t>万元。在机关日常管理中认真贯彻执行党中央、国务院厉行节约精神，采取有效措施严格控制和压缩经费支出。</w:t>
      </w:r>
    </w:p>
    <w:p w14:paraId="160F08DB">
      <w:pPr>
        <w:pStyle w:val="2"/>
        <w:ind w:firstLine="611"/>
        <w:rPr>
          <w:rFonts w:hint="default" w:ascii="Arial" w:hAnsi="Arial" w:cs="Arial"/>
          <w:sz w:val="21"/>
          <w:szCs w:val="21"/>
          <w:lang w:eastAsia="zh-CN"/>
        </w:rPr>
      </w:pPr>
      <w:r>
        <w:rPr>
          <w:rFonts w:hint="default" w:ascii="Arial" w:hAnsi="Arial" w:cs="Arial"/>
          <w:sz w:val="21"/>
          <w:szCs w:val="21"/>
          <w:lang w:eastAsia="zh-CN"/>
        </w:rPr>
        <w:t>(二)项目支出情况</w:t>
      </w:r>
    </w:p>
    <w:p w14:paraId="65BB0162">
      <w:pPr>
        <w:pStyle w:val="2"/>
        <w:ind w:firstLine="611"/>
        <w:rPr>
          <w:rFonts w:hint="default" w:ascii="Arial" w:hAnsi="Arial" w:cs="Arial"/>
          <w:sz w:val="21"/>
          <w:szCs w:val="21"/>
          <w:lang w:eastAsia="zh-CN"/>
        </w:rPr>
      </w:pPr>
      <w:r>
        <w:rPr>
          <w:rFonts w:hint="default" w:ascii="Arial" w:hAnsi="Arial" w:cs="Arial"/>
          <w:sz w:val="21"/>
          <w:szCs w:val="21"/>
          <w:lang w:eastAsia="zh-CN"/>
        </w:rPr>
        <w:t>1、专项资金安排落实、总投入等情况分析</w:t>
      </w:r>
    </w:p>
    <w:p w14:paraId="082ECB80">
      <w:pPr>
        <w:pStyle w:val="2"/>
        <w:ind w:firstLine="611"/>
        <w:rPr>
          <w:rFonts w:hint="default" w:ascii="Arial" w:hAnsi="Arial" w:cs="Arial"/>
          <w:sz w:val="21"/>
          <w:szCs w:val="21"/>
          <w:lang w:val="en-US" w:eastAsia="zh-CN"/>
        </w:rPr>
      </w:pPr>
      <w:r>
        <w:rPr>
          <w:rFonts w:hint="default" w:ascii="Arial" w:hAnsi="Arial" w:cs="Arial"/>
          <w:sz w:val="21"/>
          <w:szCs w:val="21"/>
          <w:lang w:eastAsia="zh-CN"/>
        </w:rPr>
        <w:t>专项资金安排</w:t>
      </w:r>
      <w:r>
        <w:rPr>
          <w:rFonts w:hint="default" w:ascii="Arial" w:hAnsi="Arial" w:cs="Arial"/>
          <w:sz w:val="21"/>
          <w:szCs w:val="21"/>
          <w:lang w:val="en-US" w:eastAsia="zh-CN"/>
        </w:rPr>
        <w:t>331.22</w:t>
      </w:r>
      <w:r>
        <w:rPr>
          <w:rFonts w:hint="default" w:ascii="Arial" w:hAnsi="Arial" w:cs="Arial"/>
          <w:sz w:val="21"/>
          <w:szCs w:val="21"/>
          <w:lang w:eastAsia="zh-CN"/>
        </w:rPr>
        <w:t>万元，主要用于公共安全感测评</w:t>
      </w:r>
      <w:r>
        <w:rPr>
          <w:rFonts w:hint="default" w:ascii="Arial" w:hAnsi="Arial" w:cs="Arial"/>
          <w:sz w:val="21"/>
          <w:szCs w:val="21"/>
          <w:lang w:val="en-US" w:eastAsia="zh-CN"/>
        </w:rPr>
        <w:t>51.83</w:t>
      </w:r>
      <w:r>
        <w:rPr>
          <w:rFonts w:hint="default" w:ascii="Arial" w:hAnsi="Arial" w:cs="Arial"/>
          <w:sz w:val="21"/>
          <w:szCs w:val="21"/>
          <w:lang w:eastAsia="zh-CN"/>
        </w:rPr>
        <w:t>万元，维稳协调</w:t>
      </w:r>
      <w:r>
        <w:rPr>
          <w:rFonts w:hint="default" w:ascii="Arial" w:hAnsi="Arial" w:cs="Arial"/>
          <w:sz w:val="21"/>
          <w:szCs w:val="21"/>
          <w:lang w:val="en-US" w:eastAsia="zh-CN"/>
        </w:rPr>
        <w:t>165.7</w:t>
      </w:r>
      <w:r>
        <w:rPr>
          <w:rFonts w:hint="default" w:ascii="Arial" w:hAnsi="Arial" w:cs="Arial"/>
          <w:sz w:val="21"/>
          <w:szCs w:val="21"/>
          <w:lang w:eastAsia="zh-CN"/>
        </w:rPr>
        <w:t>、扫黑除恶</w:t>
      </w:r>
      <w:r>
        <w:rPr>
          <w:rFonts w:hint="default" w:ascii="Arial" w:hAnsi="Arial" w:cs="Arial"/>
          <w:sz w:val="21"/>
          <w:szCs w:val="21"/>
          <w:lang w:val="en-US" w:eastAsia="zh-CN"/>
        </w:rPr>
        <w:t>15.44</w:t>
      </w:r>
      <w:r>
        <w:rPr>
          <w:rFonts w:hint="default" w:ascii="Arial" w:hAnsi="Arial" w:cs="Arial"/>
          <w:sz w:val="21"/>
          <w:szCs w:val="21"/>
          <w:lang w:eastAsia="zh-CN"/>
        </w:rPr>
        <w:t>万元、精神病患者保险费</w:t>
      </w:r>
      <w:r>
        <w:rPr>
          <w:rFonts w:hint="default" w:ascii="Arial" w:hAnsi="Arial" w:cs="Arial"/>
          <w:sz w:val="21"/>
          <w:szCs w:val="21"/>
          <w:lang w:val="en-US" w:eastAsia="zh-CN"/>
        </w:rPr>
        <w:t>25</w:t>
      </w:r>
      <w:r>
        <w:rPr>
          <w:rFonts w:hint="default" w:ascii="Arial" w:hAnsi="Arial" w:cs="Arial"/>
          <w:sz w:val="21"/>
          <w:szCs w:val="21"/>
          <w:lang w:eastAsia="zh-CN"/>
        </w:rPr>
        <w:t>万元、司法救助</w:t>
      </w:r>
      <w:r>
        <w:rPr>
          <w:rFonts w:hint="default" w:ascii="Arial" w:hAnsi="Arial" w:cs="Arial"/>
          <w:sz w:val="21"/>
          <w:szCs w:val="21"/>
          <w:lang w:val="en-US" w:eastAsia="zh-CN"/>
        </w:rPr>
        <w:t>42.3</w:t>
      </w:r>
      <w:r>
        <w:rPr>
          <w:rFonts w:hint="default" w:ascii="Arial" w:hAnsi="Arial" w:cs="Arial"/>
          <w:sz w:val="21"/>
          <w:szCs w:val="21"/>
          <w:lang w:eastAsia="zh-CN"/>
        </w:rPr>
        <w:t>万元、</w:t>
      </w:r>
      <w:r>
        <w:rPr>
          <w:rFonts w:hint="default" w:ascii="Arial" w:hAnsi="Arial" w:cs="Arial"/>
          <w:sz w:val="21"/>
          <w:szCs w:val="21"/>
          <w:lang w:val="en-US" w:eastAsia="zh-CN"/>
        </w:rPr>
        <w:t xml:space="preserve"> </w:t>
      </w:r>
      <w:r>
        <w:rPr>
          <w:rFonts w:hint="default" w:ascii="Arial" w:hAnsi="Arial" w:cs="Arial"/>
          <w:sz w:val="21"/>
          <w:szCs w:val="21"/>
          <w:lang w:eastAsia="zh-CN"/>
        </w:rPr>
        <w:t>政法委专项</w:t>
      </w:r>
      <w:r>
        <w:rPr>
          <w:rFonts w:hint="default" w:ascii="Arial" w:hAnsi="Arial" w:cs="Arial"/>
          <w:sz w:val="21"/>
          <w:szCs w:val="21"/>
          <w:lang w:val="en-US" w:eastAsia="zh-CN"/>
        </w:rPr>
        <w:t>27万元、离退休费3.95万元。</w:t>
      </w:r>
    </w:p>
    <w:p w14:paraId="640F7611">
      <w:pPr>
        <w:ind w:firstLine="611"/>
        <w:rPr>
          <w:rFonts w:hint="eastAsia" w:ascii="黑体" w:hAnsi="黑体" w:eastAsia="黑体" w:cs="黑体"/>
          <w:sz w:val="30"/>
          <w:szCs w:val="30"/>
        </w:rPr>
      </w:pPr>
      <w:r>
        <w:rPr>
          <w:rFonts w:hint="eastAsia" w:ascii="黑体" w:hAnsi="黑体" w:eastAsia="黑体" w:cs="黑体"/>
          <w:sz w:val="30"/>
          <w:szCs w:val="30"/>
        </w:rPr>
        <w:t>三、政府性基金预算支出情况</w:t>
      </w:r>
    </w:p>
    <w:p w14:paraId="6A0DE6C3">
      <w:pPr>
        <w:ind w:firstLine="611"/>
        <w:rPr>
          <w:rFonts w:hint="default" w:ascii="Arial" w:hAnsi="Arial" w:cs="Arial"/>
          <w:sz w:val="21"/>
          <w:szCs w:val="21"/>
        </w:rPr>
      </w:pPr>
      <w:r>
        <w:rPr>
          <w:rFonts w:hint="default" w:ascii="Arial" w:hAnsi="Arial" w:cs="Arial"/>
          <w:sz w:val="21"/>
          <w:szCs w:val="21"/>
        </w:rPr>
        <w:t>本部门无政府性基金预算支出。</w:t>
      </w:r>
    </w:p>
    <w:p w14:paraId="257EF683">
      <w:pPr>
        <w:ind w:firstLine="611"/>
        <w:rPr>
          <w:rFonts w:hint="eastAsia" w:ascii="黑体" w:hAnsi="黑体" w:eastAsia="黑体" w:cs="黑体"/>
          <w:sz w:val="30"/>
          <w:szCs w:val="30"/>
        </w:rPr>
      </w:pPr>
      <w:r>
        <w:rPr>
          <w:rFonts w:hint="eastAsia" w:ascii="黑体" w:hAnsi="黑体" w:eastAsia="黑体" w:cs="黑体"/>
          <w:sz w:val="30"/>
          <w:szCs w:val="30"/>
        </w:rPr>
        <w:t>四、国有资本经营预算支出情况</w:t>
      </w:r>
    </w:p>
    <w:p w14:paraId="553EABBC">
      <w:pPr>
        <w:ind w:firstLine="611"/>
        <w:rPr>
          <w:rFonts w:hint="default" w:ascii="Arial" w:hAnsi="Arial" w:cs="Arial"/>
          <w:sz w:val="21"/>
          <w:szCs w:val="21"/>
        </w:rPr>
      </w:pPr>
      <w:r>
        <w:rPr>
          <w:rFonts w:hint="default" w:ascii="Arial" w:hAnsi="Arial" w:cs="Arial"/>
          <w:sz w:val="21"/>
          <w:szCs w:val="21"/>
        </w:rPr>
        <w:t>本部门无国有资本经营预算支出。</w:t>
      </w:r>
    </w:p>
    <w:p w14:paraId="503A9756">
      <w:pPr>
        <w:ind w:firstLine="611"/>
        <w:rPr>
          <w:rFonts w:hint="eastAsia" w:ascii="黑体" w:hAnsi="黑体" w:eastAsia="黑体" w:cs="黑体"/>
          <w:sz w:val="30"/>
          <w:szCs w:val="30"/>
        </w:rPr>
      </w:pPr>
      <w:r>
        <w:rPr>
          <w:rFonts w:hint="eastAsia" w:ascii="黑体" w:hAnsi="黑体" w:eastAsia="黑体" w:cs="黑体"/>
          <w:sz w:val="30"/>
          <w:szCs w:val="30"/>
        </w:rPr>
        <w:t>五、社会保险基金预算支出情况</w:t>
      </w:r>
    </w:p>
    <w:p w14:paraId="69B8DC74">
      <w:pPr>
        <w:ind w:firstLine="611"/>
        <w:rPr>
          <w:rFonts w:hint="default" w:ascii="Arial" w:hAnsi="Arial" w:cs="Arial"/>
          <w:sz w:val="21"/>
          <w:szCs w:val="21"/>
        </w:rPr>
      </w:pPr>
      <w:r>
        <w:rPr>
          <w:rFonts w:hint="default" w:ascii="Arial" w:hAnsi="Arial" w:cs="Arial"/>
          <w:sz w:val="21"/>
          <w:szCs w:val="21"/>
        </w:rPr>
        <w:t xml:space="preserve"> 本部门无社会保险基金预算支出。</w:t>
      </w:r>
    </w:p>
    <w:p w14:paraId="4F2E6B56">
      <w:pPr>
        <w:ind w:firstLine="611"/>
        <w:rPr>
          <w:rFonts w:hint="eastAsia" w:ascii="黑体" w:hAnsi="黑体" w:eastAsia="黑体" w:cs="黑体"/>
          <w:sz w:val="30"/>
          <w:szCs w:val="30"/>
        </w:rPr>
      </w:pPr>
      <w:r>
        <w:rPr>
          <w:rFonts w:hint="eastAsia" w:ascii="黑体" w:hAnsi="黑体" w:eastAsia="黑体" w:cs="黑体"/>
          <w:sz w:val="30"/>
          <w:szCs w:val="30"/>
        </w:rPr>
        <w:t>六、部门整体支出绩效情况</w:t>
      </w:r>
    </w:p>
    <w:p w14:paraId="2B2B42C9">
      <w:pPr>
        <w:ind w:firstLine="611"/>
        <w:rPr>
          <w:rFonts w:hint="default" w:ascii="Arial" w:hAnsi="Arial" w:cs="Arial"/>
          <w:sz w:val="21"/>
          <w:szCs w:val="21"/>
        </w:rPr>
      </w:pPr>
      <w:r>
        <w:rPr>
          <w:rFonts w:hint="default" w:ascii="Arial" w:hAnsi="Arial" w:cs="Arial"/>
          <w:sz w:val="21"/>
          <w:szCs w:val="21"/>
        </w:rPr>
        <w:t>我部门一般公共预算的各项资金主要用途是确保单位的正常运转，严格执行市委市政府的各项制度，促进各项工作任务顺利完成。人员经费支出主要用于人员工资及社会保障缴费；公共支出主要用于日常运行费用；项目经费的使用严格按照专款专用。三公经费的使用严格控制在预算申报的范围内，严格落实厉行节约的原则。做好综治、涉法涉诉、信访案件处理、化解社会矛盾、反恐反邪教维护国家安全、“双创”等日常工作，推进法治汨罗建设。202</w:t>
      </w:r>
      <w:r>
        <w:rPr>
          <w:rFonts w:hint="default" w:ascii="Arial" w:hAnsi="Arial" w:eastAsia="宋体" w:cs="Arial"/>
          <w:sz w:val="21"/>
          <w:szCs w:val="21"/>
          <w:lang w:val="en-US" w:eastAsia="zh-CN"/>
        </w:rPr>
        <w:t>2</w:t>
      </w:r>
      <w:r>
        <w:rPr>
          <w:rFonts w:hint="default" w:ascii="Arial" w:hAnsi="Arial" w:cs="Arial"/>
          <w:sz w:val="21"/>
          <w:szCs w:val="21"/>
        </w:rPr>
        <w:t>年我市公众安全感测评成绩排名全省第16位，首次进入全省前20名，有望连续5年夺得湖南省平安建设工作先进县（市）称号。</w:t>
      </w:r>
    </w:p>
    <w:p w14:paraId="46035A6F">
      <w:pPr>
        <w:ind w:firstLine="611"/>
        <w:rPr>
          <w:rFonts w:hint="default" w:ascii="Arial" w:hAnsi="Arial" w:eastAsia="宋体" w:cs="Arial"/>
          <w:sz w:val="21"/>
          <w:szCs w:val="21"/>
          <w:lang w:val="en-US" w:eastAsia="zh-CN"/>
        </w:rPr>
      </w:pPr>
      <w:r>
        <w:rPr>
          <w:rFonts w:hint="default" w:ascii="Arial" w:hAnsi="Arial" w:cs="Arial"/>
          <w:sz w:val="21"/>
          <w:szCs w:val="21"/>
        </w:rPr>
        <w:t>1、综治民调工作全年基本完成问卷抽样调查。2、涉法涉诉基本做到了息访息诉，司法救助款完成率达到100%，全部落实到位。3、维稳工作：基本得到平稳、安全、无重大交通事故堵门堵路情况。综治网格化服务管理中心基本建立完成，网格化服务视频监控平台得到有续开展，人民群众办事效率大大提高。</w:t>
      </w:r>
      <w:r>
        <w:rPr>
          <w:rFonts w:hint="default" w:ascii="Arial" w:hAnsi="Arial" w:eastAsia="宋体" w:cs="Arial"/>
          <w:sz w:val="21"/>
          <w:szCs w:val="21"/>
          <w:lang w:val="en-US" w:eastAsia="zh-CN"/>
        </w:rPr>
        <w:t xml:space="preserve"> </w:t>
      </w:r>
    </w:p>
    <w:p w14:paraId="3F484AED">
      <w:pPr>
        <w:ind w:firstLine="611"/>
        <w:rPr>
          <w:rFonts w:hint="default" w:ascii="Arial" w:hAnsi="Arial" w:cs="Arial"/>
          <w:sz w:val="21"/>
          <w:szCs w:val="21"/>
        </w:rPr>
      </w:pPr>
      <w:r>
        <w:rPr>
          <w:rFonts w:hint="default" w:ascii="Arial" w:hAnsi="Arial" w:eastAsia="宋体" w:cs="Arial"/>
          <w:sz w:val="21"/>
          <w:szCs w:val="21"/>
          <w:lang w:val="en-US" w:eastAsia="zh-CN"/>
        </w:rPr>
        <w:t>4</w:t>
      </w:r>
      <w:r>
        <w:rPr>
          <w:rFonts w:hint="default" w:ascii="Arial" w:hAnsi="Arial" w:cs="Arial"/>
          <w:sz w:val="21"/>
          <w:szCs w:val="21"/>
        </w:rPr>
        <w:t>、深化队伍素能建设，作风建设持续提升</w:t>
      </w:r>
    </w:p>
    <w:p w14:paraId="4BBF6C1F">
      <w:pPr>
        <w:ind w:firstLine="611"/>
        <w:rPr>
          <w:rFonts w:hint="default" w:ascii="Arial" w:hAnsi="Arial" w:cs="Arial"/>
          <w:sz w:val="21"/>
          <w:szCs w:val="21"/>
        </w:rPr>
      </w:pPr>
      <w:r>
        <w:rPr>
          <w:rFonts w:hint="default" w:ascii="Arial" w:hAnsi="Arial" w:cs="Arial"/>
          <w:sz w:val="21"/>
          <w:szCs w:val="21"/>
        </w:rPr>
        <w:t>坚持全面从严管党治警，加快锻造一支政治过硬、本领高强、作风优良的政法铁军，确保党对政法工作的绝对领导落到实处</w:t>
      </w:r>
      <w:r>
        <w:rPr>
          <w:rFonts w:hint="default" w:ascii="Arial" w:hAnsi="Arial" w:eastAsia="宋体" w:cs="Arial"/>
          <w:sz w:val="21"/>
          <w:szCs w:val="21"/>
          <w:lang w:val="en-US" w:eastAsia="zh-CN"/>
        </w:rPr>
        <w:t xml:space="preserve"> ，</w:t>
      </w:r>
      <w:r>
        <w:rPr>
          <w:rFonts w:hint="default" w:ascii="Arial" w:hAnsi="Arial" w:cs="Arial"/>
          <w:sz w:val="21"/>
          <w:szCs w:val="21"/>
        </w:rPr>
        <w:t>弘扬英模精神，组织开展“十佳政法干警”等系列评先树优活动，推动在全社会形成尊崇政法职业、支持政法事业的良好风尚，激励广大政法干警担当作为、奋发有为。</w:t>
      </w:r>
    </w:p>
    <w:p w14:paraId="680CDE66">
      <w:pPr>
        <w:pStyle w:val="9"/>
        <w:ind w:firstLine="611"/>
        <w:rPr>
          <w:rFonts w:hint="default" w:ascii="Arial" w:hAnsi="Arial" w:cs="Arial"/>
          <w:spacing w:val="-4"/>
          <w:sz w:val="21"/>
          <w:szCs w:val="21"/>
          <w:lang w:eastAsia="zh-CN"/>
        </w:rPr>
      </w:pPr>
      <w:r>
        <w:rPr>
          <w:rFonts w:hint="default" w:ascii="Arial" w:hAnsi="Arial" w:cs="Arial"/>
          <w:sz w:val="21"/>
          <w:szCs w:val="21"/>
          <w:lang w:eastAsia="zh-CN"/>
        </w:rPr>
        <w:t>本部门的预算资金严格控制在年度预算资金范围内，优化资源配置，提高财政资金使用效益，维护社会稳定，金融安全，扫黑除恶，保证大局的长治久安，提供司法救助，为诉讼中的困难者解决困难</w:t>
      </w:r>
      <w:r>
        <w:rPr>
          <w:rFonts w:hint="default" w:ascii="Arial" w:hAnsi="Arial" w:cs="Arial"/>
          <w:spacing w:val="-4"/>
          <w:sz w:val="21"/>
          <w:szCs w:val="21"/>
          <w:lang w:eastAsia="zh-CN"/>
        </w:rPr>
        <w:t>，形成 风清气正的良好政治环境，加强全面治党，提升共产党执政形象，也让群众对政法党政机关执行力及服务更加满意。</w:t>
      </w:r>
    </w:p>
    <w:p w14:paraId="23FDBB6C">
      <w:pPr>
        <w:ind w:firstLine="611"/>
        <w:rPr>
          <w:rFonts w:hint="eastAsia" w:ascii="黑体" w:hAnsi="黑体" w:eastAsia="黑体" w:cs="黑体"/>
          <w:sz w:val="30"/>
          <w:szCs w:val="30"/>
        </w:rPr>
      </w:pPr>
      <w:r>
        <w:rPr>
          <w:rFonts w:hint="eastAsia" w:ascii="黑体" w:hAnsi="黑体" w:eastAsia="黑体" w:cs="黑体"/>
          <w:sz w:val="30"/>
          <w:szCs w:val="30"/>
        </w:rPr>
        <w:t>七、存在的问题及原因分析</w:t>
      </w:r>
    </w:p>
    <w:p w14:paraId="3F7D0AD2">
      <w:pPr>
        <w:pStyle w:val="2"/>
        <w:ind w:firstLine="611"/>
        <w:rPr>
          <w:rFonts w:hint="default" w:ascii="Arial" w:hAnsi="Arial" w:cs="Arial"/>
          <w:sz w:val="21"/>
          <w:szCs w:val="21"/>
          <w:lang w:eastAsia="zh-CN"/>
        </w:rPr>
      </w:pPr>
      <w:r>
        <w:rPr>
          <w:rFonts w:hint="default" w:ascii="Arial" w:hAnsi="Arial" w:cs="Arial"/>
          <w:sz w:val="21"/>
          <w:szCs w:val="21"/>
          <w:lang w:eastAsia="zh-CN"/>
        </w:rPr>
        <w:t>尽管我单位的部门整体绩效评价工作取得了一定的成绩，但也存在一些问题和不足。</w:t>
      </w:r>
    </w:p>
    <w:p w14:paraId="174214C2">
      <w:pPr>
        <w:pStyle w:val="2"/>
        <w:ind w:firstLine="611"/>
        <w:rPr>
          <w:rFonts w:hint="default" w:ascii="Arial" w:hAnsi="Arial" w:cs="Arial"/>
          <w:sz w:val="21"/>
          <w:szCs w:val="21"/>
          <w:lang w:eastAsia="zh-CN"/>
        </w:rPr>
      </w:pPr>
      <w:r>
        <w:rPr>
          <w:rFonts w:hint="default" w:ascii="Arial" w:hAnsi="Arial" w:cs="Arial"/>
          <w:sz w:val="21"/>
          <w:szCs w:val="21"/>
          <w:lang w:eastAsia="zh-CN"/>
        </w:rPr>
        <w:t xml:space="preserve">  1、机关制度不健全，合理性有待进一步提高。</w:t>
      </w:r>
    </w:p>
    <w:p w14:paraId="0152DDA5">
      <w:pPr>
        <w:pStyle w:val="2"/>
        <w:ind w:firstLine="611"/>
        <w:rPr>
          <w:rFonts w:hint="default" w:ascii="Arial" w:hAnsi="Arial" w:cs="Arial"/>
          <w:sz w:val="21"/>
          <w:szCs w:val="21"/>
          <w:lang w:eastAsia="zh-CN"/>
        </w:rPr>
      </w:pPr>
      <w:r>
        <w:rPr>
          <w:rFonts w:hint="default" w:ascii="Arial" w:hAnsi="Arial" w:cs="Arial"/>
          <w:sz w:val="21"/>
          <w:szCs w:val="21"/>
          <w:lang w:eastAsia="zh-CN"/>
        </w:rPr>
        <w:t xml:space="preserve">  2、我单位财政拨款经费整体偏低，特别是一般性公用支出部分的基数标准与实际日常运转费用存在相当大的差距。</w:t>
      </w:r>
    </w:p>
    <w:p w14:paraId="1870FA14">
      <w:pPr>
        <w:pStyle w:val="2"/>
        <w:ind w:firstLine="611"/>
        <w:rPr>
          <w:rFonts w:hint="eastAsia" w:ascii="黑体" w:hAnsi="黑体" w:eastAsia="黑体" w:cs="黑体"/>
          <w:sz w:val="21"/>
          <w:szCs w:val="21"/>
          <w:lang w:eastAsia="zh-CN"/>
        </w:rPr>
      </w:pPr>
      <w:r>
        <w:rPr>
          <w:rFonts w:hint="eastAsia" w:ascii="黑体" w:hAnsi="黑体" w:eastAsia="黑体" w:cs="黑体"/>
          <w:sz w:val="21"/>
          <w:szCs w:val="21"/>
          <w:lang w:eastAsia="zh-CN"/>
        </w:rPr>
        <w:t>八、下一步改进措施</w:t>
      </w:r>
    </w:p>
    <w:p w14:paraId="084FD970">
      <w:pPr>
        <w:pStyle w:val="2"/>
        <w:ind w:firstLine="611"/>
        <w:rPr>
          <w:rFonts w:hint="default" w:ascii="Arial" w:hAnsi="Arial" w:cs="Arial"/>
          <w:sz w:val="21"/>
          <w:szCs w:val="21"/>
          <w:lang w:eastAsia="zh-CN"/>
        </w:rPr>
      </w:pPr>
      <w:r>
        <w:rPr>
          <w:rFonts w:hint="default" w:ascii="Arial" w:hAnsi="Arial" w:cs="Arial"/>
          <w:sz w:val="21"/>
          <w:szCs w:val="21"/>
          <w:lang w:eastAsia="zh-CN"/>
        </w:rPr>
        <w:t xml:space="preserve"> 1、规范管理，继续建立健全各项规章制度</w:t>
      </w:r>
    </w:p>
    <w:p w14:paraId="62688E7A">
      <w:pPr>
        <w:pStyle w:val="2"/>
        <w:ind w:firstLine="611"/>
        <w:rPr>
          <w:rFonts w:hint="default" w:ascii="Arial" w:hAnsi="Arial" w:cs="Arial"/>
          <w:sz w:val="21"/>
          <w:szCs w:val="21"/>
          <w:lang w:eastAsia="zh-CN"/>
        </w:rPr>
      </w:pPr>
      <w:r>
        <w:rPr>
          <w:rFonts w:hint="default" w:ascii="Arial" w:hAnsi="Arial" w:cs="Arial"/>
          <w:sz w:val="21"/>
          <w:szCs w:val="21"/>
          <w:lang w:eastAsia="zh-CN"/>
        </w:rPr>
        <w:t xml:space="preserve"> 2、严格“三公经费”，控制管理。控制“三公经费”的比例，把关“三公经费”支出的审核、审批，压缩的支出，严格做到了厉行节约的原则。</w:t>
      </w:r>
    </w:p>
    <w:p w14:paraId="037F578A">
      <w:pPr>
        <w:pStyle w:val="2"/>
        <w:ind w:firstLine="611"/>
        <w:rPr>
          <w:rFonts w:hint="default" w:ascii="Arial" w:hAnsi="Arial" w:cs="Arial"/>
          <w:sz w:val="30"/>
          <w:szCs w:val="30"/>
          <w:lang w:eastAsia="zh-CN"/>
        </w:rPr>
      </w:pPr>
      <w:r>
        <w:rPr>
          <w:rFonts w:hint="default" w:ascii="Arial" w:hAnsi="Arial" w:cs="Arial"/>
          <w:sz w:val="21"/>
          <w:szCs w:val="21"/>
          <w:lang w:eastAsia="zh-CN"/>
        </w:rPr>
        <w:t xml:space="preserve"> 3、建立长效机制，把绩效评价作为本委的日常性工作，建立绩效评价管理工作考核</w:t>
      </w:r>
      <w:r>
        <w:rPr>
          <w:rFonts w:hint="default" w:ascii="Arial" w:hAnsi="Arial" w:cs="Arial"/>
          <w:sz w:val="30"/>
          <w:szCs w:val="30"/>
          <w:lang w:eastAsia="zh-CN"/>
        </w:rPr>
        <w:t>的长效机制。</w:t>
      </w:r>
    </w:p>
    <w:p w14:paraId="5BDCC53B">
      <w:pPr>
        <w:pStyle w:val="2"/>
        <w:ind w:firstLine="611"/>
        <w:rPr>
          <w:rFonts w:hint="default" w:ascii="Arial" w:hAnsi="Arial" w:cs="Arial"/>
          <w:sz w:val="30"/>
          <w:szCs w:val="30"/>
          <w:lang w:eastAsia="zh-CN"/>
        </w:rPr>
      </w:pPr>
      <w:r>
        <w:rPr>
          <w:rFonts w:hint="eastAsia" w:ascii="黑体" w:hAnsi="黑体" w:eastAsia="黑体" w:cs="黑体"/>
          <w:sz w:val="30"/>
          <w:szCs w:val="30"/>
        </w:rPr>
        <w:t>九 、部门整体支出绩效自评结果拟应用和公开情况</w:t>
      </w:r>
    </w:p>
    <w:p w14:paraId="59E3ED63">
      <w:pPr>
        <w:pStyle w:val="2"/>
        <w:ind w:firstLine="611"/>
        <w:rPr>
          <w:rFonts w:hint="default" w:ascii="Arial" w:hAnsi="Arial" w:cs="Arial"/>
          <w:sz w:val="21"/>
          <w:szCs w:val="21"/>
        </w:rPr>
      </w:pPr>
    </w:p>
    <w:p w14:paraId="5D196EED">
      <w:pPr>
        <w:ind w:firstLine="420" w:firstLineChars="200"/>
        <w:rPr>
          <w:rFonts w:hint="default" w:ascii="Arial" w:hAnsi="Arial" w:cs="Arial"/>
          <w:sz w:val="21"/>
          <w:szCs w:val="21"/>
        </w:rPr>
      </w:pPr>
      <w:r>
        <w:rPr>
          <w:rFonts w:hint="default" w:ascii="Arial" w:hAnsi="Arial" w:cs="Arial"/>
          <w:sz w:val="21"/>
          <w:szCs w:val="21"/>
        </w:rPr>
        <w:t>我部门的部门整体支出绩效自评结果将在财政指定的网站公开。</w:t>
      </w:r>
    </w:p>
    <w:p w14:paraId="3887B041">
      <w:pPr>
        <w:ind w:firstLine="611"/>
        <w:rPr>
          <w:rFonts w:hint="default" w:ascii="Arial" w:hAnsi="Arial" w:cs="Arial"/>
          <w:sz w:val="30"/>
          <w:szCs w:val="30"/>
        </w:rPr>
      </w:pPr>
    </w:p>
    <w:p w14:paraId="3F12D12D">
      <w:pPr>
        <w:ind w:firstLine="611"/>
        <w:rPr>
          <w:rFonts w:hint="eastAsia" w:ascii="黑体" w:hAnsi="黑体" w:eastAsia="黑体" w:cs="黑体"/>
          <w:sz w:val="30"/>
          <w:szCs w:val="30"/>
        </w:rPr>
      </w:pPr>
      <w:r>
        <w:rPr>
          <w:rFonts w:hint="eastAsia" w:ascii="黑体" w:hAnsi="黑体" w:eastAsia="黑体" w:cs="黑体"/>
          <w:sz w:val="30"/>
          <w:szCs w:val="30"/>
        </w:rPr>
        <w:t>十、其他需要说明的情况</w:t>
      </w:r>
    </w:p>
    <w:p w14:paraId="14A8EAB4">
      <w:pPr>
        <w:ind w:firstLine="611"/>
        <w:rPr>
          <w:rFonts w:hint="default" w:ascii="Arial" w:hAnsi="Arial" w:cs="Arial"/>
          <w:sz w:val="21"/>
          <w:szCs w:val="21"/>
        </w:rPr>
      </w:pPr>
    </w:p>
    <w:p w14:paraId="27E10B7D">
      <w:pPr>
        <w:ind w:firstLine="611"/>
        <w:rPr>
          <w:rFonts w:hint="default" w:ascii="Arial" w:hAnsi="Arial" w:cs="Arial"/>
          <w:sz w:val="21"/>
          <w:szCs w:val="21"/>
        </w:rPr>
      </w:pPr>
      <w:r>
        <w:rPr>
          <w:rFonts w:hint="default" w:ascii="Arial" w:hAnsi="Arial" w:cs="Arial"/>
          <w:sz w:val="21"/>
          <w:szCs w:val="21"/>
        </w:rPr>
        <w:t>本部门没有其他需要说明的情况。</w:t>
      </w:r>
    </w:p>
    <w:p w14:paraId="4E81D6F4">
      <w:pPr>
        <w:ind w:firstLine="611"/>
        <w:rPr>
          <w:rFonts w:hint="default" w:ascii="Arial" w:hAnsi="Arial" w:cs="Arial"/>
          <w:sz w:val="21"/>
          <w:szCs w:val="21"/>
        </w:rPr>
      </w:pPr>
    </w:p>
    <w:p w14:paraId="1B30AE26">
      <w:pPr>
        <w:ind w:firstLine="611"/>
        <w:rPr>
          <w:rFonts w:hint="default" w:ascii="Arial" w:hAnsi="Arial" w:cs="Arial"/>
          <w:sz w:val="21"/>
          <w:szCs w:val="21"/>
        </w:rPr>
      </w:pPr>
    </w:p>
    <w:p w14:paraId="7A7403CB">
      <w:pPr>
        <w:spacing w:before="244" w:line="588" w:lineRule="exact"/>
        <w:ind w:left="1725"/>
        <w:rPr>
          <w:rFonts w:hint="eastAsia" w:ascii="黑体" w:hAnsi="黑体" w:eastAsia="黑体" w:cs="黑体"/>
          <w:spacing w:val="10"/>
          <w:position w:val="12"/>
          <w:sz w:val="44"/>
          <w:szCs w:val="44"/>
          <w:lang w:eastAsia="zh-CN"/>
        </w:rPr>
      </w:pPr>
    </w:p>
    <w:p w14:paraId="510FBAFE">
      <w:pPr>
        <w:spacing w:before="244" w:line="588" w:lineRule="exact"/>
        <w:ind w:left="1725"/>
        <w:rPr>
          <w:rFonts w:hint="eastAsia" w:ascii="黑体" w:hAnsi="黑体" w:eastAsia="黑体" w:cs="黑体"/>
          <w:spacing w:val="10"/>
          <w:position w:val="12"/>
          <w:sz w:val="44"/>
          <w:szCs w:val="44"/>
          <w:lang w:eastAsia="zh-CN"/>
        </w:rPr>
      </w:pPr>
    </w:p>
    <w:p w14:paraId="6CAEDE22">
      <w:pPr>
        <w:spacing w:before="244" w:line="588" w:lineRule="exact"/>
        <w:ind w:left="1725"/>
        <w:rPr>
          <w:rFonts w:hint="eastAsia" w:ascii="黑体" w:hAnsi="黑体" w:eastAsia="黑体" w:cs="黑体"/>
          <w:spacing w:val="10"/>
          <w:position w:val="12"/>
          <w:sz w:val="44"/>
          <w:szCs w:val="44"/>
          <w:lang w:eastAsia="zh-CN"/>
        </w:rPr>
      </w:pPr>
    </w:p>
    <w:p w14:paraId="2D001594">
      <w:pPr>
        <w:spacing w:before="244" w:line="588" w:lineRule="exact"/>
        <w:ind w:left="1725"/>
        <w:rPr>
          <w:rFonts w:hint="eastAsia" w:ascii="黑体" w:hAnsi="黑体" w:eastAsia="黑体" w:cs="黑体"/>
          <w:spacing w:val="10"/>
          <w:position w:val="12"/>
          <w:sz w:val="44"/>
          <w:szCs w:val="44"/>
          <w:lang w:eastAsia="zh-CN"/>
        </w:rPr>
      </w:pPr>
    </w:p>
    <w:p w14:paraId="028FBF92">
      <w:pPr>
        <w:spacing w:before="244" w:line="588" w:lineRule="exact"/>
        <w:ind w:left="1725"/>
        <w:rPr>
          <w:rFonts w:hint="eastAsia" w:ascii="黑体" w:hAnsi="黑体" w:eastAsia="黑体" w:cs="黑体"/>
          <w:sz w:val="44"/>
          <w:szCs w:val="44"/>
          <w:lang w:eastAsia="zh-CN"/>
        </w:rPr>
      </w:pPr>
      <w:r>
        <w:rPr>
          <w:rFonts w:hint="eastAsia" w:ascii="黑体" w:hAnsi="黑体" w:eastAsia="黑体" w:cs="黑体"/>
          <w:spacing w:val="10"/>
          <w:position w:val="12"/>
          <w:sz w:val="44"/>
          <w:szCs w:val="44"/>
          <w:lang w:eastAsia="zh-CN"/>
        </w:rPr>
        <w:t>202</w:t>
      </w:r>
      <w:r>
        <w:rPr>
          <w:rFonts w:hint="eastAsia" w:ascii="黑体" w:hAnsi="黑体" w:eastAsia="黑体" w:cs="黑体"/>
          <w:spacing w:val="10"/>
          <w:position w:val="12"/>
          <w:sz w:val="44"/>
          <w:szCs w:val="44"/>
          <w:lang w:val="en-US" w:eastAsia="zh-CN"/>
        </w:rPr>
        <w:t>2</w:t>
      </w:r>
      <w:r>
        <w:rPr>
          <w:rFonts w:hint="eastAsia" w:ascii="黑体" w:hAnsi="黑体" w:eastAsia="黑体" w:cs="黑体"/>
          <w:spacing w:val="10"/>
          <w:position w:val="12"/>
          <w:sz w:val="44"/>
          <w:szCs w:val="44"/>
          <w:lang w:eastAsia="zh-CN"/>
        </w:rPr>
        <w:t>年度维稳协调专项资金支出</w:t>
      </w:r>
    </w:p>
    <w:p w14:paraId="1E56865A">
      <w:pPr>
        <w:spacing w:before="1" w:line="220" w:lineRule="auto"/>
        <w:ind w:firstLine="3472" w:firstLineChars="800"/>
        <w:rPr>
          <w:rFonts w:ascii="黑体" w:hAnsi="黑体" w:eastAsia="黑体" w:cs="黑体"/>
          <w:sz w:val="41"/>
          <w:szCs w:val="41"/>
          <w:lang w:eastAsia="zh-CN"/>
        </w:rPr>
      </w:pPr>
      <w:r>
        <w:rPr>
          <w:rFonts w:ascii="黑体" w:hAnsi="黑体" w:eastAsia="黑体" w:cs="黑体"/>
          <w:spacing w:val="12"/>
          <w:sz w:val="41"/>
          <w:szCs w:val="41"/>
          <w:lang w:eastAsia="zh-CN"/>
        </w:rPr>
        <w:t>绩效自评报告</w:t>
      </w:r>
    </w:p>
    <w:p w14:paraId="6458DBD0">
      <w:pPr>
        <w:rPr>
          <w:lang w:eastAsia="zh-CN"/>
        </w:rPr>
      </w:pPr>
    </w:p>
    <w:p w14:paraId="44F126C2">
      <w:pPr>
        <w:rPr>
          <w:lang w:eastAsia="zh-CN"/>
        </w:rPr>
      </w:pPr>
    </w:p>
    <w:p w14:paraId="541763CC">
      <w:pPr>
        <w:rPr>
          <w:lang w:eastAsia="zh-CN"/>
        </w:rPr>
      </w:pPr>
    </w:p>
    <w:p w14:paraId="1A8B55C2">
      <w:pPr>
        <w:rPr>
          <w:lang w:eastAsia="zh-CN"/>
        </w:rPr>
      </w:pPr>
    </w:p>
    <w:p w14:paraId="52433BCF">
      <w:pPr>
        <w:rPr>
          <w:lang w:eastAsia="zh-CN"/>
        </w:rPr>
      </w:pPr>
    </w:p>
    <w:p w14:paraId="626D3A0B">
      <w:pPr>
        <w:rPr>
          <w:lang w:eastAsia="zh-CN"/>
        </w:rPr>
      </w:pPr>
    </w:p>
    <w:p w14:paraId="754601EC">
      <w:pPr>
        <w:rPr>
          <w:lang w:eastAsia="zh-CN"/>
        </w:rPr>
      </w:pPr>
    </w:p>
    <w:p w14:paraId="2A4C6BB5">
      <w:pPr>
        <w:rPr>
          <w:lang w:eastAsia="zh-CN"/>
        </w:rPr>
      </w:pPr>
    </w:p>
    <w:p w14:paraId="2C977804">
      <w:pPr>
        <w:spacing w:line="241" w:lineRule="auto"/>
        <w:rPr>
          <w:lang w:eastAsia="zh-CN"/>
        </w:rPr>
      </w:pPr>
    </w:p>
    <w:p w14:paraId="299986CE">
      <w:pPr>
        <w:spacing w:line="241" w:lineRule="auto"/>
        <w:rPr>
          <w:lang w:eastAsia="zh-CN"/>
        </w:rPr>
      </w:pPr>
    </w:p>
    <w:p w14:paraId="593D9773">
      <w:pPr>
        <w:spacing w:line="241" w:lineRule="auto"/>
        <w:rPr>
          <w:lang w:eastAsia="zh-CN"/>
        </w:rPr>
      </w:pPr>
    </w:p>
    <w:p w14:paraId="595F5F6C">
      <w:pPr>
        <w:spacing w:line="241" w:lineRule="auto"/>
        <w:rPr>
          <w:lang w:eastAsia="zh-CN"/>
        </w:rPr>
      </w:pPr>
    </w:p>
    <w:p w14:paraId="7AC1CB3A">
      <w:pPr>
        <w:spacing w:line="241" w:lineRule="auto"/>
        <w:rPr>
          <w:lang w:eastAsia="zh-CN"/>
        </w:rPr>
      </w:pPr>
    </w:p>
    <w:p w14:paraId="513208FD">
      <w:pPr>
        <w:spacing w:line="241" w:lineRule="auto"/>
        <w:rPr>
          <w:lang w:eastAsia="zh-CN"/>
        </w:rPr>
      </w:pPr>
    </w:p>
    <w:p w14:paraId="56E56B9E">
      <w:pPr>
        <w:spacing w:line="241" w:lineRule="auto"/>
        <w:rPr>
          <w:lang w:eastAsia="zh-CN"/>
        </w:rPr>
      </w:pPr>
    </w:p>
    <w:p w14:paraId="75139C0F">
      <w:pPr>
        <w:spacing w:line="241" w:lineRule="auto"/>
        <w:rPr>
          <w:lang w:eastAsia="zh-CN"/>
        </w:rPr>
      </w:pPr>
    </w:p>
    <w:p w14:paraId="5FE6705D">
      <w:pPr>
        <w:spacing w:line="241" w:lineRule="auto"/>
        <w:rPr>
          <w:lang w:eastAsia="zh-CN"/>
        </w:rPr>
      </w:pPr>
    </w:p>
    <w:p w14:paraId="15DB9FD7">
      <w:pPr>
        <w:spacing w:line="241" w:lineRule="auto"/>
        <w:rPr>
          <w:lang w:eastAsia="zh-CN"/>
        </w:rPr>
      </w:pPr>
    </w:p>
    <w:p w14:paraId="5B5551C3">
      <w:pPr>
        <w:spacing w:line="241" w:lineRule="auto"/>
        <w:rPr>
          <w:lang w:eastAsia="zh-CN"/>
        </w:rPr>
      </w:pPr>
    </w:p>
    <w:p w14:paraId="71167B54">
      <w:pPr>
        <w:spacing w:line="241" w:lineRule="auto"/>
        <w:rPr>
          <w:lang w:eastAsia="zh-CN"/>
        </w:rPr>
      </w:pPr>
    </w:p>
    <w:p w14:paraId="471B4088">
      <w:pPr>
        <w:spacing w:line="241" w:lineRule="auto"/>
        <w:rPr>
          <w:lang w:eastAsia="zh-CN"/>
        </w:rPr>
      </w:pPr>
    </w:p>
    <w:p w14:paraId="547B19F8">
      <w:pPr>
        <w:spacing w:line="241" w:lineRule="auto"/>
        <w:rPr>
          <w:lang w:eastAsia="zh-CN"/>
        </w:rPr>
      </w:pPr>
    </w:p>
    <w:p w14:paraId="36897734">
      <w:pPr>
        <w:spacing w:line="241" w:lineRule="auto"/>
        <w:rPr>
          <w:lang w:eastAsia="zh-CN"/>
        </w:rPr>
      </w:pPr>
    </w:p>
    <w:p w14:paraId="0B249207">
      <w:pPr>
        <w:spacing w:line="241" w:lineRule="auto"/>
        <w:rPr>
          <w:lang w:eastAsia="zh-CN"/>
        </w:rPr>
      </w:pPr>
    </w:p>
    <w:p w14:paraId="3BA988AB">
      <w:pPr>
        <w:spacing w:line="241" w:lineRule="auto"/>
        <w:rPr>
          <w:lang w:eastAsia="zh-CN"/>
        </w:rPr>
      </w:pPr>
    </w:p>
    <w:p w14:paraId="0AB66BA7">
      <w:pPr>
        <w:spacing w:line="241" w:lineRule="auto"/>
        <w:rPr>
          <w:lang w:eastAsia="zh-CN"/>
        </w:rPr>
      </w:pPr>
    </w:p>
    <w:p w14:paraId="624186B6">
      <w:pPr>
        <w:spacing w:line="241" w:lineRule="auto"/>
        <w:rPr>
          <w:lang w:eastAsia="zh-CN"/>
        </w:rPr>
      </w:pPr>
    </w:p>
    <w:p w14:paraId="4513B2CF">
      <w:pPr>
        <w:pStyle w:val="2"/>
        <w:spacing w:before="78" w:line="231" w:lineRule="auto"/>
        <w:ind w:firstLine="2000" w:firstLineChars="1000"/>
        <w:rPr>
          <w:sz w:val="24"/>
          <w:szCs w:val="24"/>
          <w:lang w:eastAsia="zh-CN"/>
        </w:rPr>
      </w:pPr>
      <w:r>
        <w:rPr>
          <w:spacing w:val="-20"/>
          <w:sz w:val="24"/>
          <w:szCs w:val="24"/>
          <w:lang w:eastAsia="zh-CN"/>
        </w:rPr>
        <w:t>部门( 单位 )名称 ：</w:t>
      </w:r>
      <w:r>
        <w:rPr>
          <w:spacing w:val="-20"/>
          <w:position w:val="-2"/>
          <w:sz w:val="24"/>
          <w:szCs w:val="24"/>
          <w:u w:val="single"/>
          <w:lang w:eastAsia="zh-CN"/>
        </w:rPr>
        <w:t xml:space="preserve">   (盖章)</w:t>
      </w:r>
    </w:p>
    <w:p w14:paraId="405F846F">
      <w:pPr>
        <w:pStyle w:val="2"/>
        <w:spacing w:before="271" w:line="602" w:lineRule="exact"/>
        <w:ind w:left="3024"/>
        <w:rPr>
          <w:sz w:val="24"/>
          <w:szCs w:val="24"/>
          <w:lang w:eastAsia="zh-CN"/>
        </w:rPr>
      </w:pPr>
      <w:r>
        <w:rPr>
          <w:rFonts w:hint="eastAsia"/>
          <w:spacing w:val="-16"/>
          <w:position w:val="27"/>
          <w:sz w:val="24"/>
          <w:szCs w:val="24"/>
          <w:lang w:eastAsia="zh-CN"/>
        </w:rPr>
        <w:t>202</w:t>
      </w:r>
      <w:r>
        <w:rPr>
          <w:rFonts w:hint="eastAsia"/>
          <w:spacing w:val="-16"/>
          <w:position w:val="27"/>
          <w:sz w:val="24"/>
          <w:szCs w:val="24"/>
          <w:lang w:val="en-US" w:eastAsia="zh-CN"/>
        </w:rPr>
        <w:t>3</w:t>
      </w:r>
      <w:r>
        <w:rPr>
          <w:rFonts w:hint="eastAsia"/>
          <w:spacing w:val="-16"/>
          <w:position w:val="27"/>
          <w:sz w:val="24"/>
          <w:szCs w:val="24"/>
          <w:lang w:eastAsia="zh-CN"/>
        </w:rPr>
        <w:t xml:space="preserve"> </w:t>
      </w:r>
      <w:r>
        <w:rPr>
          <w:spacing w:val="-16"/>
          <w:position w:val="27"/>
          <w:sz w:val="24"/>
          <w:szCs w:val="24"/>
          <w:lang w:eastAsia="zh-CN"/>
        </w:rPr>
        <w:t>年</w:t>
      </w:r>
      <w:r>
        <w:rPr>
          <w:rFonts w:hint="eastAsia"/>
          <w:spacing w:val="-16"/>
          <w:position w:val="27"/>
          <w:sz w:val="24"/>
          <w:szCs w:val="24"/>
          <w:lang w:val="en-US" w:eastAsia="zh-CN"/>
        </w:rPr>
        <w:t>6</w:t>
      </w:r>
      <w:r>
        <w:rPr>
          <w:spacing w:val="-16"/>
          <w:position w:val="27"/>
          <w:sz w:val="24"/>
          <w:szCs w:val="24"/>
          <w:lang w:eastAsia="zh-CN"/>
        </w:rPr>
        <w:t>月</w:t>
      </w:r>
      <w:r>
        <w:rPr>
          <w:rFonts w:hint="eastAsia"/>
          <w:spacing w:val="-16"/>
          <w:position w:val="27"/>
          <w:sz w:val="24"/>
          <w:szCs w:val="24"/>
          <w:lang w:val="en-US" w:eastAsia="zh-CN"/>
        </w:rPr>
        <w:t>1</w:t>
      </w:r>
      <w:r>
        <w:rPr>
          <w:rFonts w:hint="eastAsia"/>
          <w:spacing w:val="9"/>
          <w:position w:val="27"/>
          <w:sz w:val="24"/>
          <w:szCs w:val="24"/>
          <w:lang w:eastAsia="zh-CN"/>
        </w:rPr>
        <w:t>6</w:t>
      </w:r>
      <w:r>
        <w:rPr>
          <w:spacing w:val="-16"/>
          <w:position w:val="27"/>
          <w:sz w:val="24"/>
          <w:szCs w:val="24"/>
          <w:lang w:eastAsia="zh-CN"/>
        </w:rPr>
        <w:t>日</w:t>
      </w:r>
    </w:p>
    <w:p w14:paraId="0C2E3F29">
      <w:pPr>
        <w:spacing w:line="223" w:lineRule="auto"/>
        <w:rPr>
          <w:rFonts w:eastAsia="宋体"/>
          <w:sz w:val="24"/>
          <w:szCs w:val="24"/>
          <w:lang w:eastAsia="zh-CN"/>
        </w:rPr>
        <w:sectPr>
          <w:pgSz w:w="11900" w:h="16840"/>
          <w:pgMar w:top="1430" w:right="1785" w:bottom="400" w:left="1785" w:header="0" w:footer="0" w:gutter="0"/>
          <w:cols w:space="720" w:num="1"/>
        </w:sectPr>
      </w:pPr>
    </w:p>
    <w:p w14:paraId="40E8E1EB">
      <w:pPr>
        <w:spacing w:line="300" w:lineRule="auto"/>
        <w:rPr>
          <w:lang w:eastAsia="zh-CN"/>
        </w:rPr>
      </w:pPr>
    </w:p>
    <w:p w14:paraId="2A1A2724">
      <w:pPr>
        <w:spacing w:before="134" w:line="221" w:lineRule="auto"/>
        <w:ind w:left="2315"/>
        <w:rPr>
          <w:rFonts w:ascii="黑体" w:hAnsi="黑体" w:eastAsia="黑体" w:cs="黑体"/>
          <w:sz w:val="44"/>
          <w:szCs w:val="44"/>
          <w:lang w:eastAsia="zh-CN"/>
        </w:rPr>
      </w:pPr>
      <w:r>
        <w:rPr>
          <w:rFonts w:hint="eastAsia" w:ascii="黑体" w:hAnsi="黑体" w:eastAsia="黑体" w:cs="黑体"/>
          <w:b/>
          <w:bCs/>
          <w:spacing w:val="5"/>
          <w:sz w:val="44"/>
          <w:szCs w:val="44"/>
          <w:lang w:eastAsia="zh-CN"/>
        </w:rPr>
        <w:t>维稳协调专项</w:t>
      </w:r>
      <w:r>
        <w:rPr>
          <w:rFonts w:ascii="黑体" w:hAnsi="黑体" w:eastAsia="黑体" w:cs="黑体"/>
          <w:b/>
          <w:bCs/>
          <w:spacing w:val="5"/>
          <w:sz w:val="44"/>
          <w:szCs w:val="44"/>
          <w:lang w:eastAsia="zh-CN"/>
        </w:rPr>
        <w:t>支出绩效评价报告</w:t>
      </w:r>
    </w:p>
    <w:p w14:paraId="3C0DFF4C">
      <w:pPr>
        <w:spacing w:before="176" w:line="222" w:lineRule="auto"/>
        <w:ind w:left="534"/>
        <w:outlineLvl w:val="1"/>
        <w:rPr>
          <w:rFonts w:ascii="黑体" w:hAnsi="黑体" w:eastAsia="黑体" w:cs="黑体"/>
          <w:sz w:val="30"/>
          <w:szCs w:val="30"/>
          <w:lang w:eastAsia="zh-CN"/>
        </w:rPr>
      </w:pPr>
      <w:r>
        <w:rPr>
          <w:rFonts w:ascii="黑体" w:hAnsi="黑体" w:eastAsia="黑体" w:cs="黑体"/>
          <w:b/>
          <w:bCs/>
          <w:spacing w:val="-8"/>
          <w:sz w:val="30"/>
          <w:szCs w:val="30"/>
          <w:lang w:eastAsia="zh-CN"/>
        </w:rPr>
        <w:t>一、项目支出基本情况</w:t>
      </w:r>
    </w:p>
    <w:p w14:paraId="70658161">
      <w:pPr>
        <w:pStyle w:val="2"/>
        <w:spacing w:before="189" w:line="222" w:lineRule="auto"/>
        <w:ind w:left="534"/>
        <w:rPr>
          <w:rFonts w:ascii="黑体" w:hAnsi="黑体" w:eastAsia="黑体" w:cs="黑体"/>
          <w:spacing w:val="2"/>
          <w:sz w:val="21"/>
          <w:szCs w:val="21"/>
          <w:lang w:eastAsia="zh-CN"/>
        </w:rPr>
      </w:pPr>
      <w:r>
        <w:rPr>
          <w:rFonts w:ascii="黑体" w:hAnsi="黑体" w:eastAsia="黑体" w:cs="黑体"/>
          <w:spacing w:val="2"/>
          <w:sz w:val="21"/>
          <w:szCs w:val="21"/>
          <w:lang w:eastAsia="zh-CN"/>
        </w:rPr>
        <w:t>(一)项目支出概况。</w:t>
      </w:r>
      <w:r>
        <w:rPr>
          <w:rFonts w:hint="eastAsia" w:ascii="黑体" w:hAnsi="黑体" w:eastAsia="黑体" w:cs="黑体"/>
          <w:spacing w:val="2"/>
          <w:sz w:val="21"/>
          <w:szCs w:val="21"/>
          <w:lang w:eastAsia="zh-CN"/>
        </w:rPr>
        <w:t xml:space="preserve"> </w:t>
      </w:r>
    </w:p>
    <w:p w14:paraId="5B371AE7">
      <w:pPr>
        <w:pStyle w:val="2"/>
        <w:spacing w:before="189" w:line="222" w:lineRule="auto"/>
        <w:ind w:left="534"/>
        <w:rPr>
          <w:rFonts w:eastAsia="黑体"/>
          <w:sz w:val="30"/>
          <w:szCs w:val="30"/>
          <w:lang w:eastAsia="zh-CN"/>
        </w:rPr>
      </w:pPr>
      <w:r>
        <w:rPr>
          <w:rFonts w:hint="eastAsia"/>
          <w:spacing w:val="-6"/>
          <w:sz w:val="32"/>
          <w:szCs w:val="32"/>
          <w:lang w:eastAsia="zh-CN"/>
        </w:rPr>
        <w:t xml:space="preserve"> </w:t>
      </w:r>
      <w:r>
        <w:rPr>
          <w:rFonts w:hint="eastAsia" w:ascii="宋体" w:hAnsi="宋体" w:eastAsia="宋体" w:cs="宋体"/>
          <w:spacing w:val="-6"/>
          <w:sz w:val="21"/>
          <w:szCs w:val="21"/>
          <w:lang w:eastAsia="zh-CN"/>
        </w:rPr>
        <w:t xml:space="preserve">  1、指导督促政法各部门贯彻执行中央的路线、方针、政策和上级的指示及同级党委、政府的工作部署，统一政法各部门的思想和行动。2、定期分析社会治安形势，对一定时期本地的政法工作进行指导。3、维护社会大局稳定，维护政治安全、金融安全。</w:t>
      </w:r>
    </w:p>
    <w:p w14:paraId="28EAF4D6">
      <w:pPr>
        <w:pStyle w:val="2"/>
        <w:spacing w:before="200" w:line="222" w:lineRule="auto"/>
        <w:ind w:left="534"/>
        <w:rPr>
          <w:rFonts w:ascii="黑体" w:hAnsi="黑体" w:eastAsia="黑体" w:cs="黑体"/>
          <w:spacing w:val="2"/>
          <w:sz w:val="30"/>
          <w:szCs w:val="30"/>
          <w:lang w:eastAsia="zh-CN"/>
        </w:rPr>
      </w:pPr>
      <w:r>
        <w:rPr>
          <w:rFonts w:ascii="黑体" w:hAnsi="黑体" w:eastAsia="黑体" w:cs="黑体"/>
          <w:spacing w:val="2"/>
          <w:sz w:val="21"/>
          <w:szCs w:val="21"/>
          <w:lang w:eastAsia="zh-CN"/>
        </w:rPr>
        <w:t>(二)项目资金使用管理情况</w:t>
      </w:r>
    </w:p>
    <w:p w14:paraId="732886A6">
      <w:pPr>
        <w:pStyle w:val="2"/>
        <w:ind w:firstLine="611"/>
        <w:rPr>
          <w:rFonts w:hint="default"/>
          <w:sz w:val="32"/>
          <w:szCs w:val="32"/>
          <w:lang w:val="en-US" w:eastAsia="zh-CN"/>
        </w:rPr>
      </w:pPr>
      <w:r>
        <w:rPr>
          <w:rFonts w:hint="eastAsia" w:ascii="宋体" w:hAnsi="宋体" w:eastAsia="宋体" w:cs="宋体"/>
          <w:sz w:val="21"/>
          <w:szCs w:val="21"/>
          <w:lang w:eastAsia="zh-CN"/>
        </w:rPr>
        <w:t>专项资金安排</w:t>
      </w:r>
      <w:r>
        <w:rPr>
          <w:rFonts w:hint="eastAsia" w:ascii="宋体" w:hAnsi="宋体" w:eastAsia="宋体" w:cs="宋体"/>
          <w:sz w:val="21"/>
          <w:szCs w:val="21"/>
          <w:lang w:val="en-US" w:eastAsia="zh-CN"/>
        </w:rPr>
        <w:t>331.22</w:t>
      </w:r>
      <w:r>
        <w:rPr>
          <w:rFonts w:hint="eastAsia" w:ascii="宋体" w:hAnsi="宋体" w:eastAsia="宋体" w:cs="宋体"/>
          <w:sz w:val="21"/>
          <w:szCs w:val="21"/>
          <w:lang w:eastAsia="zh-CN"/>
        </w:rPr>
        <w:t>万元，主要用于公共安全感测评</w:t>
      </w:r>
      <w:r>
        <w:rPr>
          <w:rFonts w:hint="eastAsia" w:ascii="宋体" w:hAnsi="宋体" w:eastAsia="宋体" w:cs="宋体"/>
          <w:sz w:val="21"/>
          <w:szCs w:val="21"/>
          <w:lang w:val="en-US" w:eastAsia="zh-CN"/>
        </w:rPr>
        <w:t>51.83</w:t>
      </w:r>
      <w:r>
        <w:rPr>
          <w:rFonts w:hint="eastAsia" w:ascii="宋体" w:hAnsi="宋体" w:eastAsia="宋体" w:cs="宋体"/>
          <w:sz w:val="21"/>
          <w:szCs w:val="21"/>
          <w:lang w:eastAsia="zh-CN"/>
        </w:rPr>
        <w:t>万元，维稳协调</w:t>
      </w:r>
      <w:r>
        <w:rPr>
          <w:rFonts w:hint="eastAsia" w:ascii="宋体" w:hAnsi="宋体" w:eastAsia="宋体" w:cs="宋体"/>
          <w:sz w:val="21"/>
          <w:szCs w:val="21"/>
          <w:lang w:val="en-US" w:eastAsia="zh-CN"/>
        </w:rPr>
        <w:t>165.7</w:t>
      </w:r>
      <w:r>
        <w:rPr>
          <w:rFonts w:hint="eastAsia" w:ascii="宋体" w:hAnsi="宋体" w:eastAsia="宋体" w:cs="宋体"/>
          <w:sz w:val="21"/>
          <w:szCs w:val="21"/>
          <w:lang w:eastAsia="zh-CN"/>
        </w:rPr>
        <w:t>、扫黑除恶</w:t>
      </w:r>
      <w:r>
        <w:rPr>
          <w:rFonts w:hint="eastAsia" w:ascii="宋体" w:hAnsi="宋体" w:eastAsia="宋体" w:cs="宋体"/>
          <w:sz w:val="21"/>
          <w:szCs w:val="21"/>
          <w:lang w:val="en-US" w:eastAsia="zh-CN"/>
        </w:rPr>
        <w:t>15.44</w:t>
      </w:r>
      <w:r>
        <w:rPr>
          <w:rFonts w:hint="eastAsia" w:ascii="宋体" w:hAnsi="宋体" w:eastAsia="宋体" w:cs="宋体"/>
          <w:sz w:val="21"/>
          <w:szCs w:val="21"/>
          <w:lang w:eastAsia="zh-CN"/>
        </w:rPr>
        <w:t>万元、精神病患者保险费</w:t>
      </w:r>
      <w:r>
        <w:rPr>
          <w:rFonts w:hint="eastAsia" w:ascii="宋体" w:hAnsi="宋体" w:eastAsia="宋体" w:cs="宋体"/>
          <w:sz w:val="21"/>
          <w:szCs w:val="21"/>
          <w:lang w:val="en-US" w:eastAsia="zh-CN"/>
        </w:rPr>
        <w:t>25</w:t>
      </w:r>
      <w:r>
        <w:rPr>
          <w:rFonts w:hint="eastAsia" w:ascii="宋体" w:hAnsi="宋体" w:eastAsia="宋体" w:cs="宋体"/>
          <w:sz w:val="21"/>
          <w:szCs w:val="21"/>
          <w:lang w:eastAsia="zh-CN"/>
        </w:rPr>
        <w:t>万元、司法救助</w:t>
      </w:r>
      <w:r>
        <w:rPr>
          <w:rFonts w:hint="eastAsia" w:ascii="宋体" w:hAnsi="宋体" w:eastAsia="宋体" w:cs="宋体"/>
          <w:sz w:val="21"/>
          <w:szCs w:val="21"/>
          <w:lang w:val="en-US" w:eastAsia="zh-CN"/>
        </w:rPr>
        <w:t>42.3</w:t>
      </w:r>
      <w:r>
        <w:rPr>
          <w:rFonts w:hint="eastAsia" w:ascii="宋体" w:hAnsi="宋体" w:eastAsia="宋体" w:cs="宋体"/>
          <w:sz w:val="21"/>
          <w:szCs w:val="21"/>
          <w:lang w:eastAsia="zh-CN"/>
        </w:rPr>
        <w:t>万元、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政法委专项</w:t>
      </w:r>
      <w:r>
        <w:rPr>
          <w:rFonts w:hint="eastAsia" w:ascii="宋体" w:hAnsi="宋体" w:eastAsia="宋体" w:cs="宋体"/>
          <w:sz w:val="21"/>
          <w:szCs w:val="21"/>
          <w:lang w:val="en-US" w:eastAsia="zh-CN"/>
        </w:rPr>
        <w:t>27万元、离退休费3.95万元</w:t>
      </w:r>
      <w:r>
        <w:rPr>
          <w:rFonts w:hint="eastAsia"/>
          <w:sz w:val="32"/>
          <w:szCs w:val="32"/>
          <w:lang w:val="en-US" w:eastAsia="zh-CN"/>
        </w:rPr>
        <w:t>。</w:t>
      </w:r>
    </w:p>
    <w:p w14:paraId="679B8BF7">
      <w:pPr>
        <w:pStyle w:val="2"/>
        <w:ind w:firstLine="611"/>
        <w:rPr>
          <w:rFonts w:hint="eastAsia" w:ascii="黑体" w:hAnsi="黑体" w:eastAsia="黑体" w:cs="黑体"/>
          <w:spacing w:val="-3"/>
          <w:position w:val="20"/>
          <w:sz w:val="21"/>
          <w:szCs w:val="21"/>
          <w:lang w:eastAsia="zh-CN"/>
        </w:rPr>
      </w:pPr>
      <w:r>
        <w:rPr>
          <w:rFonts w:hint="eastAsia"/>
          <w:sz w:val="21"/>
          <w:szCs w:val="21"/>
          <w:lang w:val="en-US" w:eastAsia="zh-CN"/>
        </w:rPr>
        <w:t xml:space="preserve"> </w:t>
      </w:r>
      <w:r>
        <w:rPr>
          <w:rFonts w:ascii="黑体" w:hAnsi="黑体" w:eastAsia="黑体" w:cs="黑体"/>
          <w:spacing w:val="-3"/>
          <w:position w:val="20"/>
          <w:sz w:val="21"/>
          <w:szCs w:val="21"/>
          <w:lang w:eastAsia="zh-CN"/>
        </w:rPr>
        <w:t>项目支出绩效目标完成程度</w:t>
      </w:r>
      <w:r>
        <w:rPr>
          <w:rFonts w:hint="eastAsia" w:ascii="黑体" w:hAnsi="黑体" w:eastAsia="黑体" w:cs="黑体"/>
          <w:spacing w:val="-3"/>
          <w:position w:val="20"/>
          <w:sz w:val="21"/>
          <w:szCs w:val="21"/>
          <w:lang w:eastAsia="zh-CN"/>
        </w:rPr>
        <w:t>：</w:t>
      </w:r>
    </w:p>
    <w:p w14:paraId="0F52DADA">
      <w:pPr>
        <w:pStyle w:val="2"/>
        <w:ind w:firstLine="611"/>
        <w:rPr>
          <w:rFonts w:eastAsia="仿宋_GB2312"/>
          <w:sz w:val="30"/>
          <w:szCs w:val="30"/>
          <w:lang w:eastAsia="zh-CN"/>
        </w:rPr>
      </w:pPr>
      <w:r>
        <w:rPr>
          <w:rFonts w:hint="eastAsia" w:ascii="宋体" w:hAnsi="宋体" w:eastAsia="宋体" w:cs="宋体"/>
          <w:bCs/>
          <w:sz w:val="21"/>
          <w:szCs w:val="21"/>
          <w:lang w:eastAsia="zh-CN"/>
        </w:rPr>
        <w:t>我委维稳协调项目绩效总目标:</w:t>
      </w:r>
      <w:r>
        <w:rPr>
          <w:rFonts w:hint="eastAsia" w:ascii="宋体" w:hAnsi="宋体" w:eastAsia="宋体" w:cs="宋体"/>
          <w:bCs/>
          <w:spacing w:val="2"/>
          <w:sz w:val="21"/>
          <w:szCs w:val="21"/>
          <w:lang w:eastAsia="zh-CN"/>
        </w:rPr>
        <w:t>，把确保稳定作为全市维稳工作主线来抓，我市维稳工作以保平安、抓稳定为总基调，大力推进积案化解、矛盾排查、情报预警、责任压实等，始终把稳定压倒一切作为一项极其重要的政治任务落实落细。在绩效目标完成上，具体我委做到了:1、</w:t>
      </w:r>
      <w:r>
        <w:rPr>
          <w:rFonts w:hint="eastAsia" w:ascii="宋体" w:hAnsi="宋体" w:eastAsia="宋体" w:cs="宋体"/>
          <w:bCs/>
          <w:sz w:val="21"/>
          <w:szCs w:val="21"/>
          <w:lang w:eastAsia="zh-CN"/>
        </w:rPr>
        <w:t>全力防范风险挑战，维护社会大局持续稳定，2全力化解矛盾纠纷，3、全力确保社会稳定。</w:t>
      </w:r>
    </w:p>
    <w:p w14:paraId="77771592">
      <w:pPr>
        <w:spacing w:before="201" w:line="221" w:lineRule="auto"/>
        <w:ind w:left="627"/>
        <w:outlineLvl w:val="1"/>
        <w:rPr>
          <w:rFonts w:ascii="黑体" w:hAnsi="黑体" w:eastAsia="黑体" w:cs="黑体"/>
          <w:b/>
          <w:bCs/>
          <w:spacing w:val="-11"/>
          <w:sz w:val="30"/>
          <w:szCs w:val="30"/>
          <w:lang w:eastAsia="zh-CN"/>
        </w:rPr>
      </w:pPr>
      <w:r>
        <w:rPr>
          <w:rFonts w:hint="eastAsia" w:ascii="黑体" w:hAnsi="黑体" w:eastAsia="黑体" w:cs="黑体"/>
          <w:b/>
          <w:bCs/>
          <w:spacing w:val="-11"/>
          <w:sz w:val="30"/>
          <w:szCs w:val="30"/>
          <w:lang w:eastAsia="zh-CN"/>
        </w:rPr>
        <w:t>二、</w:t>
      </w:r>
      <w:r>
        <w:rPr>
          <w:rFonts w:ascii="黑体" w:hAnsi="黑体" w:eastAsia="黑体" w:cs="黑体"/>
          <w:b/>
          <w:bCs/>
          <w:spacing w:val="-11"/>
          <w:sz w:val="30"/>
          <w:szCs w:val="30"/>
          <w:lang w:eastAsia="zh-CN"/>
        </w:rPr>
        <w:t>绩效评价工作情况</w:t>
      </w:r>
    </w:p>
    <w:p w14:paraId="3F64DB27">
      <w:pPr>
        <w:widowControl w:val="0"/>
        <w:kinsoku/>
        <w:snapToGrid/>
        <w:ind w:firstLine="640" w:firstLineChars="200"/>
        <w:textAlignment w:val="auto"/>
        <w:rPr>
          <w:rFonts w:ascii="仿宋" w:hAnsi="仿宋" w:eastAsia="仿宋" w:cs="仿宋"/>
          <w:sz w:val="32"/>
          <w:szCs w:val="32"/>
          <w:lang w:eastAsia="zh-CN"/>
        </w:rPr>
      </w:pPr>
    </w:p>
    <w:p w14:paraId="6BE5A635">
      <w:pPr>
        <w:widowControl w:val="0"/>
        <w:kinsoku/>
        <w:snapToGrid/>
        <w:ind w:firstLine="420" w:firstLineChars="200"/>
        <w:textAlignment w:val="auto"/>
        <w:rPr>
          <w:rFonts w:hint="eastAsia" w:ascii="宋体" w:hAnsi="宋体" w:eastAsia="宋体" w:cs="宋体"/>
          <w:i/>
          <w:iCs/>
          <w:color w:val="FF0000"/>
          <w:sz w:val="21"/>
          <w:szCs w:val="21"/>
          <w:lang w:eastAsia="zh-CN"/>
        </w:rPr>
      </w:pPr>
      <w:r>
        <w:rPr>
          <w:rFonts w:hint="eastAsia" w:ascii="宋体" w:hAnsi="宋体" w:eastAsia="宋体" w:cs="宋体"/>
          <w:sz w:val="21"/>
          <w:szCs w:val="21"/>
          <w:lang w:eastAsia="zh-CN"/>
        </w:rPr>
        <w:t>根据财政预算绩效管理要求，我部门组织对202</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年度一般公共预算项目支出全面开展绩效自评，单位报告中一级项目12个，共涉及资金</w:t>
      </w:r>
      <w:r>
        <w:rPr>
          <w:rFonts w:hint="eastAsia" w:ascii="宋体" w:hAnsi="宋体" w:eastAsia="宋体" w:cs="宋体"/>
          <w:sz w:val="21"/>
          <w:szCs w:val="21"/>
          <w:lang w:val="en-US" w:eastAsia="zh-CN"/>
        </w:rPr>
        <w:t>331.22</w:t>
      </w:r>
      <w:r>
        <w:rPr>
          <w:rFonts w:hint="eastAsia" w:ascii="宋体" w:hAnsi="宋体" w:eastAsia="宋体" w:cs="宋体"/>
          <w:sz w:val="21"/>
          <w:szCs w:val="21"/>
          <w:lang w:eastAsia="zh-CN"/>
        </w:rPr>
        <w:t>万元，占一般公共预算项目支出总额的</w:t>
      </w:r>
      <w:r>
        <w:rPr>
          <w:rFonts w:hint="eastAsia" w:ascii="宋体" w:hAnsi="宋体" w:eastAsia="宋体" w:cs="宋体"/>
          <w:sz w:val="21"/>
          <w:szCs w:val="21"/>
          <w:lang w:val="en-US" w:eastAsia="zh-CN"/>
        </w:rPr>
        <w:t>100</w:t>
      </w:r>
      <w:r>
        <w:rPr>
          <w:rFonts w:hint="eastAsia" w:ascii="宋体" w:hAnsi="宋体" w:eastAsia="宋体" w:cs="宋体"/>
          <w:sz w:val="21"/>
          <w:szCs w:val="21"/>
          <w:lang w:eastAsia="zh-CN"/>
        </w:rPr>
        <w:t>%。202</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年度我部门无政府性基金预算项目支出、无国有资本经营预算支出，对202</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年度0个政府性基金预算项目支出开展绩效自评，共涉及资金0万元，占政府性基金预算项目支出总额的0%；对202</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年度0个国有资本经营预算项目支出开展绩效自评，共涉及资金0万元，占国有资本经营预算项目支出总额的0%。</w:t>
      </w:r>
    </w:p>
    <w:p w14:paraId="24D4C7F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shd w:val="clear" w:fill="FFFFFF"/>
        </w:rPr>
        <w:t>　</w:t>
      </w:r>
    </w:p>
    <w:p w14:paraId="5B1B5BD8">
      <w:pPr>
        <w:widowControl w:val="0"/>
        <w:kinsoku/>
        <w:snapToGrid/>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组织对中共汨罗市委政法委“维稳协调”1个项目开展了部门评价，涉及一般公共预算支出</w:t>
      </w:r>
      <w:r>
        <w:rPr>
          <w:rFonts w:hint="eastAsia" w:ascii="宋体" w:hAnsi="宋体" w:eastAsia="宋体" w:cs="宋体"/>
          <w:sz w:val="21"/>
          <w:szCs w:val="21"/>
          <w:lang w:val="en-US" w:eastAsia="zh-CN"/>
        </w:rPr>
        <w:t>165.7</w:t>
      </w:r>
      <w:r>
        <w:rPr>
          <w:rFonts w:hint="eastAsia" w:ascii="宋体" w:hAnsi="宋体" w:eastAsia="宋体" w:cs="宋体"/>
          <w:sz w:val="21"/>
          <w:szCs w:val="21"/>
          <w:lang w:eastAsia="zh-CN"/>
        </w:rPr>
        <w:t>万元，政府性基金预算支出0万元，国有资本经营预算支出0万元。从评价情况来看， 围绕加强和创新基层社会治理、深化平安汨罗建设的总体目标，更加注重开放共建、联动融合，更加注重改革创新和科技应用，进一步创新创建机制、拓宽创建领域、丰富创建内涵，努力提升平安建设法治化、社会化、智能化、专业化水平，为建设更高水平的生态文化活力汨罗创造更加和谐稳定的治安环境。人民群众纷纷表示市委市政府为人民群众办实事，办好事</w:t>
      </w:r>
      <w:r>
        <w:rPr>
          <w:rFonts w:hint="eastAsia" w:ascii="宋体" w:hAnsi="宋体" w:eastAsia="宋体" w:cs="宋体"/>
          <w:sz w:val="21"/>
          <w:szCs w:val="21"/>
          <w:lang w:eastAsia="zh-CN"/>
        </w:rPr>
        <w:t>。</w:t>
      </w:r>
    </w:p>
    <w:p w14:paraId="1449BB53">
      <w:pPr>
        <w:spacing w:before="201" w:line="221" w:lineRule="auto"/>
        <w:ind w:left="627"/>
        <w:outlineLvl w:val="1"/>
        <w:rPr>
          <w:rFonts w:ascii="黑体" w:hAnsi="黑体" w:eastAsia="黑体" w:cs="黑体"/>
          <w:spacing w:val="-9"/>
          <w:sz w:val="30"/>
          <w:szCs w:val="30"/>
          <w:lang w:eastAsia="zh-CN"/>
        </w:rPr>
      </w:pPr>
      <w:r>
        <w:rPr>
          <w:rFonts w:ascii="黑体" w:hAnsi="黑体" w:eastAsia="黑体" w:cs="黑体"/>
          <w:spacing w:val="-9"/>
          <w:sz w:val="30"/>
          <w:szCs w:val="30"/>
          <w:lang w:eastAsia="zh-CN"/>
        </w:rPr>
        <w:t>三 、项目支出主要绩效及评价结论</w:t>
      </w:r>
    </w:p>
    <w:p w14:paraId="11EA3FD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一、突出积案化解。严格按照“一个问题、一名领导、一套班子、一个方案、一抓到底”的要求，认真梳理问题，采取一案一策、一人一策、一事一议，精心制定“五包一”信访积案化解方案，纳入平安汨罗工作年度考评体系 </w:t>
      </w:r>
    </w:p>
    <w:p w14:paraId="4F2B600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二、突出矛盾排查。在全市大力开展矛盾问题排查化解行动，专题对征地拆迁、房产物业、环境污染、劳动保障、非法集资、涉法涉诉等重点领域的突出问题，涉军和涉众型经济案件利益受损人等特殊群体不稳定因素，对可能进京上访挑头人员、缠访闹访老上访户、涉法涉诉重点人员、未集中收治肇事肇祸精神病及其他可能铤而走险的重点对象等逐一排清底子，建立了翔实的工作台账。 </w:t>
      </w:r>
    </w:p>
    <w:p w14:paraId="128008C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三、突出应急处置。健全发挥维稳网群作用，多渠道打入各影响突出的问题圈、利益群等，加强与公安国保、民政、信访、铁路派出所、退役军人事务局等部门协作，开展情报信息研判分析 </w:t>
      </w:r>
    </w:p>
    <w:p w14:paraId="040F2A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四、突出重大安保。  </w:t>
      </w:r>
    </w:p>
    <w:p w14:paraId="5F1611F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五、加强政法队伍建设，突出风险稳评。社会稳定风险评估工作全面铺开。年初至今，我市先后对11个重大决策事项落实风险评估，涉及的项目风险可控，进展顺利。人民群众对市计民生的重大项目充分支持，没有造成或产生新的影响社会稳定的矛盾。</w:t>
      </w:r>
    </w:p>
    <w:p w14:paraId="012BD6A8">
      <w:pPr>
        <w:pStyle w:val="2"/>
        <w:ind w:firstLine="611"/>
        <w:rPr>
          <w:rFonts w:hint="eastAsia" w:ascii="宋体" w:hAnsi="宋体" w:eastAsia="宋体" w:cs="宋体"/>
          <w:sz w:val="21"/>
          <w:szCs w:val="21"/>
          <w:lang w:val="en-US" w:eastAsia="zh-CN"/>
        </w:rPr>
      </w:pPr>
      <w:r>
        <w:rPr>
          <w:rFonts w:hint="eastAsia" w:ascii="宋体" w:hAnsi="宋体" w:eastAsia="宋体" w:cs="宋体"/>
          <w:sz w:val="21"/>
          <w:szCs w:val="21"/>
          <w:lang w:eastAsia="zh-CN"/>
        </w:rPr>
        <w:t xml:space="preserve"> 我们坚信有市委的坚强领导，有岳阳市委政法委的精心指导，我们一定以饱满的战斗激情，灵活的工作方法，过硬的工作措施，坚决打赢大庆安保维稳仗，坚决确保汨罗社会大局平安稳定。 专项资金安排</w:t>
      </w:r>
      <w:r>
        <w:rPr>
          <w:rFonts w:hint="eastAsia" w:ascii="宋体" w:hAnsi="宋体" w:eastAsia="宋体" w:cs="宋体"/>
          <w:sz w:val="21"/>
          <w:szCs w:val="21"/>
          <w:lang w:val="en-US" w:eastAsia="zh-CN"/>
        </w:rPr>
        <w:t>331.22</w:t>
      </w:r>
      <w:r>
        <w:rPr>
          <w:rFonts w:hint="eastAsia" w:ascii="宋体" w:hAnsi="宋体" w:eastAsia="宋体" w:cs="宋体"/>
          <w:sz w:val="21"/>
          <w:szCs w:val="21"/>
          <w:lang w:eastAsia="zh-CN"/>
        </w:rPr>
        <w:t>万元，主要用于公共安全感测评</w:t>
      </w:r>
      <w:r>
        <w:rPr>
          <w:rFonts w:hint="eastAsia" w:ascii="宋体" w:hAnsi="宋体" w:eastAsia="宋体" w:cs="宋体"/>
          <w:sz w:val="21"/>
          <w:szCs w:val="21"/>
          <w:lang w:val="en-US" w:eastAsia="zh-CN"/>
        </w:rPr>
        <w:t>51.83</w:t>
      </w:r>
      <w:r>
        <w:rPr>
          <w:rFonts w:hint="eastAsia" w:ascii="宋体" w:hAnsi="宋体" w:eastAsia="宋体" w:cs="宋体"/>
          <w:sz w:val="21"/>
          <w:szCs w:val="21"/>
          <w:lang w:eastAsia="zh-CN"/>
        </w:rPr>
        <w:t>万元，维稳协调</w:t>
      </w:r>
      <w:r>
        <w:rPr>
          <w:rFonts w:hint="eastAsia" w:ascii="宋体" w:hAnsi="宋体" w:eastAsia="宋体" w:cs="宋体"/>
          <w:sz w:val="21"/>
          <w:szCs w:val="21"/>
          <w:lang w:val="en-US" w:eastAsia="zh-CN"/>
        </w:rPr>
        <w:t>165.7</w:t>
      </w:r>
      <w:r>
        <w:rPr>
          <w:rFonts w:hint="eastAsia" w:ascii="宋体" w:hAnsi="宋体" w:eastAsia="宋体" w:cs="宋体"/>
          <w:sz w:val="21"/>
          <w:szCs w:val="21"/>
          <w:lang w:eastAsia="zh-CN"/>
        </w:rPr>
        <w:t>、扫黑除恶</w:t>
      </w:r>
      <w:r>
        <w:rPr>
          <w:rFonts w:hint="eastAsia" w:ascii="宋体" w:hAnsi="宋体" w:eastAsia="宋体" w:cs="宋体"/>
          <w:sz w:val="21"/>
          <w:szCs w:val="21"/>
          <w:lang w:val="en-US" w:eastAsia="zh-CN"/>
        </w:rPr>
        <w:t>15.44</w:t>
      </w:r>
      <w:r>
        <w:rPr>
          <w:rFonts w:hint="eastAsia" w:ascii="宋体" w:hAnsi="宋体" w:eastAsia="宋体" w:cs="宋体"/>
          <w:sz w:val="21"/>
          <w:szCs w:val="21"/>
          <w:lang w:eastAsia="zh-CN"/>
        </w:rPr>
        <w:t>万元、精神病患者保险费</w:t>
      </w:r>
      <w:r>
        <w:rPr>
          <w:rFonts w:hint="eastAsia" w:ascii="宋体" w:hAnsi="宋体" w:eastAsia="宋体" w:cs="宋体"/>
          <w:sz w:val="21"/>
          <w:szCs w:val="21"/>
          <w:lang w:val="en-US" w:eastAsia="zh-CN"/>
        </w:rPr>
        <w:t>25</w:t>
      </w:r>
      <w:r>
        <w:rPr>
          <w:rFonts w:hint="eastAsia" w:ascii="宋体" w:hAnsi="宋体" w:eastAsia="宋体" w:cs="宋体"/>
          <w:sz w:val="21"/>
          <w:szCs w:val="21"/>
          <w:lang w:eastAsia="zh-CN"/>
        </w:rPr>
        <w:t>万元、司法救助</w:t>
      </w:r>
      <w:r>
        <w:rPr>
          <w:rFonts w:hint="eastAsia" w:ascii="宋体" w:hAnsi="宋体" w:eastAsia="宋体" w:cs="宋体"/>
          <w:sz w:val="21"/>
          <w:szCs w:val="21"/>
          <w:lang w:val="en-US" w:eastAsia="zh-CN"/>
        </w:rPr>
        <w:t>42.3</w:t>
      </w:r>
      <w:r>
        <w:rPr>
          <w:rFonts w:hint="eastAsia" w:ascii="宋体" w:hAnsi="宋体" w:eastAsia="宋体" w:cs="宋体"/>
          <w:sz w:val="21"/>
          <w:szCs w:val="21"/>
          <w:lang w:eastAsia="zh-CN"/>
        </w:rPr>
        <w:t>万元、政法委专项</w:t>
      </w:r>
      <w:r>
        <w:rPr>
          <w:rFonts w:hint="eastAsia" w:ascii="宋体" w:hAnsi="宋体" w:eastAsia="宋体" w:cs="宋体"/>
          <w:sz w:val="21"/>
          <w:szCs w:val="21"/>
          <w:lang w:val="en-US" w:eastAsia="zh-CN"/>
        </w:rPr>
        <w:t>27万元、离退休费3.95万元。</w:t>
      </w:r>
    </w:p>
    <w:p w14:paraId="5A82BE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420" w:firstLineChars="200"/>
        <w:jc w:val="both"/>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shd w:val="clear" w:fill="FFFFFF"/>
        </w:rPr>
        <w:t>“维稳协调” 项目绩效自评综述：根据年初设定的绩效目标，项目绩效自评得分为93分。项目全年预算数为</w:t>
      </w:r>
      <w:r>
        <w:rPr>
          <w:rFonts w:hint="eastAsia" w:ascii="宋体" w:hAnsi="宋体" w:eastAsia="宋体" w:cs="宋体"/>
          <w:i w:val="0"/>
          <w:iCs w:val="0"/>
          <w:caps w:val="0"/>
          <w:color w:val="555555"/>
          <w:spacing w:val="0"/>
          <w:sz w:val="21"/>
          <w:szCs w:val="21"/>
          <w:shd w:val="clear" w:fill="FFFFFF"/>
          <w:lang w:val="en-US" w:eastAsia="zh-CN"/>
        </w:rPr>
        <w:t>50</w:t>
      </w:r>
      <w:r>
        <w:rPr>
          <w:rFonts w:hint="eastAsia" w:ascii="宋体" w:hAnsi="宋体" w:eastAsia="宋体" w:cs="宋体"/>
          <w:i w:val="0"/>
          <w:iCs w:val="0"/>
          <w:caps w:val="0"/>
          <w:color w:val="555555"/>
          <w:spacing w:val="0"/>
          <w:sz w:val="21"/>
          <w:szCs w:val="21"/>
          <w:shd w:val="clear" w:fill="FFFFFF"/>
        </w:rPr>
        <w:t>万元，执行数为165.7万元，完成预算的</w:t>
      </w:r>
      <w:r>
        <w:rPr>
          <w:rFonts w:hint="eastAsia" w:ascii="宋体" w:hAnsi="宋体" w:eastAsia="宋体" w:cs="宋体"/>
          <w:i w:val="0"/>
          <w:iCs w:val="0"/>
          <w:caps w:val="0"/>
          <w:color w:val="555555"/>
          <w:spacing w:val="0"/>
          <w:sz w:val="21"/>
          <w:szCs w:val="21"/>
          <w:shd w:val="clear" w:fill="FFFFFF"/>
          <w:lang w:val="en-US" w:eastAsia="zh-CN"/>
        </w:rPr>
        <w:t>331.4</w:t>
      </w:r>
      <w:r>
        <w:rPr>
          <w:rFonts w:hint="eastAsia" w:ascii="宋体" w:hAnsi="宋体" w:eastAsia="宋体" w:cs="宋体"/>
          <w:i w:val="0"/>
          <w:iCs w:val="0"/>
          <w:caps w:val="0"/>
          <w:color w:val="555555"/>
          <w:spacing w:val="0"/>
          <w:sz w:val="21"/>
          <w:szCs w:val="21"/>
          <w:shd w:val="clear" w:fill="FFFFFF"/>
        </w:rPr>
        <w:t>%。项目绩效目标完成情况：一是具体使用及管理情况为：具体使用及管理情况为：维稳协调项目资金165.7万元，用于在工作中，突出积案化解、突出矛盾排查、突出应急处置、突出重大安保及突出风险稳评。二是发现的主要问题及原因： 治安防控能力还需不断增强。下一步改进措施：综治基层基础夯实，治安防控能力不断增强，治安环境不断优化，社会大局持续稳定。</w:t>
      </w:r>
    </w:p>
    <w:p w14:paraId="0BFF7C5B">
      <w:pPr>
        <w:spacing w:before="201" w:line="221" w:lineRule="auto"/>
        <w:ind w:firstLine="376" w:firstLineChars="200"/>
        <w:outlineLvl w:val="1"/>
        <w:rPr>
          <w:rFonts w:hint="eastAsia" w:ascii="宋体" w:hAnsi="宋体" w:eastAsia="宋体" w:cs="宋体"/>
          <w:sz w:val="21"/>
          <w:szCs w:val="21"/>
          <w:lang w:eastAsia="zh-CN"/>
        </w:rPr>
      </w:pPr>
      <w:r>
        <w:rPr>
          <w:rFonts w:hint="eastAsia" w:ascii="宋体" w:hAnsi="宋体" w:eastAsia="宋体" w:cs="宋体"/>
          <w:spacing w:val="-11"/>
          <w:sz w:val="21"/>
          <w:szCs w:val="21"/>
          <w:lang w:eastAsia="zh-CN"/>
        </w:rPr>
        <w:t>坚决确保了汨罗社会大局平安稳定。人民群众纷纷表示市委市政府为人民群众办实事，办好事。对政法队伍的全体政法系统人员的执行力满意度非常高。</w:t>
      </w:r>
    </w:p>
    <w:p w14:paraId="4D77B487">
      <w:pPr>
        <w:spacing w:before="201" w:line="580" w:lineRule="exact"/>
        <w:ind w:firstLine="540" w:firstLineChars="200"/>
        <w:rPr>
          <w:rFonts w:ascii="黑体" w:hAnsi="黑体" w:eastAsia="黑体" w:cs="黑体"/>
          <w:sz w:val="30"/>
          <w:szCs w:val="30"/>
          <w:lang w:eastAsia="zh-CN"/>
        </w:rPr>
      </w:pPr>
      <w:r>
        <w:rPr>
          <w:rFonts w:ascii="黑体" w:hAnsi="黑体" w:eastAsia="黑体" w:cs="黑体"/>
          <w:spacing w:val="-15"/>
          <w:position w:val="20"/>
          <w:sz w:val="30"/>
          <w:szCs w:val="30"/>
          <w:lang w:eastAsia="zh-CN"/>
        </w:rPr>
        <w:t>四、绩效评价指标分析</w:t>
      </w:r>
    </w:p>
    <w:p w14:paraId="0D5FB0D5">
      <w:pPr>
        <w:pStyle w:val="2"/>
        <w:spacing w:before="196" w:line="345" w:lineRule="auto"/>
        <w:ind w:firstLine="424" w:firstLineChars="200"/>
        <w:jc w:val="both"/>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(一)项目支出决策情况</w:t>
      </w:r>
    </w:p>
    <w:p w14:paraId="7E6C1947">
      <w:pPr>
        <w:pStyle w:val="2"/>
        <w:spacing w:before="196" w:line="345" w:lineRule="auto"/>
        <w:ind w:firstLine="480" w:firstLineChars="200"/>
        <w:jc w:val="both"/>
        <w:rPr>
          <w:rFonts w:hint="eastAsia" w:ascii="宋体" w:hAnsi="宋体" w:eastAsia="宋体" w:cs="宋体"/>
          <w:sz w:val="21"/>
          <w:szCs w:val="21"/>
          <w:lang w:eastAsia="zh-CN"/>
        </w:rPr>
      </w:pPr>
      <w:r>
        <w:rPr>
          <w:rFonts w:hint="eastAsia" w:ascii="宋体" w:hAnsi="宋体" w:eastAsia="宋体" w:cs="宋体"/>
          <w:spacing w:val="15"/>
          <w:sz w:val="21"/>
          <w:szCs w:val="21"/>
          <w:lang w:eastAsia="zh-CN"/>
        </w:rPr>
        <w:t>维稳协调、扫黑除恶的立项依据是</w:t>
      </w:r>
      <w:r>
        <w:rPr>
          <w:rFonts w:hint="eastAsia" w:ascii="宋体" w:hAnsi="宋体" w:eastAsia="宋体" w:cs="宋体"/>
          <w:spacing w:val="2"/>
          <w:sz w:val="21"/>
          <w:szCs w:val="21"/>
          <w:lang w:eastAsia="zh-CN"/>
        </w:rPr>
        <w:t>从2021年以来，在市委的坚强领导下，市委政法委以政法队伍教育整顿为契机，把确保稳定作为全市维稳工作主线来抓，我市维稳工作以保平安、抓稳定为总基调，大力推进积案化解、矛盾排查、情报预警、责任压实等，始终把稳定压倒一切作为一项极其重要的政治任务落实落细 。</w:t>
      </w:r>
      <w:r>
        <w:rPr>
          <w:rFonts w:hint="eastAsia" w:ascii="宋体" w:hAnsi="宋体" w:eastAsia="宋体" w:cs="宋体"/>
          <w:spacing w:val="15"/>
          <w:sz w:val="21"/>
          <w:szCs w:val="21"/>
          <w:lang w:eastAsia="zh-CN"/>
        </w:rPr>
        <w:t>同时维稳协调扫黑除恶作为了一项常态化工作，其预算资金每年由我委申报，</w:t>
      </w:r>
      <w:r>
        <w:rPr>
          <w:rFonts w:hint="eastAsia" w:ascii="宋体" w:hAnsi="宋体" w:eastAsia="宋体" w:cs="宋体"/>
          <w:spacing w:val="26"/>
          <w:sz w:val="21"/>
          <w:szCs w:val="21"/>
          <w:lang w:eastAsia="zh-CN"/>
        </w:rPr>
        <w:t>为了规范项目资金管理，确保项目开展顺理，防范风险，指定了项目资金和项目管理制度做到了维稳协调项目资金专款专用，不得挪作他用，做好了项目资金的预算，确保资金合理规划。维稳协调资金</w:t>
      </w:r>
      <w:r>
        <w:rPr>
          <w:rFonts w:hint="eastAsia" w:ascii="宋体" w:hAnsi="宋体" w:eastAsia="宋体" w:cs="宋体"/>
          <w:spacing w:val="26"/>
          <w:sz w:val="21"/>
          <w:szCs w:val="21"/>
          <w:lang w:val="en-US" w:eastAsia="zh-CN"/>
        </w:rPr>
        <w:t>165.7</w:t>
      </w:r>
      <w:r>
        <w:rPr>
          <w:rFonts w:hint="eastAsia" w:ascii="宋体" w:hAnsi="宋体" w:eastAsia="宋体" w:cs="宋体"/>
          <w:spacing w:val="26"/>
          <w:sz w:val="21"/>
          <w:szCs w:val="21"/>
          <w:lang w:eastAsia="zh-CN"/>
        </w:rPr>
        <w:t>万元，用于本委的协调资金50万元，用于全市的维稳协调</w:t>
      </w:r>
      <w:r>
        <w:rPr>
          <w:rFonts w:hint="eastAsia" w:ascii="宋体" w:hAnsi="宋体" w:eastAsia="宋体" w:cs="宋体"/>
          <w:spacing w:val="26"/>
          <w:sz w:val="21"/>
          <w:szCs w:val="21"/>
          <w:lang w:val="en-US" w:eastAsia="zh-CN"/>
        </w:rPr>
        <w:t>115.7</w:t>
      </w:r>
      <w:r>
        <w:rPr>
          <w:rFonts w:hint="eastAsia" w:ascii="宋体" w:hAnsi="宋体" w:eastAsia="宋体" w:cs="宋体"/>
          <w:spacing w:val="26"/>
          <w:sz w:val="21"/>
          <w:szCs w:val="21"/>
          <w:lang w:eastAsia="zh-CN"/>
        </w:rPr>
        <w:t>万元，做到资金拨</w:t>
      </w:r>
      <w:r>
        <w:rPr>
          <w:rFonts w:hint="eastAsia" w:ascii="宋体" w:hAnsi="宋体" w:eastAsia="宋体" w:cs="宋体"/>
          <w:spacing w:val="15"/>
          <w:sz w:val="21"/>
          <w:szCs w:val="21"/>
          <w:lang w:eastAsia="zh-CN"/>
        </w:rPr>
        <w:t>付的及时性。我委就维稳协调的评审工作成立了评议小组，对维稳协调工作进行评审、由纪检人员同时对绩效评价进行监督等工作。其他项目资金根据当年度政法工作提申报及执行的。</w:t>
      </w:r>
    </w:p>
    <w:p w14:paraId="1B049FF3">
      <w:pPr>
        <w:pStyle w:val="2"/>
        <w:spacing w:line="222" w:lineRule="auto"/>
        <w:ind w:left="619"/>
        <w:rPr>
          <w:rFonts w:hint="eastAsia" w:ascii="宋体" w:hAnsi="宋体" w:eastAsia="宋体" w:cs="宋体"/>
          <w:sz w:val="21"/>
          <w:szCs w:val="21"/>
          <w:lang w:eastAsia="zh-CN"/>
        </w:rPr>
      </w:pPr>
    </w:p>
    <w:p w14:paraId="5AE3D6BA">
      <w:pPr>
        <w:numPr>
          <w:ilvl w:val="0"/>
          <w:numId w:val="1"/>
        </w:numPr>
        <w:ind w:firstLine="404" w:firstLineChars="200"/>
        <w:rPr>
          <w:rFonts w:hint="eastAsia" w:ascii="宋体" w:hAnsi="宋体" w:eastAsia="宋体" w:cs="宋体"/>
          <w:spacing w:val="-4"/>
          <w:sz w:val="21"/>
          <w:szCs w:val="21"/>
          <w:lang w:eastAsia="zh-CN"/>
        </w:rPr>
      </w:pPr>
      <w:r>
        <w:rPr>
          <w:rFonts w:hint="eastAsia" w:ascii="宋体" w:hAnsi="宋体" w:eastAsia="宋体" w:cs="宋体"/>
          <w:spacing w:val="-4"/>
          <w:sz w:val="21"/>
          <w:szCs w:val="21"/>
        </w:rPr>
        <w:t>项目执行过程</w:t>
      </w:r>
    </w:p>
    <w:p w14:paraId="236A6EFE">
      <w:pPr>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 xml:space="preserve">   项目资金是我委</w:t>
      </w:r>
      <w:r>
        <w:rPr>
          <w:rFonts w:hint="eastAsia" w:ascii="宋体" w:hAnsi="宋体" w:eastAsia="宋体" w:cs="宋体"/>
          <w:spacing w:val="-6"/>
          <w:sz w:val="21"/>
          <w:szCs w:val="21"/>
          <w:lang w:eastAsia="zh-CN"/>
        </w:rPr>
        <w:t>指导全市的</w:t>
      </w:r>
      <w:r>
        <w:rPr>
          <w:rFonts w:hint="eastAsia" w:ascii="宋体" w:hAnsi="宋体" w:eastAsia="宋体" w:cs="宋体"/>
          <w:spacing w:val="2"/>
          <w:sz w:val="21"/>
          <w:szCs w:val="21"/>
          <w:lang w:eastAsia="zh-CN"/>
        </w:rPr>
        <w:t>维稳协调，项目资金严格控制在年度预算内的情况下，按时完成绩效目标任务，做了以下的工作：</w:t>
      </w:r>
      <w:r>
        <w:rPr>
          <w:rFonts w:hint="eastAsia" w:ascii="宋体" w:hAnsi="宋体" w:eastAsia="宋体" w:cs="宋体"/>
          <w:sz w:val="21"/>
          <w:szCs w:val="21"/>
          <w:lang w:eastAsia="zh-CN"/>
        </w:rPr>
        <w:t xml:space="preserve">一、全力防范风险挑战，社会大局持续稳定。 1、是全力确保政治安全，2、是全力化解矛盾纠纷。 3、是全力确保社会稳定大环境下，汨罗政法各项工作得以顺利开展。 </w:t>
      </w:r>
    </w:p>
    <w:p w14:paraId="4C534A36">
      <w:pPr>
        <w:ind w:firstLine="404" w:firstLineChars="200"/>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(三)项目支出产出情况</w:t>
      </w:r>
    </w:p>
    <w:p w14:paraId="3A0FE2A8">
      <w:pPr>
        <w:ind w:firstLine="630" w:firstLineChars="300"/>
        <w:jc w:val="both"/>
        <w:rPr>
          <w:rFonts w:hint="eastAsia" w:ascii="宋体" w:hAnsi="宋体" w:eastAsia="宋体" w:cs="宋体"/>
          <w:bCs/>
          <w:sz w:val="21"/>
          <w:szCs w:val="21"/>
          <w:lang w:eastAsia="zh-CN"/>
        </w:rPr>
      </w:pPr>
      <w:r>
        <w:rPr>
          <w:rFonts w:hint="eastAsia" w:ascii="宋体" w:hAnsi="宋体" w:eastAsia="宋体" w:cs="宋体"/>
          <w:bCs/>
          <w:sz w:val="21"/>
          <w:szCs w:val="21"/>
          <w:lang w:eastAsia="zh-CN"/>
        </w:rPr>
        <w:t>维稳协调接访率达95%，保证汨罗大局稳定，按时完成绩效目标，项目资金严格控制在年度预算资金内。</w:t>
      </w:r>
    </w:p>
    <w:p w14:paraId="11A82BE3">
      <w:pPr>
        <w:ind w:firstLine="630" w:firstLineChars="300"/>
        <w:jc w:val="both"/>
        <w:rPr>
          <w:rFonts w:hint="eastAsia" w:ascii="宋体" w:hAnsi="宋体" w:eastAsia="宋体" w:cs="宋体"/>
          <w:bCs/>
          <w:sz w:val="21"/>
          <w:szCs w:val="21"/>
          <w:lang w:eastAsia="zh-CN"/>
        </w:rPr>
      </w:pPr>
      <w:r>
        <w:rPr>
          <w:rFonts w:hint="eastAsia" w:ascii="宋体" w:hAnsi="宋体" w:eastAsia="宋体" w:cs="宋体"/>
          <w:bCs/>
          <w:sz w:val="21"/>
          <w:szCs w:val="21"/>
          <w:lang w:eastAsia="zh-CN"/>
        </w:rPr>
        <w:t>1、全力防范风险挑战，社会大局持续稳定。</w:t>
      </w:r>
    </w:p>
    <w:p w14:paraId="4DDB915F">
      <w:pPr>
        <w:ind w:firstLine="630" w:firstLineChars="300"/>
        <w:jc w:val="both"/>
        <w:rPr>
          <w:rFonts w:hint="eastAsia" w:ascii="宋体" w:hAnsi="宋体" w:eastAsia="宋体" w:cs="宋体"/>
          <w:bCs/>
          <w:sz w:val="21"/>
          <w:szCs w:val="21"/>
          <w:lang w:eastAsia="zh-CN"/>
        </w:rPr>
      </w:pPr>
      <w:r>
        <w:rPr>
          <w:rFonts w:hint="eastAsia" w:ascii="宋体" w:hAnsi="宋体" w:eastAsia="宋体" w:cs="宋体"/>
          <w:bCs/>
          <w:sz w:val="21"/>
          <w:szCs w:val="21"/>
          <w:lang w:eastAsia="zh-CN"/>
        </w:rPr>
        <w:t>2、是全力确保政治安全。</w:t>
      </w:r>
    </w:p>
    <w:p w14:paraId="103C80CB">
      <w:pPr>
        <w:ind w:firstLine="630" w:firstLineChars="300"/>
        <w:jc w:val="both"/>
        <w:rPr>
          <w:rFonts w:hint="eastAsia" w:ascii="宋体" w:hAnsi="宋体" w:eastAsia="宋体" w:cs="宋体"/>
          <w:bCs/>
          <w:sz w:val="21"/>
          <w:szCs w:val="21"/>
          <w:lang w:eastAsia="zh-CN"/>
        </w:rPr>
      </w:pPr>
      <w:r>
        <w:rPr>
          <w:rFonts w:hint="eastAsia" w:ascii="宋体" w:hAnsi="宋体" w:eastAsia="宋体" w:cs="宋体"/>
          <w:bCs/>
          <w:sz w:val="21"/>
          <w:szCs w:val="21"/>
          <w:lang w:eastAsia="zh-CN"/>
        </w:rPr>
        <w:t>3、是全力化解矛盾纠纷。</w:t>
      </w:r>
    </w:p>
    <w:p w14:paraId="740836B0">
      <w:pPr>
        <w:ind w:firstLine="630" w:firstLineChars="300"/>
        <w:jc w:val="both"/>
        <w:rPr>
          <w:rFonts w:hint="eastAsia" w:ascii="宋体" w:hAnsi="宋体" w:eastAsia="宋体" w:cs="宋体"/>
          <w:sz w:val="21"/>
          <w:szCs w:val="21"/>
          <w:lang w:eastAsia="zh-CN"/>
        </w:rPr>
      </w:pPr>
      <w:r>
        <w:rPr>
          <w:rFonts w:hint="eastAsia" w:ascii="宋体" w:hAnsi="宋体" w:eastAsia="宋体" w:cs="宋体"/>
          <w:bCs/>
          <w:sz w:val="21"/>
          <w:szCs w:val="21"/>
          <w:lang w:eastAsia="zh-CN"/>
        </w:rPr>
        <w:t>4、是全力确保社会稳</w:t>
      </w:r>
      <w:r>
        <w:rPr>
          <w:rFonts w:hint="eastAsia" w:ascii="宋体" w:hAnsi="宋体" w:eastAsia="宋体" w:cs="宋体"/>
          <w:sz w:val="21"/>
          <w:szCs w:val="21"/>
          <w:lang w:eastAsia="zh-CN"/>
        </w:rPr>
        <w:t>定。</w:t>
      </w:r>
    </w:p>
    <w:p w14:paraId="7600C436">
      <w:pPr>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5、司法救助和本市配套资金实施到位。</w:t>
      </w:r>
    </w:p>
    <w:p w14:paraId="79AE87F1">
      <w:pPr>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6、宣传防诈、反诈减少被诈骗人员数量。</w:t>
      </w:r>
    </w:p>
    <w:p w14:paraId="3F48D145">
      <w:pPr>
        <w:pStyle w:val="2"/>
        <w:spacing w:before="220" w:line="222" w:lineRule="auto"/>
        <w:ind w:firstLine="424" w:firstLineChars="200"/>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(四)项目支出效益情况</w:t>
      </w:r>
    </w:p>
    <w:p w14:paraId="395C8D77">
      <w:pPr>
        <w:pStyle w:val="2"/>
        <w:spacing w:before="220" w:line="222" w:lineRule="auto"/>
        <w:ind w:firstLine="424" w:firstLineChars="200"/>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在项目资金一定的情况下，在经济效益上，提高了财政资金使用效益，在社会效益上，体现在优化资源配置，维护社会稳定。而社会大局稳定，经济、金融环境稳定，经济也在可持续稳定发展。</w:t>
      </w:r>
    </w:p>
    <w:p w14:paraId="38D85243">
      <w:pPr>
        <w:spacing w:before="154" w:line="222" w:lineRule="auto"/>
        <w:ind w:left="534"/>
        <w:outlineLvl w:val="1"/>
        <w:rPr>
          <w:rFonts w:ascii="黑体" w:hAnsi="黑体" w:eastAsia="黑体" w:cs="黑体"/>
          <w:sz w:val="30"/>
          <w:szCs w:val="30"/>
          <w:lang w:eastAsia="zh-CN"/>
        </w:rPr>
      </w:pPr>
      <w:r>
        <w:rPr>
          <w:rFonts w:ascii="黑体" w:hAnsi="黑体" w:eastAsia="黑体" w:cs="黑体"/>
          <w:b/>
          <w:bCs/>
          <w:spacing w:val="-14"/>
          <w:sz w:val="30"/>
          <w:szCs w:val="30"/>
          <w:lang w:eastAsia="zh-CN"/>
        </w:rPr>
        <w:t>五、主要经验及做法、存在的问题及原因分析</w:t>
      </w:r>
    </w:p>
    <w:p w14:paraId="2E065B75">
      <w:pPr>
        <w:spacing w:before="208" w:line="221" w:lineRule="auto"/>
        <w:ind w:left="530"/>
        <w:rPr>
          <w:rFonts w:hint="eastAsia" w:ascii="宋体" w:hAnsi="宋体" w:eastAsia="宋体" w:cs="宋体"/>
          <w:spacing w:val="-11"/>
          <w:sz w:val="24"/>
          <w:szCs w:val="24"/>
          <w:lang w:eastAsia="zh-CN"/>
        </w:rPr>
      </w:pPr>
      <w:r>
        <w:rPr>
          <w:rFonts w:hint="eastAsia" w:ascii="宋体" w:hAnsi="宋体" w:eastAsia="宋体" w:cs="宋体"/>
          <w:spacing w:val="-11"/>
          <w:sz w:val="24"/>
          <w:szCs w:val="24"/>
          <w:lang w:eastAsia="zh-CN"/>
        </w:rPr>
        <w:t xml:space="preserve"> 项目的主要绩效，维稳协调、扫黑除恶考评根据平时督查情况、年底考核情况结合综治基础工作和平安建设成员单位履职情况，确定维稳、扫黑工作先进 。考核结果纳入综合绩效考核，并与被考评单位、被考评单位主要负责人和分管负责人评先评优挂钩。更加注重系统观念、法治思维、强基导向，奋力推动政法工作高质量发展，努力建设更高水平的平安汨罗、法治汨罗。在大局稳定基础上，综治基层基础也更加夯实，治安防控能力不断增强，治安环境不断优化，社会大局持续稳定。</w:t>
      </w:r>
    </w:p>
    <w:p w14:paraId="2FCB3DEA">
      <w:pPr>
        <w:numPr>
          <w:ilvl w:val="0"/>
          <w:numId w:val="0"/>
        </w:numPr>
        <w:spacing w:before="208" w:line="221" w:lineRule="auto"/>
        <w:ind w:left="420" w:leftChars="0" w:firstLine="0" w:firstLineChars="0"/>
        <w:rPr>
          <w:rFonts w:ascii="黑体" w:hAnsi="黑体" w:eastAsia="黑体" w:cs="黑体"/>
          <w:b/>
          <w:bCs/>
          <w:spacing w:val="-14"/>
          <w:sz w:val="30"/>
          <w:szCs w:val="30"/>
        </w:rPr>
      </w:pPr>
      <w:r>
        <w:rPr>
          <w:rFonts w:hint="eastAsia" w:ascii="黑体" w:hAnsi="黑体" w:eastAsia="黑体" w:cs="黑体"/>
          <w:b/>
          <w:bCs/>
          <w:snapToGrid w:val="0"/>
          <w:color w:val="000000"/>
          <w:spacing w:val="-14"/>
          <w:kern w:val="0"/>
          <w:sz w:val="30"/>
          <w:szCs w:val="30"/>
          <w:lang w:val="en-US" w:eastAsia="zh-CN" w:bidi="ar-SA"/>
        </w:rPr>
        <w:t>六</w:t>
      </w:r>
      <w:r>
        <w:rPr>
          <w:rFonts w:hint="eastAsia" w:ascii="黑体" w:hAnsi="黑体" w:eastAsia="黑体" w:cs="黑体"/>
          <w:b/>
          <w:bCs/>
          <w:snapToGrid w:val="0"/>
          <w:color w:val="000000"/>
          <w:spacing w:val="-14"/>
          <w:kern w:val="0"/>
          <w:sz w:val="30"/>
          <w:szCs w:val="30"/>
          <w:lang w:val="en-US" w:eastAsia="en-US" w:bidi="ar-SA"/>
        </w:rPr>
        <w:t>、</w:t>
      </w:r>
      <w:r>
        <w:rPr>
          <w:rFonts w:hint="eastAsia" w:ascii="黑体" w:hAnsi="黑体" w:eastAsia="黑体" w:cs="黑体"/>
          <w:b/>
          <w:bCs/>
          <w:spacing w:val="-14"/>
          <w:sz w:val="30"/>
          <w:szCs w:val="30"/>
        </w:rPr>
        <w:t>有关建议</w:t>
      </w:r>
    </w:p>
    <w:p w14:paraId="53E38814">
      <w:pPr>
        <w:spacing w:before="208" w:line="221" w:lineRule="auto"/>
        <w:ind w:left="840"/>
        <w:rPr>
          <w:rFonts w:ascii="仿宋" w:hAnsi="仿宋" w:eastAsia="仿宋" w:cs="仿宋"/>
          <w:spacing w:val="-14"/>
          <w:sz w:val="30"/>
          <w:szCs w:val="30"/>
          <w:lang w:eastAsia="zh-CN"/>
        </w:rPr>
      </w:pPr>
      <w:r>
        <w:rPr>
          <w:rFonts w:hint="eastAsia" w:ascii="宋体" w:hAnsi="宋体" w:eastAsia="宋体" w:cs="宋体"/>
          <w:spacing w:val="-14"/>
          <w:sz w:val="21"/>
          <w:szCs w:val="21"/>
          <w:lang w:eastAsia="zh-CN"/>
        </w:rPr>
        <w:t>无建议</w:t>
      </w:r>
      <w:r>
        <w:rPr>
          <w:rFonts w:hint="eastAsia" w:ascii="宋体" w:hAnsi="宋体" w:eastAsia="宋体" w:cs="宋体"/>
          <w:spacing w:val="-14"/>
          <w:sz w:val="24"/>
          <w:szCs w:val="24"/>
          <w:lang w:eastAsia="zh-CN"/>
        </w:rPr>
        <w:t>。</w:t>
      </w:r>
    </w:p>
    <w:p w14:paraId="1244E266">
      <w:pPr>
        <w:spacing w:before="208" w:line="221" w:lineRule="auto"/>
        <w:ind w:firstLine="279" w:firstLineChars="100"/>
        <w:rPr>
          <w:rFonts w:ascii="黑体" w:hAnsi="黑体" w:eastAsia="黑体" w:cs="黑体"/>
          <w:b/>
          <w:bCs/>
          <w:spacing w:val="-11"/>
          <w:sz w:val="30"/>
          <w:szCs w:val="30"/>
          <w:lang w:eastAsia="zh-CN"/>
        </w:rPr>
      </w:pPr>
      <w:r>
        <w:rPr>
          <w:rFonts w:hint="eastAsia" w:ascii="黑体" w:hAnsi="黑体" w:eastAsia="黑体" w:cs="黑体"/>
          <w:b/>
          <w:bCs/>
          <w:spacing w:val="-11"/>
          <w:sz w:val="30"/>
          <w:szCs w:val="30"/>
          <w:lang w:eastAsia="zh-CN"/>
        </w:rPr>
        <w:t>七、其他需要说明的问题</w:t>
      </w:r>
    </w:p>
    <w:p w14:paraId="33934109">
      <w:pPr>
        <w:spacing w:before="208" w:line="221" w:lineRule="auto"/>
        <w:ind w:firstLine="630" w:firstLineChars="300"/>
        <w:rPr>
          <w:rFonts w:ascii="仿宋" w:hAnsi="仿宋" w:eastAsia="仿宋" w:cs="仿宋"/>
          <w:sz w:val="21"/>
          <w:szCs w:val="21"/>
          <w:lang w:eastAsia="zh-CN"/>
        </w:rPr>
      </w:pPr>
      <w:r>
        <w:rPr>
          <w:rFonts w:hint="eastAsia" w:ascii="宋体" w:hAnsi="宋体" w:eastAsia="宋体" w:cs="宋体"/>
          <w:sz w:val="21"/>
          <w:szCs w:val="21"/>
          <w:lang w:eastAsia="zh-CN"/>
        </w:rPr>
        <w:t>无其他需要说明的问题。</w:t>
      </w:r>
    </w:p>
    <w:p w14:paraId="2DFF9E83">
      <w:pPr>
        <w:rPr>
          <w:sz w:val="21"/>
          <w:szCs w:val="21"/>
          <w:lang w:eastAsia="zh-CN"/>
        </w:rPr>
      </w:pPr>
    </w:p>
    <w:p w14:paraId="6BBCD639">
      <w:pPr>
        <w:keepNext w:val="0"/>
        <w:keepLines w:val="0"/>
        <w:pageBreakBefore w:val="0"/>
        <w:widowControl/>
        <w:kinsoku w:val="0"/>
        <w:wordWrap/>
        <w:overflowPunct/>
        <w:topLinePunct w:val="0"/>
        <w:autoSpaceDE w:val="0"/>
        <w:autoSpaceDN w:val="0"/>
        <w:bidi w:val="0"/>
        <w:adjustRightInd w:val="0"/>
        <w:snapToGrid w:val="0"/>
        <w:spacing w:line="560" w:lineRule="exact"/>
        <w:ind w:firstLine="864" w:firstLineChars="200"/>
        <w:textAlignment w:val="baseline"/>
        <w:outlineLvl w:val="0"/>
        <w:rPr>
          <w:rFonts w:hint="eastAsia" w:eastAsia="仿宋_GB2312"/>
          <w:kern w:val="0"/>
          <w:sz w:val="32"/>
          <w:szCs w:val="32"/>
          <w:lang w:eastAsia="zh-CN"/>
        </w:rPr>
      </w:pPr>
      <w:r>
        <w:rPr>
          <w:rFonts w:hint="eastAsia" w:ascii="黑体" w:hAnsi="黑体" w:eastAsia="黑体" w:cs="黑体"/>
          <w:spacing w:val="16"/>
          <w:sz w:val="40"/>
          <w:szCs w:val="40"/>
          <w:lang w:val="en-US" w:eastAsia="zh-CN"/>
        </w:rPr>
        <w:t xml:space="preserve"> </w:t>
      </w:r>
      <w:r>
        <w:rPr>
          <w:rFonts w:hint="eastAsia" w:ascii="黑体" w:hAnsi="黑体" w:eastAsia="黑体" w:cs="黑体"/>
          <w:b/>
          <w:bCs/>
          <w:spacing w:val="-15"/>
          <w:sz w:val="31"/>
          <w:szCs w:val="31"/>
          <w:lang w:val="en-US" w:eastAsia="zh-CN"/>
        </w:rPr>
        <w:t xml:space="preserve"> </w:t>
      </w:r>
      <w:bookmarkStart w:id="0" w:name="_GoBack"/>
      <w:bookmarkEnd w:id="0"/>
    </w:p>
    <w:sectPr>
      <w:footerReference r:id="rId8"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A00002EF" w:usb1="4000004B" w:usb2="00000000" w:usb3="00000000" w:csb0="2000009F" w:csb1="00000000"/>
  </w:font>
  <w:font w:name="DotumChe">
    <w:panose1 w:val="020B0609000101010101"/>
    <w:charset w:val="81"/>
    <w:family w:val="auto"/>
    <w:pitch w:val="default"/>
    <w:sig w:usb0="B00002AF" w:usb1="69D77CFB" w:usb2="00000030" w:usb3="00000000" w:csb0="4008009F" w:csb1="DFD70000"/>
  </w:font>
  <w:font w:name="方正兰亭超细黑简体">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3"/>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674A5D"/>
    <w:multiLevelType w:val="singleLevel"/>
    <w:tmpl w:val="FF674A5D"/>
    <w:lvl w:ilvl="0" w:tentative="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U0MTA5NmYwNDUzODA4ZTJlNGE5N2NhN2JjMmExN2IifQ=="/>
  </w:docVars>
  <w:rsids>
    <w:rsidRoot w:val="00000000"/>
    <w:rsid w:val="00B13186"/>
    <w:rsid w:val="01975E74"/>
    <w:rsid w:val="01AF3811"/>
    <w:rsid w:val="03615592"/>
    <w:rsid w:val="03795BF7"/>
    <w:rsid w:val="03803F4C"/>
    <w:rsid w:val="03A74EB6"/>
    <w:rsid w:val="07CA799C"/>
    <w:rsid w:val="086E756B"/>
    <w:rsid w:val="096C5C47"/>
    <w:rsid w:val="0A4F2CD5"/>
    <w:rsid w:val="0A5359E5"/>
    <w:rsid w:val="0ACF37E5"/>
    <w:rsid w:val="0B400BC6"/>
    <w:rsid w:val="0D0353FF"/>
    <w:rsid w:val="0D985869"/>
    <w:rsid w:val="0E68228D"/>
    <w:rsid w:val="0F156355"/>
    <w:rsid w:val="0F8E37C8"/>
    <w:rsid w:val="0F986232"/>
    <w:rsid w:val="0FB50C03"/>
    <w:rsid w:val="10572302"/>
    <w:rsid w:val="12201FEA"/>
    <w:rsid w:val="148C063E"/>
    <w:rsid w:val="15276E52"/>
    <w:rsid w:val="15826A17"/>
    <w:rsid w:val="15D45A5A"/>
    <w:rsid w:val="16AE07B1"/>
    <w:rsid w:val="17610ABD"/>
    <w:rsid w:val="187175BC"/>
    <w:rsid w:val="19BE59C7"/>
    <w:rsid w:val="19D32FBC"/>
    <w:rsid w:val="1BE12F50"/>
    <w:rsid w:val="1C9A10CA"/>
    <w:rsid w:val="1D752023"/>
    <w:rsid w:val="1D9403E7"/>
    <w:rsid w:val="1E6A4395"/>
    <w:rsid w:val="1F063F7A"/>
    <w:rsid w:val="20FD542A"/>
    <w:rsid w:val="21E30972"/>
    <w:rsid w:val="23D81F29"/>
    <w:rsid w:val="245834F6"/>
    <w:rsid w:val="25557A3D"/>
    <w:rsid w:val="26EA5ED7"/>
    <w:rsid w:val="27A93B82"/>
    <w:rsid w:val="29A05EB5"/>
    <w:rsid w:val="2AE00186"/>
    <w:rsid w:val="2D205A56"/>
    <w:rsid w:val="2D7430CA"/>
    <w:rsid w:val="2ED8301A"/>
    <w:rsid w:val="2F0E4046"/>
    <w:rsid w:val="306578EE"/>
    <w:rsid w:val="308216BE"/>
    <w:rsid w:val="30BB3FDF"/>
    <w:rsid w:val="30DF2EF5"/>
    <w:rsid w:val="3211678F"/>
    <w:rsid w:val="32942FAE"/>
    <w:rsid w:val="34FE1149"/>
    <w:rsid w:val="394051F8"/>
    <w:rsid w:val="3A550786"/>
    <w:rsid w:val="3B7A130F"/>
    <w:rsid w:val="3B820DAB"/>
    <w:rsid w:val="3CB3794A"/>
    <w:rsid w:val="3CDF4253"/>
    <w:rsid w:val="3E8A2015"/>
    <w:rsid w:val="40B95721"/>
    <w:rsid w:val="410C6BB5"/>
    <w:rsid w:val="4274710D"/>
    <w:rsid w:val="44FB19F1"/>
    <w:rsid w:val="46903E2B"/>
    <w:rsid w:val="46CE30E3"/>
    <w:rsid w:val="48DE6F39"/>
    <w:rsid w:val="49423DD9"/>
    <w:rsid w:val="497A5B7B"/>
    <w:rsid w:val="4C6D21BF"/>
    <w:rsid w:val="4D942C95"/>
    <w:rsid w:val="4F8B6063"/>
    <w:rsid w:val="517B0398"/>
    <w:rsid w:val="52266709"/>
    <w:rsid w:val="52FA3F96"/>
    <w:rsid w:val="5527584B"/>
    <w:rsid w:val="55850F17"/>
    <w:rsid w:val="56A2193A"/>
    <w:rsid w:val="56DC2CAC"/>
    <w:rsid w:val="578E5378"/>
    <w:rsid w:val="57AE6D93"/>
    <w:rsid w:val="58034119"/>
    <w:rsid w:val="586170E7"/>
    <w:rsid w:val="587547D2"/>
    <w:rsid w:val="58D30568"/>
    <w:rsid w:val="5A220000"/>
    <w:rsid w:val="5B6D3744"/>
    <w:rsid w:val="5D6B3AFB"/>
    <w:rsid w:val="5E0D58FE"/>
    <w:rsid w:val="5EFD3FF2"/>
    <w:rsid w:val="5F8925BF"/>
    <w:rsid w:val="5FB623A7"/>
    <w:rsid w:val="60D456DF"/>
    <w:rsid w:val="629E63D3"/>
    <w:rsid w:val="641C0FFE"/>
    <w:rsid w:val="64CC32C3"/>
    <w:rsid w:val="654C00DD"/>
    <w:rsid w:val="657B13F8"/>
    <w:rsid w:val="66994B08"/>
    <w:rsid w:val="66AE3C2E"/>
    <w:rsid w:val="68307CD3"/>
    <w:rsid w:val="69EF55EC"/>
    <w:rsid w:val="6AB63605"/>
    <w:rsid w:val="6B1D7030"/>
    <w:rsid w:val="6B726CE1"/>
    <w:rsid w:val="6BA42CCB"/>
    <w:rsid w:val="6E3851B0"/>
    <w:rsid w:val="70544A2A"/>
    <w:rsid w:val="726739D4"/>
    <w:rsid w:val="75880E0D"/>
    <w:rsid w:val="76C842B2"/>
    <w:rsid w:val="770622CE"/>
    <w:rsid w:val="7A513F98"/>
    <w:rsid w:val="7ADD5362"/>
    <w:rsid w:val="7C9101CE"/>
    <w:rsid w:val="7E4A3051"/>
    <w:rsid w:val="7E784B20"/>
    <w:rsid w:val="7EBB5B86"/>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basedOn w:val="1"/>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pPr>
    <w:rPr>
      <w:rFonts w:cs="Times New Roman"/>
      <w:sz w:val="24"/>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1901</Words>
  <Characters>1966</Characters>
  <TotalTime>11</TotalTime>
  <ScaleCrop>false</ScaleCrop>
  <LinksUpToDate>false</LinksUpToDate>
  <CharactersWithSpaces>2128</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汨罗市营田办事处（主管）</cp:lastModifiedBy>
  <cp:lastPrinted>2024-05-21T14:05:00Z</cp:lastPrinted>
  <dcterms:modified xsi:type="dcterms:W3CDTF">2024-07-15T07:14:26Z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2052-12.1.0.17147</vt:lpwstr>
  </property>
  <property fmtid="{D5CDD505-2E9C-101B-9397-08002B2CF9AE}" pid="6" name="ICV">
    <vt:lpwstr>A1E9AC54BF58440288AD196632C2A254_12</vt:lpwstr>
  </property>
</Properties>
</file>