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640.74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607.56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21.28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159.17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严格执行出差审批制度，从严控制出差人数和天数，严禁无实质内容、无明确目的的公务出差行为。加强公务出差活动的统筹，降低出差频次和减少出差人数。严控办公费支出，办公用品按需采购。提倡电子数据传输、纸张双面打印，节约使用文具、纸张等办公耗材。严格执行资产配置标准，从严控制办公电脑、打印机、复印机等的增配，提倡办公设备共享使用。各类宣传及展示原则上使用网络、电子屏幕等现代传媒工具，严格控制展板、展架、横幅的印刷与制作。严控劳务费支出，从严控制校外人员的讲课费、咨询费等劳务支出。牢固树立节能环保意识，从节约“一滴水”“一度电”开始，养成良好的用水用电习惯。加强用电设备管理，控制空调使用时间和温度，各类用电设备不使用时要及时关机。完善相关管理制度，开展常态化水电巡查和监测，降低水电等资源消耗。</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汨罗市第二中学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3432.32</w:t>
            </w:r>
          </w:p>
        </w:tc>
        <w:tc>
          <w:tcPr>
            <w:tcW w:w="1298"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eastAsia="zh-CN"/>
              </w:rPr>
              <w:t>4155.23</w:t>
            </w:r>
          </w:p>
        </w:tc>
        <w:tc>
          <w:tcPr>
            <w:tcW w:w="1269"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eastAsia="zh-CN"/>
              </w:rPr>
              <w:t>4155.23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其中：一般公共预算：4155.23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eastAsia="zh-CN"/>
              </w:rPr>
              <w:t>4155.23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目标1：加强队伍建设，促进教育发展</w:t>
            </w:r>
            <w:r>
              <w:rPr>
                <w:rFonts w:hint="eastAsia" w:ascii="仿宋_GB2312" w:eastAsia="仿宋_GB2312"/>
                <w:kern w:val="0"/>
              </w:rPr>
              <w:tab/>
            </w:r>
            <w:r>
              <w:rPr>
                <w:rFonts w:hint="eastAsia" w:ascii="仿宋_GB2312" w:eastAsia="仿宋_GB2312"/>
                <w:kern w:val="0"/>
              </w:rPr>
              <w:tab/>
            </w:r>
          </w:p>
          <w:p>
            <w:pPr>
              <w:spacing w:line="240" w:lineRule="auto"/>
              <w:jc w:val="both"/>
              <w:rPr>
                <w:rFonts w:hint="eastAsia" w:ascii="仿宋_GB2312" w:eastAsia="仿宋_GB2312"/>
                <w:kern w:val="0"/>
              </w:rPr>
            </w:pPr>
            <w:r>
              <w:rPr>
                <w:rFonts w:hint="eastAsia" w:ascii="仿宋_GB2312" w:eastAsia="仿宋_GB2312"/>
                <w:kern w:val="0"/>
              </w:rPr>
              <w:t>目标2：狠抓教学管理，提高教育质量</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p>
            <w:pPr>
              <w:spacing w:line="240" w:lineRule="auto"/>
              <w:jc w:val="both"/>
              <w:rPr>
                <w:rFonts w:hint="eastAsia" w:ascii="仿宋_GB2312" w:eastAsia="仿宋_GB2312"/>
                <w:kern w:val="0"/>
              </w:rPr>
            </w:pPr>
            <w:r>
              <w:rPr>
                <w:rFonts w:hint="eastAsia" w:ascii="仿宋_GB2312" w:eastAsia="仿宋_GB2312"/>
                <w:kern w:val="0"/>
              </w:rPr>
              <w:t>目标3：推进德育首位，提升育人绩效</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p>
            <w:pPr>
              <w:spacing w:line="240" w:lineRule="auto"/>
              <w:jc w:val="both"/>
              <w:rPr>
                <w:rFonts w:ascii="仿宋_GB2312" w:eastAsia="仿宋_GB2312"/>
                <w:kern w:val="0"/>
              </w:rPr>
            </w:pPr>
            <w:r>
              <w:rPr>
                <w:rFonts w:hint="eastAsia" w:ascii="仿宋_GB2312" w:eastAsia="仿宋_GB2312"/>
                <w:kern w:val="0"/>
              </w:rPr>
              <w:t>目标3：发展体育工作，增强学生体质</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圆满完成各项工作任务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ind w:firstLine="420"/>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nil"/>
            </w:tcBorders>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学考合格率100%，高考本科上线率95%</w:t>
            </w:r>
            <w:r>
              <w:rPr>
                <w:rFonts w:hint="eastAsia" w:ascii="仿宋_GB2312" w:eastAsia="仿宋_GB2312"/>
                <w:kern w:val="0"/>
              </w:rPr>
              <w:tab/>
            </w:r>
          </w:p>
        </w:tc>
        <w:tc>
          <w:tcPr>
            <w:tcW w:w="1298" w:type="dxa"/>
            <w:vAlign w:val="center"/>
          </w:tcPr>
          <w:p>
            <w:pPr>
              <w:keepNext w:val="0"/>
              <w:keepLines w:val="0"/>
              <w:widowControl/>
              <w:suppressLineNumbers w:val="0"/>
              <w:jc w:val="center"/>
              <w:textAlignment w:val="center"/>
              <w:rPr>
                <w:rFonts w:ascii="仿宋_GB2312" w:hAnsi="Arial" w:eastAsia="仿宋_GB2312" w:cs="Arial"/>
                <w:b w:val="0"/>
                <w:bCs w:val="0"/>
                <w:snapToGrid w:val="0"/>
                <w:color w:val="000000"/>
                <w:kern w:val="0"/>
                <w:sz w:val="21"/>
                <w:szCs w:val="21"/>
                <w:lang w:val="en-US" w:eastAsia="en-US" w:bidi="ar-SA"/>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hAnsi="Arial" w:eastAsia="仿宋_GB2312" w:cs="Arial"/>
                <w:b w:val="0"/>
                <w:bCs w:val="0"/>
                <w:snapToGrid w:val="0"/>
                <w:color w:val="000000"/>
                <w:kern w:val="0"/>
                <w:sz w:val="21"/>
                <w:szCs w:val="21"/>
                <w:lang w:val="en-US" w:eastAsia="en-US" w:bidi="ar-SA"/>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促进教育事业有序发展，争取学校绩效考核进入教育系统先进单位</w:t>
            </w:r>
          </w:p>
        </w:tc>
        <w:tc>
          <w:tcPr>
            <w:tcW w:w="1298" w:type="dxa"/>
            <w:vAlign w:val="center"/>
          </w:tcPr>
          <w:p>
            <w:pPr>
              <w:keepNext w:val="0"/>
              <w:keepLines w:val="0"/>
              <w:widowControl/>
              <w:suppressLineNumbers w:val="0"/>
              <w:jc w:val="center"/>
              <w:textAlignment w:val="center"/>
              <w:rPr>
                <w:rFonts w:ascii="仿宋_GB2312" w:eastAsia="仿宋_GB2312"/>
                <w:b w:val="0"/>
                <w:bCs w:val="0"/>
                <w:kern w:val="0"/>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eastAsia="仿宋_GB2312"/>
                <w:b w:val="0"/>
                <w:bCs w:val="0"/>
                <w:kern w:val="0"/>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100%</w:t>
            </w:r>
          </w:p>
        </w:tc>
        <w:tc>
          <w:tcPr>
            <w:tcW w:w="69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本科上线率</w:t>
            </w:r>
          </w:p>
        </w:tc>
        <w:tc>
          <w:tcPr>
            <w:tcW w:w="1298" w:type="dxa"/>
            <w:vAlign w:val="center"/>
          </w:tcPr>
          <w:p>
            <w:pPr>
              <w:keepNext w:val="0"/>
              <w:keepLines w:val="0"/>
              <w:widowControl/>
              <w:suppressLineNumbers w:val="0"/>
              <w:jc w:val="center"/>
              <w:textAlignment w:val="center"/>
              <w:rPr>
                <w:rFonts w:ascii="仿宋_GB2312" w:eastAsia="仿宋_GB2312"/>
                <w:b w:val="0"/>
                <w:bCs w:val="0"/>
                <w:kern w:val="0"/>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95%</w:t>
            </w:r>
          </w:p>
        </w:tc>
        <w:tc>
          <w:tcPr>
            <w:tcW w:w="1269" w:type="dxa"/>
            <w:vAlign w:val="center"/>
          </w:tcPr>
          <w:p>
            <w:pPr>
              <w:keepNext w:val="0"/>
              <w:keepLines w:val="0"/>
              <w:widowControl/>
              <w:suppressLineNumbers w:val="0"/>
              <w:jc w:val="center"/>
              <w:textAlignment w:val="center"/>
              <w:rPr>
                <w:rFonts w:ascii="仿宋_GB2312" w:eastAsia="仿宋_GB2312"/>
                <w:b w:val="0"/>
                <w:bCs w:val="0"/>
                <w:kern w:val="0"/>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93%</w:t>
            </w:r>
          </w:p>
        </w:tc>
        <w:tc>
          <w:tcPr>
            <w:tcW w:w="69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按时完成教育教学任务，顺利完成各项任务指标，把教育教学质量放在首位，提高教师从教的幸福感，办人民满意的教育。</w:t>
            </w:r>
            <w:r>
              <w:rPr>
                <w:rFonts w:hint="eastAsia" w:ascii="仿宋_GB2312" w:eastAsia="仿宋_GB2312"/>
                <w:kern w:val="0"/>
              </w:rPr>
              <w:tab/>
            </w:r>
          </w:p>
        </w:tc>
        <w:tc>
          <w:tcPr>
            <w:tcW w:w="1298" w:type="dxa"/>
            <w:vAlign w:val="center"/>
          </w:tcPr>
          <w:p>
            <w:pPr>
              <w:spacing w:line="240" w:lineRule="auto"/>
              <w:ind w:firstLine="420"/>
              <w:jc w:val="center"/>
              <w:rPr>
                <w:rFonts w:hint="default" w:ascii="仿宋_GB2312" w:eastAsia="仿宋_GB2312"/>
                <w:b w:val="0"/>
                <w:bCs w:val="0"/>
                <w:kern w:val="0"/>
                <w:lang w:val="en-US" w:eastAsia="zh-CN"/>
              </w:rPr>
            </w:pPr>
            <w:r>
              <w:rPr>
                <w:rFonts w:hint="eastAsia" w:ascii="仿宋_GB2312" w:eastAsia="仿宋_GB2312"/>
                <w:b w:val="0"/>
                <w:bCs w:val="0"/>
                <w:kern w:val="0"/>
                <w:lang w:val="en-US" w:eastAsia="zh-CN"/>
              </w:rPr>
              <w:t>100%</w:t>
            </w:r>
          </w:p>
        </w:tc>
        <w:tc>
          <w:tcPr>
            <w:tcW w:w="1269" w:type="dxa"/>
            <w:vAlign w:val="center"/>
          </w:tcPr>
          <w:p>
            <w:pPr>
              <w:spacing w:line="240" w:lineRule="auto"/>
              <w:ind w:firstLine="420"/>
              <w:jc w:val="both"/>
              <w:rPr>
                <w:rFonts w:hint="default" w:ascii="仿宋_GB2312" w:eastAsia="仿宋_GB2312"/>
                <w:b w:val="0"/>
                <w:bCs w:val="0"/>
                <w:kern w:val="0"/>
                <w:lang w:val="en-US" w:eastAsia="zh-CN"/>
              </w:rPr>
            </w:pPr>
            <w:r>
              <w:rPr>
                <w:rFonts w:hint="eastAsia" w:ascii="仿宋_GB2312" w:eastAsia="仿宋_GB2312"/>
                <w:b w:val="0"/>
                <w:bCs w:val="0"/>
                <w:kern w:val="0"/>
                <w:lang w:val="en-US" w:eastAsia="zh-CN"/>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tcBorders>
              <w:lef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rPr>
              <w:t>完成</w:t>
            </w:r>
            <w:r>
              <w:rPr>
                <w:rFonts w:hint="eastAsia" w:ascii="仿宋_GB2312" w:eastAsia="仿宋_GB2312"/>
                <w:kern w:val="0"/>
                <w:lang w:val="en-US" w:eastAsia="zh-CN"/>
              </w:rPr>
              <w:t>高</w:t>
            </w:r>
            <w:r>
              <w:rPr>
                <w:rFonts w:hint="eastAsia" w:ascii="仿宋_GB2312" w:eastAsia="仿宋_GB2312"/>
                <w:kern w:val="0"/>
              </w:rPr>
              <w:t>中学历教育，收支平衡</w:t>
            </w:r>
          </w:p>
        </w:tc>
        <w:tc>
          <w:tcPr>
            <w:tcW w:w="1298" w:type="dxa"/>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b w:val="0"/>
                <w:bCs w:val="0"/>
                <w:kern w:val="0"/>
                <w:lang w:val="en-US" w:eastAsia="zh-CN"/>
              </w:rPr>
              <w:t>100%</w:t>
            </w:r>
          </w:p>
        </w:tc>
        <w:tc>
          <w:tcPr>
            <w:tcW w:w="1269" w:type="dxa"/>
            <w:vAlign w:val="center"/>
          </w:tcPr>
          <w:p>
            <w:pPr>
              <w:spacing w:line="240" w:lineRule="auto"/>
              <w:ind w:firstLine="420" w:firstLineChars="0"/>
              <w:jc w:val="both"/>
              <w:rPr>
                <w:rFonts w:ascii="仿宋_GB2312" w:eastAsia="仿宋_GB2312"/>
                <w:kern w:val="0"/>
              </w:rPr>
            </w:pPr>
            <w:r>
              <w:rPr>
                <w:rFonts w:hint="eastAsia" w:ascii="仿宋_GB2312" w:eastAsia="仿宋_GB2312"/>
                <w:b w:val="0"/>
                <w:bCs w:val="0"/>
                <w:kern w:val="0"/>
                <w:lang w:val="en-US" w:eastAsia="zh-CN"/>
              </w:rPr>
              <w:t>100%</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top w:val="single" w:color="auto" w:sz="4" w:space="0"/>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教师素质和学校办学水平进一步提升；教育教学成绩不断提高，学生各类竞赛、评比成绩更好；深化课题研究，促进教学技能发展；文化建设深受社会好评；为国家输送更多的优秀人才。</w:t>
            </w:r>
          </w:p>
        </w:tc>
        <w:tc>
          <w:tcPr>
            <w:tcW w:w="1298" w:type="dxa"/>
            <w:vAlign w:val="center"/>
          </w:tcPr>
          <w:p>
            <w:pPr>
              <w:keepNext w:val="0"/>
              <w:keepLines w:val="0"/>
              <w:widowControl/>
              <w:suppressLineNumbers w:val="0"/>
              <w:jc w:val="center"/>
              <w:textAlignment w:val="center"/>
              <w:rPr>
                <w:rFonts w:ascii="仿宋_GB2312" w:eastAsia="仿宋_GB2312"/>
                <w:b w:val="0"/>
                <w:bCs w:val="0"/>
                <w:kern w:val="0"/>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100%</w:t>
            </w:r>
          </w:p>
        </w:tc>
        <w:tc>
          <w:tcPr>
            <w:tcW w:w="1269" w:type="dxa"/>
            <w:vAlign w:val="center"/>
          </w:tcPr>
          <w:p>
            <w:pPr>
              <w:keepNext w:val="0"/>
              <w:keepLines w:val="0"/>
              <w:widowControl/>
              <w:suppressLineNumbers w:val="0"/>
              <w:jc w:val="center"/>
              <w:textAlignment w:val="center"/>
              <w:rPr>
                <w:rFonts w:ascii="仿宋_GB2312" w:eastAsia="仿宋_GB2312"/>
                <w:b w:val="0"/>
                <w:bCs w:val="0"/>
                <w:kern w:val="0"/>
              </w:rPr>
            </w:pPr>
            <w:r>
              <w:rPr>
                <w:rFonts w:hint="default" w:ascii="仿宋_GB2312" w:hAnsi="宋体" w:eastAsia="仿宋_GB2312" w:cs="仿宋_GB2312"/>
                <w:b w:val="0"/>
                <w:bCs w:val="0"/>
                <w:i w:val="0"/>
                <w:iCs w:val="0"/>
                <w:snapToGrid w:val="0"/>
                <w:color w:val="000000"/>
                <w:kern w:val="0"/>
                <w:sz w:val="20"/>
                <w:szCs w:val="20"/>
                <w:u w:val="none"/>
                <w:lang w:val="en-US" w:eastAsia="zh-CN" w:bidi="ar"/>
              </w:rPr>
              <w:t>100%</w:t>
            </w:r>
          </w:p>
        </w:tc>
        <w:tc>
          <w:tcPr>
            <w:tcW w:w="69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lang w:val="en-US" w:eastAsia="zh-CN"/>
              </w:rPr>
              <w:t>生态环境改善状况</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优化校园生态环境，学校绿化覆盖率达标。</w:t>
            </w:r>
          </w:p>
        </w:tc>
        <w:tc>
          <w:tcPr>
            <w:tcW w:w="1269" w:type="dxa"/>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lang w:val="en-US" w:eastAsia="zh-CN"/>
              </w:rPr>
              <w:t>招生考试情况</w:t>
            </w:r>
          </w:p>
        </w:tc>
        <w:tc>
          <w:tcPr>
            <w:tcW w:w="1298" w:type="dxa"/>
            <w:vAlign w:val="center"/>
          </w:tcPr>
          <w:p>
            <w:pPr>
              <w:spacing w:line="240" w:lineRule="auto"/>
              <w:jc w:val="both"/>
              <w:rPr>
                <w:rFonts w:hint="default" w:ascii="仿宋_GB2312" w:eastAsia="仿宋_GB2312"/>
                <w:kern w:val="0"/>
                <w:lang w:val="en-US"/>
              </w:rPr>
            </w:pPr>
            <w:r>
              <w:rPr>
                <w:rFonts w:hint="eastAsia" w:ascii="仿宋_GB2312" w:eastAsia="仿宋_GB2312"/>
                <w:kern w:val="0"/>
                <w:lang w:val="en-US" w:eastAsia="zh-CN"/>
              </w:rPr>
              <w:t>提高学校声誉，吸引优秀学生报考本校。</w:t>
            </w:r>
          </w:p>
        </w:tc>
        <w:tc>
          <w:tcPr>
            <w:tcW w:w="1269" w:type="dxa"/>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left w:val="single" w:color="auto" w:sz="4" w:space="0"/>
            </w:tcBorders>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rPr>
              <w:t>持续开展加强家校联系活动，把教学放在首位，一切为教学服务，办社会、家长、学生满意教育</w:t>
            </w:r>
            <w:r>
              <w:rPr>
                <w:rFonts w:hint="eastAsia" w:ascii="仿宋_GB2312" w:eastAsia="仿宋_GB2312"/>
                <w:kern w:val="0"/>
                <w:lang w:eastAsia="zh-CN"/>
              </w:rPr>
              <w:t>。</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社会、家长、学生满意度&gt;98%</w:t>
            </w:r>
            <w:r>
              <w:rPr>
                <w:rFonts w:hint="eastAsia" w:ascii="仿宋_GB2312" w:eastAsia="仿宋_GB2312"/>
                <w:kern w:val="0"/>
              </w:rPr>
              <w:tab/>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预算批复金额</w:t>
            </w:r>
          </w:p>
        </w:tc>
        <w:tc>
          <w:tcPr>
            <w:tcW w:w="1298"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按预算执行</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对社会造成负面影响</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无</w:t>
            </w:r>
          </w:p>
        </w:tc>
        <w:tc>
          <w:tcPr>
            <w:tcW w:w="12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对生态环境造成的负面影响</w:t>
            </w:r>
          </w:p>
        </w:tc>
        <w:tc>
          <w:tcPr>
            <w:tcW w:w="1298"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无</w:t>
            </w:r>
          </w:p>
        </w:tc>
        <w:tc>
          <w:tcPr>
            <w:tcW w:w="12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第二中学</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汨罗市第二中学</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numPr>
          <w:ilvl w:val="0"/>
          <w:numId w:val="0"/>
        </w:numPr>
        <w:kinsoku w:val="0"/>
        <w:autoSpaceDE w:val="0"/>
        <w:autoSpaceDN w:val="0"/>
        <w:adjustRightInd w:val="0"/>
        <w:snapToGrid w:val="0"/>
        <w:spacing w:line="360" w:lineRule="auto"/>
        <w:ind w:firstLine="640" w:firstLineChars="200"/>
        <w:jc w:val="left"/>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kinsoku w:val="0"/>
        <w:autoSpaceDE w:val="0"/>
        <w:autoSpaceDN w:val="0"/>
        <w:adjustRightInd w:val="0"/>
        <w:snapToGrid w:val="0"/>
        <w:spacing w:line="360" w:lineRule="auto"/>
        <w:ind w:firstLine="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ascii="宋体" w:hAnsi="宋体" w:eastAsia="宋体" w:cs="宋体"/>
          <w:snapToGrid w:val="0"/>
          <w:color w:val="000000"/>
          <w:sz w:val="28"/>
          <w:szCs w:val="28"/>
          <w:lang w:val="en-US" w:eastAsia="zh-CN" w:bidi="ar-SA"/>
        </w:rPr>
        <w:t xml:space="preserve"> </w:t>
      </w:r>
      <w:r>
        <w:rPr>
          <w:rFonts w:hint="eastAsia" w:ascii="Times New Roman" w:hAnsi="Times New Roman" w:eastAsia="仿宋_GB2312" w:cs="Arial"/>
          <w:snapToGrid w:val="0"/>
          <w:color w:val="000000"/>
          <w:kern w:val="0"/>
          <w:sz w:val="32"/>
          <w:szCs w:val="32"/>
          <w:lang w:val="en-US" w:eastAsia="zh-CN" w:bidi="ar-SA"/>
        </w:rPr>
        <w:t>汨罗市第二中学是汨罗市教育体育局举办的公办普通高中教育学校，属汨罗市二级事业单位。</w:t>
      </w:r>
    </w:p>
    <w:p>
      <w:pPr>
        <w:numPr>
          <w:ilvl w:val="0"/>
          <w:numId w:val="0"/>
        </w:numPr>
        <w:kinsoku w:val="0"/>
        <w:autoSpaceDE w:val="0"/>
        <w:autoSpaceDN w:val="0"/>
        <w:adjustRightInd w:val="0"/>
        <w:snapToGrid w:val="0"/>
        <w:spacing w:line="360"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1、主要职责：</w:t>
      </w:r>
    </w:p>
    <w:p>
      <w:pPr>
        <w:numPr>
          <w:ilvl w:val="0"/>
          <w:numId w:val="0"/>
        </w:numPr>
        <w:kinsoku w:val="0"/>
        <w:autoSpaceDE w:val="0"/>
        <w:autoSpaceDN w:val="0"/>
        <w:adjustRightInd w:val="0"/>
        <w:snapToGrid w:val="0"/>
        <w:spacing w:line="360"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实施高中学历教育,促进基础教育发展。全面贯彻执行国家的教育方针、政策及国家相关的法律法规；实施素质教育，按照规定标准完成教育教学任务，保证教育教学质量；加强教师队伍建设，提高教师的整体素质；加强安全和后勤服务工作，为教育教学提供保障。</w:t>
      </w:r>
    </w:p>
    <w:p>
      <w:pPr>
        <w:numPr>
          <w:ilvl w:val="0"/>
          <w:numId w:val="0"/>
        </w:numPr>
        <w:kinsoku w:val="0"/>
        <w:autoSpaceDE w:val="0"/>
        <w:autoSpaceDN w:val="0"/>
        <w:adjustRightInd w:val="0"/>
        <w:snapToGrid w:val="0"/>
        <w:spacing w:line="360"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2、机构设置：</w:t>
      </w:r>
    </w:p>
    <w:p>
      <w:pPr>
        <w:numPr>
          <w:ilvl w:val="0"/>
          <w:numId w:val="0"/>
        </w:numPr>
        <w:kinsoku w:val="0"/>
        <w:autoSpaceDE w:val="0"/>
        <w:autoSpaceDN w:val="0"/>
        <w:adjustRightInd w:val="0"/>
        <w:snapToGrid w:val="0"/>
        <w:spacing w:line="360"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单位内设机构八个，分别为教研室、督导室、办公室、教务科、德育处、总务处、团委办、工会。</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firstLine="60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宋体" w:hAnsi="宋体" w:eastAsia="宋体" w:cs="宋体"/>
          <w:sz w:val="30"/>
          <w:szCs w:val="30"/>
        </w:rPr>
        <w:t>2</w:t>
      </w:r>
      <w:r>
        <w:rPr>
          <w:rFonts w:hint="eastAsia" w:ascii="Times New Roman" w:hAnsi="Times New Roman" w:eastAsia="仿宋_GB2312" w:cs="Arial"/>
          <w:snapToGrid w:val="0"/>
          <w:color w:val="000000"/>
          <w:kern w:val="0"/>
          <w:sz w:val="32"/>
          <w:szCs w:val="32"/>
          <w:lang w:val="en-US" w:eastAsia="zh-CN" w:bidi="ar-SA"/>
        </w:rPr>
        <w:t>022年度财政拨款支出4155.23万元，主要用于以下方面：一般公共服务（类）支出10.9万元，占0.3%；教育（类）支出3394.23万元，占81.7%；社会保障和就业（类）支出332.43万元，占8.0%；卫生健康（类）支出141.41万元，占3.4%；住房保障（类）支出276.26万元，占6.6%。其中：人员经费3560.1万元，占基本支出的85.7%, 主要包括基本工资、津贴补贴、奖金、绩效工资、养老保险、职业年金、医疗保险、住房公积金。公用经费</w:t>
      </w:r>
      <w:r>
        <w:rPr>
          <w:rFonts w:hint="eastAsia" w:ascii="Times New Roman" w:hAnsi="Times New Roman" w:eastAsia="仿宋_GB2312" w:cs="Arial"/>
          <w:snapToGrid w:val="0"/>
          <w:color w:val="000000"/>
          <w:kern w:val="0"/>
          <w:sz w:val="32"/>
          <w:szCs w:val="32"/>
          <w:lang w:val="en-US" w:eastAsia="zh-CN" w:bidi="ar-SA"/>
        </w:rPr>
        <w:t>595.13</w:t>
      </w:r>
      <w:r>
        <w:rPr>
          <w:rFonts w:hint="eastAsia" w:ascii="Times New Roman" w:hAnsi="Times New Roman" w:eastAsia="仿宋_GB2312" w:cs="Arial"/>
          <w:snapToGrid w:val="0"/>
          <w:color w:val="000000"/>
          <w:kern w:val="0"/>
          <w:sz w:val="32"/>
          <w:szCs w:val="32"/>
          <w:lang w:val="en-US" w:eastAsia="zh-CN" w:bidi="ar-SA"/>
        </w:rPr>
        <w:t>万元，占基本支出的</w:t>
      </w:r>
      <w:r>
        <w:rPr>
          <w:rFonts w:hint="eastAsia" w:ascii="仿宋" w:hAnsi="仿宋" w:eastAsia="仿宋" w:cs="仿宋"/>
          <w:snapToGrid w:val="0"/>
          <w:color w:val="000000"/>
          <w:kern w:val="0"/>
          <w:sz w:val="32"/>
          <w:szCs w:val="32"/>
          <w:lang w:val="en-US" w:eastAsia="zh-CN" w:bidi="ar-SA"/>
        </w:rPr>
        <w:t>14.3%</w:t>
      </w:r>
      <w:r>
        <w:rPr>
          <w:rFonts w:hint="eastAsia" w:ascii="Times New Roman" w:hAnsi="Times New Roman" w:eastAsia="仿宋_GB2312" w:cs="Arial"/>
          <w:snapToGrid w:val="0"/>
          <w:color w:val="000000"/>
          <w:kern w:val="0"/>
          <w:sz w:val="32"/>
          <w:szCs w:val="32"/>
          <w:lang w:val="en-US" w:eastAsia="zh-CN" w:bidi="ar-SA"/>
        </w:rPr>
        <w:t>，主要包括办公费、印刷费、咨询费、手续费、邮电费、差旅费、培训费、公务接待费、专用材料费、工会经费、其他商品服务支出。</w:t>
      </w:r>
    </w:p>
    <w:p>
      <w:pPr>
        <w:pStyle w:val="9"/>
        <w:numPr>
          <w:ilvl w:val="0"/>
          <w:numId w:val="1"/>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numPr>
          <w:numId w:val="0"/>
        </w:numPr>
        <w:spacing w:line="600" w:lineRule="exact"/>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lang w:eastAsia="zh-CN"/>
        </w:rPr>
        <w:t>2022年度本部门（单位）无项目支出。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numPr>
          <w:ilvl w:val="0"/>
          <w:numId w:val="0"/>
        </w:numPr>
        <w:spacing w:line="600" w:lineRule="exact"/>
        <w:ind w:left="640" w:leftChars="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2022年度本部门（单位）无政府性基金预算支出。</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eastAsia="zh-CN"/>
        </w:rPr>
        <w:t>2022年度本部门（单位）无</w:t>
      </w:r>
      <w:r>
        <w:rPr>
          <w:rFonts w:hint="eastAsia" w:ascii="Times New Roman" w:hAnsi="Times New Roman" w:eastAsia="仿宋_GB2312"/>
          <w:kern w:val="0"/>
          <w:sz w:val="32"/>
          <w:szCs w:val="32"/>
          <w:lang w:val="en-US" w:eastAsia="zh-CN"/>
        </w:rPr>
        <w:t>国有资本</w:t>
      </w:r>
      <w:r>
        <w:rPr>
          <w:rFonts w:hint="eastAsia" w:ascii="Times New Roman" w:hAnsi="Times New Roman" w:eastAsia="仿宋_GB2312"/>
          <w:kern w:val="0"/>
          <w:sz w:val="32"/>
          <w:szCs w:val="32"/>
          <w:lang w:eastAsia="zh-CN"/>
        </w:rPr>
        <w:t>预算支出。</w:t>
      </w:r>
    </w:p>
    <w:p>
      <w:pPr>
        <w:numPr>
          <w:numId w:val="0"/>
        </w:numPr>
        <w:spacing w:line="600" w:lineRule="exact"/>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 xml:space="preserve">      </w:t>
      </w:r>
      <w:r>
        <w:rPr>
          <w:rFonts w:hint="eastAsia" w:ascii="方正黑体_GBK" w:eastAsia="方正黑体_GBK"/>
          <w:kern w:val="0"/>
          <w:sz w:val="32"/>
          <w:szCs w:val="32"/>
          <w:lang w:eastAsia="zh-CN"/>
        </w:rPr>
        <w:t>社会保险基金预算支出情况</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 xml:space="preserve"> </w:t>
      </w:r>
      <w:r>
        <w:rPr>
          <w:rFonts w:hint="eastAsia" w:ascii="Times New Roman" w:hAnsi="Times New Roman" w:eastAsia="仿宋_GB2312"/>
          <w:kern w:val="0"/>
          <w:sz w:val="32"/>
          <w:szCs w:val="32"/>
          <w:lang w:eastAsia="zh-CN"/>
        </w:rPr>
        <w:t>2022年度本部门（单位）无</w:t>
      </w:r>
      <w:r>
        <w:rPr>
          <w:rFonts w:hint="eastAsia" w:ascii="Times New Roman" w:hAnsi="Times New Roman" w:eastAsia="仿宋_GB2312"/>
          <w:kern w:val="0"/>
          <w:sz w:val="32"/>
          <w:szCs w:val="32"/>
          <w:lang w:val="en-US" w:eastAsia="zh-CN"/>
        </w:rPr>
        <w:t>社会保险</w:t>
      </w:r>
      <w:r>
        <w:rPr>
          <w:rFonts w:hint="eastAsia" w:ascii="Times New Roman" w:hAnsi="Times New Roman" w:eastAsia="仿宋_GB2312"/>
          <w:kern w:val="0"/>
          <w:sz w:val="32"/>
          <w:szCs w:val="32"/>
          <w:lang w:eastAsia="zh-CN"/>
        </w:rPr>
        <w:t>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本单位各项资金主要用途是确保单位的正常运转，促进各项工作任务顺利完成。在人员经费支出、公共支出严格执行市委市政府的各项制度；在保证各项任务顺利完成的同时，严格落实厉行节约的原则；三公经费的使用严格控制在预算申报的范围内。      </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numPr>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财务工作是一个单位的命脉，创新机制正逐步加强，要求财务工作水平越来越高。</w:t>
      </w:r>
      <w:r>
        <w:rPr>
          <w:rFonts w:hint="eastAsia" w:eastAsia="仿宋_GB2312"/>
          <w:kern w:val="0"/>
          <w:sz w:val="32"/>
          <w:szCs w:val="32"/>
          <w:lang w:val="en-US" w:eastAsia="zh-CN"/>
        </w:rPr>
        <w:t xml:space="preserve">但学校单位缺少专业的财务工作人员， </w:t>
      </w:r>
      <w:r>
        <w:rPr>
          <w:rFonts w:hint="eastAsia" w:eastAsia="仿宋_GB2312"/>
          <w:kern w:val="0"/>
          <w:sz w:val="32"/>
          <w:szCs w:val="32"/>
          <w:lang w:eastAsia="zh-CN"/>
        </w:rPr>
        <w:t>会计基础工作还需要不断完善，</w:t>
      </w:r>
      <w:r>
        <w:rPr>
          <w:rFonts w:hint="eastAsia" w:eastAsia="仿宋_GB2312"/>
          <w:kern w:val="0"/>
          <w:sz w:val="32"/>
          <w:szCs w:val="32"/>
          <w:lang w:val="en-US" w:eastAsia="zh-CN"/>
        </w:rPr>
        <w:t>加强</w:t>
      </w:r>
      <w:r>
        <w:rPr>
          <w:rFonts w:hint="eastAsia" w:eastAsia="仿宋_GB2312"/>
          <w:kern w:val="0"/>
          <w:sz w:val="32"/>
          <w:szCs w:val="32"/>
          <w:lang w:eastAsia="zh-CN"/>
        </w:rPr>
        <w:t>报表数据存在</w:t>
      </w:r>
      <w:r>
        <w:rPr>
          <w:rFonts w:hint="eastAsia" w:eastAsia="仿宋_GB2312"/>
          <w:kern w:val="0"/>
          <w:sz w:val="32"/>
          <w:szCs w:val="32"/>
          <w:lang w:val="en-US" w:eastAsia="zh-CN"/>
        </w:rPr>
        <w:t>一些偏</w:t>
      </w:r>
      <w:r>
        <w:rPr>
          <w:rFonts w:hint="eastAsia" w:eastAsia="仿宋_GB2312"/>
          <w:kern w:val="0"/>
          <w:sz w:val="32"/>
          <w:szCs w:val="32"/>
          <w:lang w:eastAsia="zh-CN"/>
        </w:rPr>
        <w:t>差。</w:t>
      </w:r>
    </w:p>
    <w:p>
      <w:pPr>
        <w:numPr>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八、</w:t>
      </w:r>
      <w:r>
        <w:rPr>
          <w:rFonts w:hint="eastAsia" w:ascii="方正黑体_GBK" w:eastAsia="方正黑体_GBK"/>
          <w:kern w:val="0"/>
          <w:sz w:val="32"/>
          <w:szCs w:val="32"/>
          <w:lang w:eastAsia="zh-CN"/>
        </w:rPr>
        <w:t xml:space="preserve"> 下一步改进措施</w:t>
      </w:r>
      <w:r>
        <w:rPr>
          <w:rFonts w:hint="eastAsia" w:ascii="方正黑体_GBK" w:eastAsia="方正黑体_GBK"/>
          <w:kern w:val="0"/>
          <w:sz w:val="32"/>
          <w:szCs w:val="32"/>
          <w:lang w:val="en-US" w:eastAsia="zh-CN"/>
        </w:rPr>
        <w:t xml:space="preserve">   </w:t>
      </w:r>
    </w:p>
    <w:p>
      <w:pPr>
        <w:spacing w:line="360" w:lineRule="auto"/>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1</w:t>
      </w:r>
      <w:r>
        <w:rPr>
          <w:rFonts w:hint="eastAsia" w:eastAsia="仿宋_GB2312"/>
          <w:kern w:val="0"/>
          <w:sz w:val="32"/>
          <w:szCs w:val="32"/>
          <w:lang w:val="en-US" w:eastAsia="zh-CN"/>
        </w:rPr>
        <w:t xml:space="preserve">.进一步完善财务制度，规范财经纪律，加强财务管理，提高财务工作水平。        </w:t>
      </w:r>
    </w:p>
    <w:p>
      <w:pPr>
        <w:spacing w:line="360" w:lineRule="auto"/>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2.充实财务人员，加强财务人员培训，不断提高财务人员素质。</w:t>
      </w:r>
      <w:r>
        <w:rPr>
          <w:rFonts w:hint="eastAsia" w:ascii="方正黑体_GBK" w:eastAsia="方正黑体_GBK"/>
          <w:kern w:val="0"/>
          <w:sz w:val="32"/>
          <w:szCs w:val="32"/>
          <w:lang w:val="en-US" w:eastAsia="zh-CN"/>
        </w:rPr>
        <w:t xml:space="preserve"> </w:t>
      </w:r>
    </w:p>
    <w:p>
      <w:pPr>
        <w:spacing w:line="360" w:lineRule="auto"/>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3、进一步贯彻落实中央“八项规定”建立本部门“三公经费”等公务支出管理制度及厉行节约制度，加强经费审批和控制，规范支出标准和范围，并严格执行。</w:t>
      </w:r>
    </w:p>
    <w:p>
      <w:pPr>
        <w:numPr>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4、加强固定资产管理，及时登记、更新台帐，加强资产卡片管理，学年度对各类实物资产进行全面盘点，确保账账、账实相符。</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部门整体支出绩效自评结果拟应用于当年绩效考核和下年度预算编制；部门整体支出绩效自评结果拟在政务网上公开。</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bookmarkStart w:id="0" w:name="_GoBack"/>
      <w:bookmarkEnd w:id="0"/>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howcard Gothic">
    <w:panose1 w:val="040209040201020206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Ravie">
    <w:panose1 w:val="040408050508090206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yanmar Text">
    <w:panose1 w:val="020B0502040204020203"/>
    <w:charset w:val="00"/>
    <w:family w:val="auto"/>
    <w:pitch w:val="default"/>
    <w:sig w:usb0="80000003" w:usb1="00000000" w:usb2="00000400" w:usb3="00000000" w:csb0="00000001" w:csb1="00000000"/>
  </w:font>
  <w:font w:name="Niagara Engraved">
    <w:panose1 w:val="04020502070703030202"/>
    <w:charset w:val="00"/>
    <w:family w:val="auto"/>
    <w:pitch w:val="default"/>
    <w:sig w:usb0="00000003"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C3F70"/>
    <w:multiLevelType w:val="singleLevel"/>
    <w:tmpl w:val="CC8C3F70"/>
    <w:lvl w:ilvl="0" w:tentative="0">
      <w:start w:val="2"/>
      <w:numFmt w:val="chineseCounting"/>
      <w:suff w:val="nothing"/>
      <w:lvlText w:val="（%1）"/>
      <w:lvlJc w:val="left"/>
      <w:rPr>
        <w:rFonts w:hint="eastAsia"/>
      </w:rPr>
    </w:lvl>
  </w:abstractNum>
  <w:abstractNum w:abstractNumId="1">
    <w:nsid w:val="288743C5"/>
    <w:multiLevelType w:val="singleLevel"/>
    <w:tmpl w:val="288743C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JhODFhN2I3NTM0MDk2NzMzMWQzMjVjYjMwZTkxMjcifQ=="/>
  </w:docVars>
  <w:rsids>
    <w:rsidRoot w:val="00000000"/>
    <w:rsid w:val="01AF3811"/>
    <w:rsid w:val="03795BF7"/>
    <w:rsid w:val="04C410DA"/>
    <w:rsid w:val="071A5A9A"/>
    <w:rsid w:val="086E756B"/>
    <w:rsid w:val="0ACF37E5"/>
    <w:rsid w:val="0B400BC6"/>
    <w:rsid w:val="0E68228D"/>
    <w:rsid w:val="0F915B94"/>
    <w:rsid w:val="15276E52"/>
    <w:rsid w:val="19D32FBC"/>
    <w:rsid w:val="1E6A4395"/>
    <w:rsid w:val="25557A3D"/>
    <w:rsid w:val="26C1140B"/>
    <w:rsid w:val="26EA5ED7"/>
    <w:rsid w:val="27A93B82"/>
    <w:rsid w:val="2870181C"/>
    <w:rsid w:val="2AE00186"/>
    <w:rsid w:val="30395FD7"/>
    <w:rsid w:val="308216BE"/>
    <w:rsid w:val="3100242F"/>
    <w:rsid w:val="34FE1149"/>
    <w:rsid w:val="36BF7FC7"/>
    <w:rsid w:val="3A550786"/>
    <w:rsid w:val="3B7A130F"/>
    <w:rsid w:val="3C051AF7"/>
    <w:rsid w:val="4D0358B9"/>
    <w:rsid w:val="4D624D8F"/>
    <w:rsid w:val="4F8B6063"/>
    <w:rsid w:val="50344CC8"/>
    <w:rsid w:val="51693198"/>
    <w:rsid w:val="52FA3F96"/>
    <w:rsid w:val="531F4C49"/>
    <w:rsid w:val="55850F17"/>
    <w:rsid w:val="57AE6D93"/>
    <w:rsid w:val="5FB623A7"/>
    <w:rsid w:val="63C10B53"/>
    <w:rsid w:val="64E95F31"/>
    <w:rsid w:val="6E3851B0"/>
    <w:rsid w:val="728B63A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2957</Words>
  <Characters>3191</Characters>
  <TotalTime>5</TotalTime>
  <ScaleCrop>false</ScaleCrop>
  <LinksUpToDate>false</LinksUpToDate>
  <CharactersWithSpaces>3374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2024-07-05T13:32:21Z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