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18</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rPr>
              <w:t>1</w:t>
            </w:r>
            <w:r>
              <w:rPr>
                <w:rFonts w:hint="eastAsia" w:ascii="仿宋_GB2312" w:eastAsia="仿宋_GB2312"/>
                <w:kern w:val="0"/>
                <w:lang w:val="en-US" w:eastAsia="zh-CN"/>
              </w:rPr>
              <w:t>4</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77.77</w:t>
            </w:r>
            <w:r>
              <w:rPr>
                <w:rFonts w:hint="eastAsia" w:ascii="仿宋_GB2312" w:eastAsia="仿宋_GB2312"/>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1.12</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2.8</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1.12</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2.8</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0.47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2039"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c>
          <w:tcPr>
            <w:tcW w:w="1983"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51.82</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31.97</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23.12</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1.2</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1.68</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4.63</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3.5</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0.28</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1.4</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49.89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82.82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rPr>
                <w:rFonts w:hint="eastAsia"/>
              </w:rPr>
            </w:pPr>
            <w:r>
              <w:rPr>
                <w:rFonts w:hint="eastAsia"/>
              </w:rPr>
              <w:t>1.完善制度建设，从制度上控制不合理支出，达到节约的目的。</w:t>
            </w:r>
          </w:p>
          <w:p>
            <w:pPr>
              <w:rPr>
                <w:rFonts w:hint="eastAsia"/>
              </w:rPr>
            </w:pPr>
            <w:r>
              <w:rPr>
                <w:rFonts w:hint="eastAsia"/>
              </w:rPr>
              <w:t>2.加强财务管理，避免资源配置和利用的重复、无用、低效等浪费现象，合理分配基本支出经费，严格掌握预算经费的开支范围和标准，大力压缩维持性支出。</w:t>
            </w:r>
          </w:p>
          <w:p>
            <w:r>
              <w:rPr>
                <w:rFonts w:hint="eastAsia"/>
              </w:rPr>
              <w:t>3.加强对专项资金项目的监督管理，确保专款专用，合理开支。</w:t>
            </w:r>
          </w:p>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何晓懿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2024.6.3</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18973042676</w:t>
      </w:r>
      <w:r>
        <w:rPr>
          <w:rFonts w:ascii="仿宋_GB2312" w:hAnsi="宋体" w:eastAsia="仿宋_GB2312" w:cs="宋体"/>
          <w:snapToGrid w:val="0"/>
          <w:color w:val="000000"/>
          <w:sz w:val="21"/>
          <w:szCs w:val="21"/>
          <w:lang w:val="en-US" w:eastAsia="zh-CN" w:bidi="ar-SA"/>
        </w:rPr>
        <w:t xml:space="preserve">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9"/>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778"/>
        <w:gridCol w:w="1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7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514"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rPr>
              <w:t>16</w:t>
            </w:r>
            <w:r>
              <w:rPr>
                <w:rFonts w:hint="eastAsia" w:ascii="仿宋_GB2312" w:eastAsia="仿宋_GB2312"/>
                <w:kern w:val="0"/>
                <w:lang w:val="en-US" w:eastAsia="zh-CN"/>
              </w:rPr>
              <w:t>3.60</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186.25</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rPr>
              <w:t>1</w:t>
            </w:r>
            <w:r>
              <w:rPr>
                <w:rFonts w:hint="eastAsia" w:ascii="仿宋_GB2312" w:eastAsia="仿宋_GB2312"/>
                <w:kern w:val="0"/>
                <w:lang w:val="en-US" w:eastAsia="zh-CN"/>
              </w:rPr>
              <w:t>86.25</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778"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rPr>
              <w:t>1</w:t>
            </w:r>
            <w:r>
              <w:rPr>
                <w:rFonts w:hint="eastAsia" w:ascii="仿宋_GB2312" w:eastAsia="仿宋_GB2312"/>
                <w:kern w:val="0"/>
                <w:lang w:val="en-US" w:eastAsia="zh-CN"/>
              </w:rPr>
              <w:t>13.84%</w:t>
            </w:r>
          </w:p>
        </w:tc>
        <w:tc>
          <w:tcPr>
            <w:tcW w:w="1514"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186.25</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159.25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政府性基金拨款：0.00</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27.00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0.00</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其他资金：</w:t>
            </w:r>
            <w:r>
              <w:rPr>
                <w:rFonts w:hint="eastAsia" w:ascii="仿宋_GB2312" w:hAnsi="宋体" w:eastAsia="仿宋_GB2312" w:cs="宋体"/>
                <w:kern w:val="0"/>
                <w:lang w:val="en-US" w:eastAsia="zh-CN"/>
              </w:rPr>
              <w:t>0.00</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7"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jc w:val="both"/>
              <w:rPr>
                <w:rFonts w:hint="eastAsia" w:ascii="仿宋_GB2312" w:eastAsia="仿宋_GB2312"/>
                <w:kern w:val="0"/>
              </w:rPr>
            </w:pPr>
            <w:r>
              <w:rPr>
                <w:rFonts w:hint="eastAsia" w:ascii="仿宋_GB2312" w:eastAsia="仿宋_GB2312"/>
                <w:kern w:val="0"/>
              </w:rPr>
              <w:t>1、做好图书馆的规范管理和免费开放工作，做好了春节、清明节、五一等节、假日开放工作。上半年总馆累计接待读15000余人次，图书流通7000余册次。</w:t>
            </w:r>
          </w:p>
          <w:p>
            <w:pPr>
              <w:spacing w:line="240" w:lineRule="auto"/>
              <w:ind w:firstLine="420"/>
              <w:jc w:val="center"/>
              <w:rPr>
                <w:rFonts w:hint="eastAsia" w:ascii="仿宋_GB2312" w:eastAsia="仿宋_GB2312"/>
                <w:kern w:val="0"/>
              </w:rPr>
            </w:pPr>
            <w:r>
              <w:rPr>
                <w:rFonts w:hint="eastAsia" w:ascii="仿宋_GB2312" w:eastAsia="仿宋_GB2312"/>
                <w:kern w:val="0"/>
              </w:rPr>
              <w:t>2、用好用活屈子书院、新市等书院、图书馆、综合文化站等文化场所，开展号文化惠民活动，尽力满足人民群众的公共文化需求，已在韩少功文化馆进行采编，分类上架，下一步将继续完成屈子祠村图书馆分馆挂牌仪式、采编分类及上架。</w:t>
            </w:r>
          </w:p>
          <w:p>
            <w:pPr>
              <w:spacing w:line="240" w:lineRule="auto"/>
              <w:ind w:firstLine="420"/>
              <w:jc w:val="center"/>
              <w:rPr>
                <w:rFonts w:hint="eastAsia" w:ascii="仿宋_GB2312" w:eastAsia="仿宋_GB2312"/>
                <w:kern w:val="0"/>
              </w:rPr>
            </w:pPr>
            <w:r>
              <w:rPr>
                <w:rFonts w:hint="eastAsia" w:ascii="仿宋_GB2312" w:eastAsia="仿宋_GB2312"/>
                <w:kern w:val="0"/>
              </w:rPr>
              <w:t>二、积极配合好我市文明城市创建工作</w:t>
            </w:r>
          </w:p>
          <w:p>
            <w:pPr>
              <w:spacing w:line="240" w:lineRule="auto"/>
              <w:ind w:firstLine="420"/>
              <w:jc w:val="center"/>
              <w:rPr>
                <w:rFonts w:hint="eastAsia" w:ascii="仿宋_GB2312" w:eastAsia="仿宋_GB2312"/>
                <w:kern w:val="0"/>
              </w:rPr>
            </w:pPr>
            <w:r>
              <w:rPr>
                <w:rFonts w:hint="eastAsia" w:ascii="仿宋_GB2312" w:eastAsia="仿宋_GB2312"/>
                <w:kern w:val="0"/>
              </w:rPr>
              <w:t>1、走进社区。为进一步提高市民对创建全国文明城市的知晓率、参与率，我馆党员在我局统一组织下，在联点的归义镇高塘社区开展“支部进社区、党员进小区、共建文明城”志愿服务活动，向社区街边商户居民和过往的群众发放文明创建宣传手册及“城乡生活垃圾分类”宣传海报并耐心细致地讲解文明手册中关于社会主义核心价值观、文明城市概念、市民公共生活守则和城乡生活垃圾分类的重要性等相关内容，号召大家自觉遵守社会公德，培养良好的文明生活习惯，共同助力全市文明城市创建工作。同时号召大家从自己做起、从点滴做起，规范自己的一言一行、一举一动，发挥城市主人翁作用，做文明市民，为创建全国文明城市做出一份贡献。</w:t>
            </w:r>
          </w:p>
          <w:p>
            <w:pPr>
              <w:spacing w:line="240" w:lineRule="auto"/>
              <w:ind w:firstLine="420"/>
              <w:jc w:val="center"/>
              <w:rPr>
                <w:rFonts w:hint="eastAsia" w:ascii="仿宋_GB2312" w:eastAsia="仿宋_GB2312"/>
                <w:kern w:val="0"/>
              </w:rPr>
            </w:pPr>
            <w:r>
              <w:rPr>
                <w:rFonts w:hint="eastAsia" w:ascii="仿宋_GB2312" w:eastAsia="仿宋_GB2312"/>
                <w:kern w:val="0"/>
              </w:rPr>
              <w:t>2、做好文明劝导志愿者及每周五的卫生大扫除。我馆负责对人民路与高泉北路十字路口东四处人行横道进行文明劝导，执勤人员能注重形象穿着规范，并以积极的工作态度履行好自己的职责。每周五卫生大扫除全馆人员能做到人人参与，环境卫生无死角，营造了一个干净舒适的工作环境。</w:t>
            </w:r>
          </w:p>
          <w:p>
            <w:pPr>
              <w:spacing w:line="240" w:lineRule="auto"/>
              <w:ind w:firstLine="420"/>
              <w:jc w:val="center"/>
              <w:rPr>
                <w:rFonts w:hint="eastAsia" w:ascii="仿宋_GB2312" w:eastAsia="仿宋_GB2312"/>
                <w:kern w:val="0"/>
              </w:rPr>
            </w:pPr>
            <w:r>
              <w:rPr>
                <w:rFonts w:hint="eastAsia" w:ascii="仿宋_GB2312" w:eastAsia="仿宋_GB2312"/>
                <w:kern w:val="0"/>
              </w:rPr>
              <w:t>三、积极开展丰富多样的阅读推广活动</w:t>
            </w:r>
          </w:p>
          <w:p>
            <w:pPr>
              <w:spacing w:line="240" w:lineRule="auto"/>
              <w:ind w:firstLine="420"/>
              <w:jc w:val="center"/>
              <w:rPr>
                <w:rFonts w:hint="eastAsia" w:ascii="仿宋_GB2312" w:eastAsia="仿宋_GB2312"/>
                <w:kern w:val="0"/>
              </w:rPr>
            </w:pPr>
            <w:r>
              <w:rPr>
                <w:rFonts w:hint="eastAsia" w:ascii="仿宋_GB2312" w:eastAsia="仿宋_GB2312"/>
                <w:kern w:val="0"/>
              </w:rPr>
              <w:t>1、携树德将邀请汨罗巫傩文明传承人孙浩老师来指导我们学习民风民俗龙舟文化，孙浩老师来图书馆现场指导，划龙舟是屈原故里最大的群众性集会，用划龙舟这样最古老最隆重的方式纪念屈原。2、归义镇蓝精灵幼儿园小班组参观了汨罗市图书馆，利用图书、绘画和其他多种方式，引发幼儿对书籍、阅读和书写的兴趣。为此，汨罗市图书馆联合蓝精灵幼儿园开展了以“童年有书 未来有梦”为主题的图书线下活动。</w:t>
            </w:r>
          </w:p>
          <w:p>
            <w:pPr>
              <w:spacing w:line="240" w:lineRule="auto"/>
              <w:jc w:val="both"/>
              <w:rPr>
                <w:rFonts w:hint="eastAsia" w:ascii="仿宋_GB2312" w:eastAsia="仿宋_GB2312"/>
                <w:kern w:val="0"/>
              </w:rPr>
            </w:pPr>
            <w:r>
              <w:rPr>
                <w:rFonts w:hint="eastAsia" w:ascii="仿宋_GB2312" w:eastAsia="仿宋_GB2312"/>
                <w:kern w:val="0"/>
              </w:rPr>
              <w:t>3、承办了“悦读奋进新时代、共建书香文明城”世界读书日主题活动。全民阅读启动仪式、万人齐诵《天问》活动。</w:t>
            </w:r>
          </w:p>
          <w:p>
            <w:pPr>
              <w:spacing w:line="240" w:lineRule="auto"/>
              <w:ind w:firstLine="420"/>
              <w:jc w:val="both"/>
              <w:rPr>
                <w:rFonts w:ascii="仿宋_GB2312" w:eastAsia="仿宋_GB2312"/>
                <w:kern w:val="0"/>
              </w:rPr>
            </w:pPr>
            <w:r>
              <w:rPr>
                <w:rFonts w:hint="eastAsia" w:ascii="仿宋_GB2312" w:eastAsia="仿宋_GB2312"/>
                <w:kern w:val="0"/>
              </w:rPr>
              <w:t>4、举办了“蓝墨水大讲堂”（一至三期）为促进我市基层公共文化事业发展，进一步的提高业务能力及农村文化大发展繁荣方面做出了贡献。</w:t>
            </w:r>
          </w:p>
        </w:tc>
        <w:tc>
          <w:tcPr>
            <w:tcW w:w="4260" w:type="dxa"/>
            <w:gridSpan w:val="4"/>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已完成全年目标1、携树德将邀请汨罗巫傩文明传承人孙浩老师来指导我们学习民风民俗龙舟文化，孙浩老师来图书馆现场指导，划龙舟是屈原故里最大的群众性集会，用划龙舟这样最古老最隆重的方式纪念屈原。</w:t>
            </w:r>
          </w:p>
          <w:p>
            <w:pPr>
              <w:spacing w:line="240" w:lineRule="auto"/>
              <w:ind w:firstLine="420"/>
              <w:jc w:val="center"/>
              <w:rPr>
                <w:rFonts w:hint="eastAsia" w:ascii="仿宋_GB2312" w:eastAsia="仿宋_GB2312"/>
                <w:kern w:val="0"/>
              </w:rPr>
            </w:pPr>
            <w:r>
              <w:rPr>
                <w:rFonts w:hint="eastAsia" w:ascii="仿宋_GB2312" w:eastAsia="仿宋_GB2312"/>
                <w:kern w:val="0"/>
              </w:rPr>
              <w:t>2、归义镇蓝精灵幼儿园小班组参观了汨罗市图书馆，利用图书、绘画和其他多种方式，引发幼儿对书籍、阅读和书写的兴趣。为此，汨罗市图书馆联合蓝精灵幼儿园开展了以“童年有书 未来有梦”为主题的图书线下活动。3、承办了“悦读奋进新时代、共建书香文明城”世界读书日主题活动。全民阅读启动仪式、万人齐诵《天问》活动。</w:t>
            </w:r>
          </w:p>
          <w:p>
            <w:pPr>
              <w:spacing w:line="240" w:lineRule="auto"/>
              <w:ind w:firstLine="420"/>
              <w:jc w:val="center"/>
              <w:rPr>
                <w:rFonts w:hint="eastAsia" w:ascii="仿宋_GB2312" w:eastAsia="仿宋_GB2312"/>
                <w:kern w:val="0"/>
              </w:rPr>
            </w:pPr>
            <w:r>
              <w:rPr>
                <w:rFonts w:hint="eastAsia" w:ascii="仿宋_GB2312" w:eastAsia="仿宋_GB2312"/>
                <w:kern w:val="0"/>
              </w:rPr>
              <w:t>4、举办了“蓝墨水大讲堂”（一至三期）为促进我市基层公共文化事业发展，进一步的提高业务能力及农村文化大发展繁荣方面做出了贡献。</w:t>
            </w:r>
          </w:p>
          <w:p>
            <w:pPr>
              <w:spacing w:line="240" w:lineRule="auto"/>
              <w:ind w:firstLine="420"/>
              <w:jc w:val="center"/>
              <w:rPr>
                <w:rFonts w:ascii="仿宋_GB2312" w:eastAsia="仿宋_GB2312"/>
                <w:kern w:val="0"/>
              </w:rPr>
            </w:pPr>
            <w:r>
              <w:rPr>
                <w:rFonts w:hint="eastAsia" w:ascii="仿宋_GB2312" w:eastAsia="仿宋_GB2312"/>
                <w:kern w:val="0"/>
              </w:rPr>
              <w:t>5、“悦读越心动”新书，好书推广活动、“阅读，请到图书馆”你选书，我买单活动、线上讲座展览活动，电子阅读app推广和汨罗市图书馆微信公众号推广。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7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514"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2023年增加馆藏量5000册，免费开放时间为56小时/周世界读书日图书宣传周1次，举办4-6期专题讲座5次推进24小时自助图书馆建设</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5000册；56小时</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w:t>
            </w:r>
          </w:p>
        </w:tc>
        <w:tc>
          <w:tcPr>
            <w:tcW w:w="77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w:t>
            </w: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778" w:type="dxa"/>
            <w:vAlign w:val="center"/>
          </w:tcPr>
          <w:p>
            <w:pPr>
              <w:spacing w:line="240" w:lineRule="auto"/>
              <w:ind w:firstLine="420"/>
              <w:jc w:val="center"/>
              <w:rPr>
                <w:rFonts w:ascii="仿宋_GB2312" w:eastAsia="仿宋_GB2312"/>
                <w:kern w:val="0"/>
              </w:rPr>
            </w:pP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读者满意度全年目标达到90%&lt;公共图书馆&gt;《公共文化服务保障法》</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各项工作依法开展完成</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7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778" w:type="dxa"/>
            <w:vAlign w:val="center"/>
          </w:tcPr>
          <w:p>
            <w:pPr>
              <w:spacing w:line="240" w:lineRule="auto"/>
              <w:ind w:firstLine="420"/>
              <w:jc w:val="center"/>
              <w:rPr>
                <w:rFonts w:ascii="仿宋_GB2312" w:eastAsia="仿宋_GB2312"/>
                <w:kern w:val="0"/>
              </w:rPr>
            </w:pP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按上级文化主管部门规定进行 年底全面完成目标任务</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7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免费开放有助于引导农民科技致富使群众了解与掌握更多的知识与技能</w:t>
            </w:r>
          </w:p>
        </w:tc>
        <w:tc>
          <w:tcPr>
            <w:tcW w:w="1298"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rPr>
              <w:t>有所提升</w:t>
            </w:r>
          </w:p>
        </w:tc>
        <w:tc>
          <w:tcPr>
            <w:tcW w:w="1269"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rPr>
              <w:t>有所提升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78"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514" w:type="dxa"/>
            <w:vAlign w:val="center"/>
          </w:tcPr>
          <w:p>
            <w:pPr>
              <w:spacing w:line="240" w:lineRule="auto"/>
              <w:jc w:val="both"/>
              <w:rPr>
                <w:rFonts w:ascii="仿宋_GB2312" w:eastAsia="仿宋_GB2312"/>
                <w:kern w:val="0"/>
              </w:rPr>
            </w:pPr>
            <w:r>
              <w:rPr>
                <w:rFonts w:hint="eastAsia" w:ascii="仿宋_GB2312" w:eastAsia="仿宋_GB2312"/>
                <w:kern w:val="0"/>
              </w:rPr>
              <w:t>一是加强馆内业一是加强馆内业务培训二是提高服务质量三是提高绩效指标设置的准确性，提高图书馆工作的满意度提升整体形象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778" w:type="dxa"/>
            <w:vAlign w:val="center"/>
          </w:tcPr>
          <w:p>
            <w:pPr>
              <w:spacing w:line="240" w:lineRule="auto"/>
              <w:ind w:firstLine="420"/>
              <w:jc w:val="center"/>
              <w:rPr>
                <w:rFonts w:ascii="仿宋_GB2312" w:eastAsia="仿宋_GB2312"/>
                <w:kern w:val="0"/>
              </w:rPr>
            </w:pP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促进汨罗市图书事业全面发展，提升整体形象</w:t>
            </w:r>
          </w:p>
        </w:tc>
        <w:tc>
          <w:tcPr>
            <w:tcW w:w="1298" w:type="dxa"/>
            <w:vAlign w:val="center"/>
          </w:tcPr>
          <w:p>
            <w:pPr>
              <w:spacing w:line="240" w:lineRule="auto"/>
              <w:ind w:firstLine="210" w:firstLineChars="10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有所提升</w:t>
            </w:r>
          </w:p>
        </w:tc>
        <w:tc>
          <w:tcPr>
            <w:tcW w:w="1269" w:type="dxa"/>
            <w:vAlign w:val="center"/>
          </w:tcPr>
          <w:p>
            <w:pPr>
              <w:spacing w:line="240" w:lineRule="auto"/>
              <w:ind w:firstLine="210" w:firstLineChars="10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有所提升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78"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514" w:type="dxa"/>
            <w:vAlign w:val="center"/>
          </w:tcPr>
          <w:p>
            <w:pPr>
              <w:spacing w:line="240" w:lineRule="auto"/>
              <w:jc w:val="both"/>
              <w:rPr>
                <w:rFonts w:ascii="仿宋_GB2312" w:eastAsia="仿宋_GB2312"/>
                <w:kern w:val="0"/>
              </w:rPr>
            </w:pPr>
            <w:r>
              <w:rPr>
                <w:rFonts w:hint="eastAsia" w:ascii="仿宋_GB2312" w:eastAsia="仿宋_GB2312"/>
                <w:kern w:val="0"/>
              </w:rPr>
              <w:t>一是加强馆内业务培训二是提高服务质量三是提高绩效指标设置的准确性，提高图书馆工作的满意度提升整体形象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778" w:type="dxa"/>
            <w:vAlign w:val="center"/>
          </w:tcPr>
          <w:p>
            <w:pPr>
              <w:spacing w:line="240" w:lineRule="auto"/>
              <w:ind w:firstLine="420"/>
              <w:jc w:val="center"/>
              <w:rPr>
                <w:rFonts w:ascii="仿宋_GB2312" w:eastAsia="仿宋_GB2312"/>
                <w:kern w:val="0"/>
              </w:rPr>
            </w:pP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生态环境改善情况</w:t>
            </w:r>
          </w:p>
        </w:tc>
        <w:tc>
          <w:tcPr>
            <w:tcW w:w="1298"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rPr>
              <w:t>有所改善</w:t>
            </w:r>
          </w:p>
        </w:tc>
        <w:tc>
          <w:tcPr>
            <w:tcW w:w="1269"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rPr>
              <w:t>有所改善</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778"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778" w:type="dxa"/>
            <w:vAlign w:val="center"/>
          </w:tcPr>
          <w:p>
            <w:pPr>
              <w:spacing w:line="240" w:lineRule="auto"/>
              <w:ind w:firstLine="420"/>
              <w:jc w:val="center"/>
              <w:rPr>
                <w:rFonts w:ascii="仿宋_GB2312" w:eastAsia="仿宋_GB2312"/>
                <w:kern w:val="0"/>
              </w:rPr>
            </w:pP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提高人民群众文化活动，提升基本公共文化服务水平，提高 文化遗产全民保护意识</w:t>
            </w:r>
          </w:p>
        </w:tc>
        <w:tc>
          <w:tcPr>
            <w:tcW w:w="1298"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rPr>
              <w:t>长期持续</w:t>
            </w:r>
          </w:p>
        </w:tc>
        <w:tc>
          <w:tcPr>
            <w:tcW w:w="1269" w:type="dxa"/>
            <w:vAlign w:val="center"/>
          </w:tcPr>
          <w:p>
            <w:pPr>
              <w:spacing w:line="240" w:lineRule="auto"/>
              <w:ind w:firstLine="210" w:firstLineChars="100"/>
              <w:jc w:val="both"/>
              <w:rPr>
                <w:rFonts w:ascii="仿宋_GB2312" w:eastAsia="仿宋_GB2312"/>
                <w:kern w:val="0"/>
              </w:rPr>
            </w:pPr>
            <w:r>
              <w:rPr>
                <w:rFonts w:hint="eastAsia" w:ascii="仿宋_GB2312" w:eastAsia="仿宋_GB2312"/>
                <w:kern w:val="0"/>
              </w:rPr>
              <w:t>长期持续</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778"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778" w:type="dxa"/>
            <w:vAlign w:val="center"/>
          </w:tcPr>
          <w:p>
            <w:pPr>
              <w:spacing w:line="240" w:lineRule="auto"/>
              <w:ind w:firstLine="420"/>
              <w:jc w:val="center"/>
              <w:rPr>
                <w:rFonts w:ascii="仿宋_GB2312" w:eastAsia="仿宋_GB2312"/>
                <w:kern w:val="0"/>
              </w:rPr>
            </w:pP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读者满意度</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98%≥</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98%</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7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778" w:type="dxa"/>
            <w:vAlign w:val="center"/>
          </w:tcPr>
          <w:p>
            <w:pPr>
              <w:spacing w:line="240" w:lineRule="auto"/>
              <w:ind w:firstLine="420"/>
              <w:jc w:val="center"/>
              <w:rPr>
                <w:rFonts w:ascii="仿宋_GB2312" w:eastAsia="仿宋_GB2312"/>
                <w:kern w:val="0"/>
              </w:rPr>
            </w:pP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778" w:type="dxa"/>
            <w:vAlign w:val="center"/>
          </w:tcPr>
          <w:p>
            <w:pPr>
              <w:spacing w:line="240" w:lineRule="auto"/>
              <w:ind w:firstLine="420"/>
              <w:jc w:val="center"/>
              <w:rPr>
                <w:rFonts w:ascii="仿宋_GB2312" w:eastAsia="仿宋_GB2312"/>
                <w:kern w:val="0"/>
              </w:rPr>
            </w:pP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预算批复金额</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164.01</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190.65</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7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对社会发展可能造成的负面影响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778"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对自然生态环境造成的负面影响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778"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514"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7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514"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35"/>
          <w:szCs w:val="35"/>
          <w:lang w:val="en-US" w:eastAsia="zh-CN" w:bidi="ar-SA"/>
        </w:rPr>
        <w:t xml:space="preserve"> </w:t>
      </w: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何晓懿 </w:t>
      </w:r>
      <w:r>
        <w:rPr>
          <w:rFonts w:ascii="仿宋_GB2312" w:hAnsi="宋体" w:eastAsia="仿宋_GB2312" w:cs="宋体"/>
          <w:snapToGrid w:val="0"/>
          <w:color w:val="000000"/>
          <w:sz w:val="21"/>
          <w:szCs w:val="21"/>
          <w:lang w:val="en-US" w:eastAsia="zh-CN" w:bidi="ar-SA"/>
        </w:rPr>
        <w:t xml:space="preserve">填报日期： </w:t>
      </w:r>
      <w:r>
        <w:rPr>
          <w:rFonts w:hint="eastAsia" w:ascii="仿宋_GB2312" w:hAnsi="宋体" w:eastAsia="仿宋_GB2312" w:cs="宋体"/>
          <w:snapToGrid w:val="0"/>
          <w:color w:val="000000"/>
          <w:sz w:val="21"/>
          <w:szCs w:val="21"/>
          <w:lang w:val="en-US" w:eastAsia="zh-CN" w:bidi="ar-SA"/>
        </w:rPr>
        <w:t>2022.6.1</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18973042676</w:t>
      </w:r>
      <w:r>
        <w:rPr>
          <w:rFonts w:ascii="仿宋_GB2312" w:hAnsi="宋体" w:eastAsia="仿宋_GB2312" w:cs="宋体"/>
          <w:snapToGrid w:val="0"/>
          <w:color w:val="000000"/>
          <w:sz w:val="21"/>
          <w:szCs w:val="21"/>
          <w:lang w:val="en-US" w:eastAsia="zh-CN" w:bidi="ar-SA"/>
        </w:rPr>
        <w:t xml:space="preserve">  单位负责人签字：</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中央补助地方图书馆免费开放专项资金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27</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27</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210" w:firstLineChars="10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216%</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27</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27</w:t>
            </w:r>
          </w:p>
        </w:tc>
        <w:tc>
          <w:tcPr>
            <w:tcW w:w="809" w:type="dxa"/>
            <w:vAlign w:val="center"/>
          </w:tcPr>
          <w:p>
            <w:pPr>
              <w:spacing w:line="240" w:lineRule="auto"/>
              <w:ind w:firstLine="420" w:firstLineChars="2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210" w:firstLineChars="100"/>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216%</w:t>
            </w:r>
          </w:p>
        </w:tc>
        <w:tc>
          <w:tcPr>
            <w:tcW w:w="1383"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c>
          <w:tcPr>
            <w:tcW w:w="1383"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4"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一、做好免费开放工作</w:t>
            </w: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1、做好图书馆的规范管理和免费开放工作，做好了春节、清明节、五一等节、假日开放工作。上半年总馆累计接待读15000余人次，图书流通7000余册次。</w:t>
            </w: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2、用好用活屈子书院、新市等书院、图书馆、综合文化站等文化场所，开展号文化惠民活动，尽力满足人民群众的公共文化需求，已在韩少功文化馆进行采编，分类上架，下一步将继续完成屈子祠村图书馆分馆挂牌仪式、采编分类及上架。</w:t>
            </w: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二、积极配合好我市文明城市创建工作</w:t>
            </w: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走进社区。为进一步提高市民对创建全国文明城市的知晓率、参与率，我馆党员在我局统一组织下，在联点的归义镇高塘社区开展“支部进社区、党员进小区、共建文明城”志愿服务活动，向社区街边商户居民和过往的群众发放文明创建宣传手册及“城乡生活垃圾分类”宣传海报并耐心细致地讲解文明手册中关于社会主义核心价值观、文明城市概念、市民公共生活守则和城乡生活垃圾分类的重要性等相关内容，号召大家自觉遵守社会公德，培养良好的文明生活习惯，共同助力全市文明城市创建工作。同时号召大家从自己做起、从点滴做起，规范自己的一言一行、一举一动，发挥城市主人翁作用，做文明市民，为创建全国文明城市做出一份贡献。</w:t>
            </w: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三、积极开展丰富多样的阅读推广活动</w:t>
            </w: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1、携树德将邀请汨罗巫傩文明传承人孙浩老师来指导我们学习民风民俗龙舟文化，孙浩老师来图书馆现场指导，划龙舟是屈原故里最大的群众性集会，用划龙舟这样最古老最隆重的方式纪念屈原。</w:t>
            </w: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2、归义镇蓝精灵幼儿园小班组参观了汨罗市图书馆，利用图书、绘画和其他多种方式，引发幼儿对书籍、阅读和书写的兴趣。为此，汨罗市图书馆联合蓝精灵幼儿园开展了以“童年有书 未来有梦”为主题的图书线下活动。</w:t>
            </w: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3、承办了“悦读奋进新时代、共建书香文明城”世界读书日主题活动。全民阅读启动仪式、万人齐诵《天问》活动。</w:t>
            </w: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4、举办了“蓝墨水大讲堂”（一至三期）为促进我市基层公共文化事业发展，进一步的提高业务能力及农村文化大发展繁荣方面做出了贡献。</w:t>
            </w:r>
          </w:p>
        </w:tc>
        <w:tc>
          <w:tcPr>
            <w:tcW w:w="4140" w:type="dxa"/>
            <w:gridSpan w:val="4"/>
            <w:vAlign w:val="center"/>
          </w:tcPr>
          <w:p>
            <w:pPr>
              <w:shd w:val="clear" w:color="auto" w:fill="FFFFFF"/>
              <w:spacing w:line="441" w:lineRule="atLeast"/>
              <w:ind w:firstLine="600"/>
              <w:rPr>
                <w:rFonts w:hint="default" w:ascii="仿宋_GB2312" w:eastAsia="仿宋_GB2312"/>
                <w:kern w:val="0"/>
                <w:lang w:val="en-US" w:eastAsia="zh-CN"/>
              </w:rPr>
            </w:pPr>
            <w:r>
              <w:rPr>
                <w:rFonts w:hint="eastAsia" w:eastAsia="宋体"/>
                <w:lang w:val="en-US" w:eastAsia="zh-CN"/>
              </w:rPr>
              <w:t xml:space="preserve"> </w:t>
            </w:r>
            <w:r>
              <w:rPr>
                <w:rFonts w:hint="eastAsia" w:ascii="仿宋_GB2312" w:eastAsia="仿宋_GB2312"/>
                <w:kern w:val="0"/>
                <w:lang w:val="en-US" w:eastAsia="zh-CN"/>
              </w:rPr>
              <w:t xml:space="preserve"> </w:t>
            </w:r>
            <w:r>
              <w:rPr>
                <w:rFonts w:hint="eastAsia" w:ascii="仿宋_GB2312" w:eastAsia="仿宋_GB2312"/>
                <w:kern w:val="0"/>
                <w:lang w:eastAsia="zh-CN"/>
              </w:rPr>
              <w:t>项目绩效目标完成情况：一是汨罗市图书馆</w:t>
            </w:r>
            <w:r>
              <w:rPr>
                <w:rFonts w:hint="eastAsia" w:ascii="仿宋_GB2312" w:eastAsia="仿宋_GB2312"/>
                <w:kern w:val="0"/>
                <w:lang w:val="en-US" w:eastAsia="zh-CN"/>
              </w:rPr>
              <w:t>2022年</w:t>
            </w:r>
            <w:r>
              <w:rPr>
                <w:rFonts w:hint="eastAsia" w:ascii="仿宋_GB2312" w:eastAsia="仿宋_GB2312"/>
                <w:kern w:val="0"/>
                <w:lang w:eastAsia="zh-CN"/>
              </w:rPr>
              <w:t>被评为国家一级图书馆称号；二是通过</w:t>
            </w:r>
            <w:r>
              <w:rPr>
                <w:rFonts w:hint="eastAsia" w:ascii="仿宋_GB2312" w:eastAsia="仿宋_GB2312"/>
                <w:kern w:val="0"/>
                <w:lang w:val="en-US" w:eastAsia="zh-CN"/>
              </w:rPr>
              <w:t>2022年央补免费开放资金的使用</w:t>
            </w:r>
            <w:r>
              <w:rPr>
                <w:rFonts w:hint="eastAsia" w:ascii="仿宋_GB2312" w:eastAsia="仿宋_GB2312"/>
                <w:kern w:val="0"/>
                <w:lang w:eastAsia="zh-CN"/>
              </w:rPr>
              <w:t>，实现图书馆大数据查询、统计和维护，以及图书的上架、倒架、剔旧，搭配现有的工作购置解决了部分老旧图书下架保存，完成资源整合展示平台建设。</w:t>
            </w:r>
          </w:p>
          <w:p>
            <w:pPr>
              <w:spacing w:line="240" w:lineRule="auto"/>
              <w:ind w:firstLine="420"/>
              <w:jc w:val="center"/>
              <w:rPr>
                <w:rFonts w:hint="eastAsia" w:ascii="仿宋_GB2312" w:eastAsia="仿宋_GB2312"/>
                <w:kern w:val="0"/>
              </w:rPr>
            </w:pPr>
            <w:r>
              <w:rPr>
                <w:rFonts w:hint="eastAsia" w:ascii="仿宋_GB2312" w:eastAsia="仿宋_GB2312"/>
                <w:kern w:val="0"/>
              </w:rPr>
              <w:t>1、携树德将邀请汨罗巫傩文明传承人孙浩老师来指导我们学习民风民俗龙舟文化，孙浩老师来图书馆现场指导，划龙舟是屈原故里最大的群众性集会，用划龙舟这样最古老最隆重的方式纪念屈原。</w:t>
            </w:r>
          </w:p>
          <w:p>
            <w:pPr>
              <w:spacing w:line="240" w:lineRule="auto"/>
              <w:ind w:firstLine="420"/>
              <w:jc w:val="center"/>
              <w:rPr>
                <w:rFonts w:hint="eastAsia" w:ascii="仿宋_GB2312" w:eastAsia="仿宋_GB2312"/>
                <w:kern w:val="0"/>
              </w:rPr>
            </w:pPr>
            <w:r>
              <w:rPr>
                <w:rFonts w:hint="eastAsia" w:ascii="仿宋_GB2312" w:eastAsia="仿宋_GB2312"/>
                <w:kern w:val="0"/>
              </w:rPr>
              <w:t>2、归义镇蓝精灵幼儿园小班组参观了汨罗市图书馆，利用图书、绘画和其他多种方式，引发幼儿对书籍、阅读和书写的兴趣。为此，汨罗市图书馆联合蓝精灵幼儿园开展了以“童年有书 未来有梦”为主题的图书线下活动。3、承办了“悦读奋进新时代、共建书香文明城”世界读书日主题活动。全民阅读启动仪式、万人齐诵《天问》活动。</w:t>
            </w:r>
          </w:p>
          <w:p>
            <w:pPr>
              <w:spacing w:line="240" w:lineRule="auto"/>
              <w:ind w:firstLine="420"/>
              <w:jc w:val="center"/>
              <w:rPr>
                <w:rFonts w:hint="eastAsia" w:ascii="仿宋_GB2312" w:eastAsia="仿宋_GB2312"/>
                <w:kern w:val="0"/>
              </w:rPr>
            </w:pPr>
            <w:r>
              <w:rPr>
                <w:rFonts w:hint="eastAsia" w:ascii="仿宋_GB2312" w:eastAsia="仿宋_GB2312"/>
                <w:kern w:val="0"/>
              </w:rPr>
              <w:t>4、举办了“蓝墨水大讲堂”（一至三期）为促进我市基层公共文化事业发展，进一步的提高业务能力及农村文化大发展繁荣方面做出了贡献。</w:t>
            </w:r>
          </w:p>
          <w:p>
            <w:pPr>
              <w:spacing w:line="240" w:lineRule="auto"/>
              <w:ind w:firstLine="420"/>
              <w:jc w:val="center"/>
              <w:rPr>
                <w:rFonts w:ascii="仿宋_GB2312" w:hAnsi="宋体" w:eastAsia="仿宋_GB2312" w:cs="宋体"/>
                <w:kern w:val="0"/>
              </w:rPr>
            </w:pPr>
            <w:r>
              <w:rPr>
                <w:rFonts w:hint="eastAsia" w:ascii="仿宋_GB2312" w:eastAsia="仿宋_GB2312"/>
                <w:kern w:val="0"/>
              </w:rPr>
              <w:t>5、“悦读越心动”新书，好书推广活动、“阅读，请到图书馆”你选书，我买单活动、线上讲座展览活动，电子阅读app推广和汨罗市图书馆微信公众号推广。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2023年增加馆藏量5000册，免费开放时间为56小时/周世界读书日图书宣传周1次，举办4-6期专题讲座5次推进24小时自助图书馆建设</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5000册；56小时</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w:t>
            </w: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eastAsia="zh-CN"/>
              </w:rPr>
              <w:t>免费开放使</w:t>
            </w:r>
            <w:r>
              <w:rPr>
                <w:rFonts w:hint="eastAsia" w:ascii="仿宋_GB2312" w:eastAsia="仿宋_GB2312"/>
                <w:kern w:val="0"/>
              </w:rPr>
              <w:t>读者满意度全年目标达到90%&lt;公共图书馆&gt;《公共文化服务保障法》</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各项工作依法开展完成</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 xml:space="preserve">按上级文化主管部门规定进行 </w:t>
            </w:r>
            <w:r>
              <w:rPr>
                <w:rFonts w:hint="eastAsia" w:ascii="仿宋_GB2312" w:eastAsia="仿宋_GB2312"/>
                <w:kern w:val="0"/>
                <w:lang w:eastAsia="zh-CN"/>
              </w:rPr>
              <w:t>全</w:t>
            </w:r>
            <w:r>
              <w:rPr>
                <w:rFonts w:hint="eastAsia" w:ascii="仿宋_GB2312" w:eastAsia="仿宋_GB2312"/>
                <w:kern w:val="0"/>
              </w:rPr>
              <w:t>年</w:t>
            </w:r>
            <w:r>
              <w:rPr>
                <w:rFonts w:hint="eastAsia" w:ascii="仿宋_GB2312" w:eastAsia="仿宋_GB2312"/>
                <w:kern w:val="0"/>
                <w:lang w:eastAsia="zh-CN"/>
              </w:rPr>
              <w:t>免费为读者提供学习阅读环境</w:t>
            </w:r>
            <w:r>
              <w:rPr>
                <w:rFonts w:hint="eastAsia" w:ascii="仿宋_GB2312" w:eastAsia="仿宋_GB2312"/>
                <w:kern w:val="0"/>
              </w:rPr>
              <w:t>底全面完成目标任务</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免费开放有助于引导农民科技致富使群众了解与掌握更多的知识与技能</w:t>
            </w:r>
          </w:p>
        </w:tc>
        <w:tc>
          <w:tcPr>
            <w:tcW w:w="1099" w:type="dxa"/>
            <w:vAlign w:val="center"/>
          </w:tcPr>
          <w:p>
            <w:pPr>
              <w:spacing w:line="240" w:lineRule="auto"/>
              <w:ind w:firstLine="210" w:firstLineChars="10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有所提升</w:t>
            </w:r>
          </w:p>
        </w:tc>
        <w:tc>
          <w:tcPr>
            <w:tcW w:w="1099" w:type="dxa"/>
            <w:vAlign w:val="center"/>
          </w:tcPr>
          <w:p>
            <w:pPr>
              <w:spacing w:line="240" w:lineRule="auto"/>
              <w:ind w:firstLine="210" w:firstLineChars="10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有所提升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w:t>
            </w:r>
          </w:p>
        </w:tc>
        <w:tc>
          <w:tcPr>
            <w:tcW w:w="1383"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一是加强馆内业务培训二是提高服务质量三是提高绩效指标设置的准确性，提高图书馆工作的满意度提升整体形象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促进汨罗市图书事业全面发展，提升整体形象</w:t>
            </w:r>
          </w:p>
        </w:tc>
        <w:tc>
          <w:tcPr>
            <w:tcW w:w="1099" w:type="dxa"/>
            <w:vAlign w:val="center"/>
          </w:tcPr>
          <w:p>
            <w:pPr>
              <w:spacing w:line="240" w:lineRule="auto"/>
              <w:ind w:firstLine="210" w:firstLineChars="10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有所提升</w:t>
            </w:r>
          </w:p>
        </w:tc>
        <w:tc>
          <w:tcPr>
            <w:tcW w:w="1099" w:type="dxa"/>
            <w:vAlign w:val="center"/>
          </w:tcPr>
          <w:p>
            <w:pPr>
              <w:spacing w:line="240" w:lineRule="auto"/>
              <w:ind w:firstLine="210" w:firstLineChars="10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有所提升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w:t>
            </w:r>
          </w:p>
        </w:tc>
        <w:tc>
          <w:tcPr>
            <w:tcW w:w="1383"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一是加强馆内业务培训二是提高服务质量三是提高绩效指标设置的准确性，提高图书馆工作的满意度提升整体形象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生态环境改善情况</w:t>
            </w:r>
          </w:p>
        </w:tc>
        <w:tc>
          <w:tcPr>
            <w:tcW w:w="1099" w:type="dxa"/>
            <w:vAlign w:val="center"/>
          </w:tcPr>
          <w:p>
            <w:pPr>
              <w:spacing w:line="240" w:lineRule="auto"/>
              <w:ind w:firstLine="210" w:firstLineChars="10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有所改善</w:t>
            </w:r>
          </w:p>
        </w:tc>
        <w:tc>
          <w:tcPr>
            <w:tcW w:w="1099" w:type="dxa"/>
            <w:vAlign w:val="center"/>
          </w:tcPr>
          <w:p>
            <w:pPr>
              <w:spacing w:line="240" w:lineRule="auto"/>
              <w:ind w:firstLine="210" w:firstLineChars="10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有所改善</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rPr>
              <w:t>提高人民群众文化活动，提升基本公共文化服务水平</w:t>
            </w:r>
            <w:r>
              <w:rPr>
                <w:rFonts w:hint="eastAsia" w:ascii="仿宋_GB2312" w:eastAsia="仿宋_GB2312"/>
                <w:kern w:val="0"/>
                <w:lang w:eastAsia="zh-CN"/>
              </w:rPr>
              <w:t>，提供免费为读者服务。</w:t>
            </w:r>
          </w:p>
        </w:tc>
        <w:tc>
          <w:tcPr>
            <w:tcW w:w="1099" w:type="dxa"/>
            <w:vAlign w:val="center"/>
          </w:tcPr>
          <w:p>
            <w:pPr>
              <w:spacing w:line="240" w:lineRule="auto"/>
              <w:ind w:firstLine="210" w:firstLineChars="10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长期持续</w:t>
            </w:r>
          </w:p>
        </w:tc>
        <w:tc>
          <w:tcPr>
            <w:tcW w:w="1099" w:type="dxa"/>
            <w:vAlign w:val="center"/>
          </w:tcPr>
          <w:p>
            <w:pPr>
              <w:spacing w:line="240" w:lineRule="auto"/>
              <w:ind w:firstLine="210" w:firstLineChars="10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长期持续</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读者满意度</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98%≥</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98%</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预算批复金额</w:t>
            </w:r>
          </w:p>
        </w:tc>
        <w:tc>
          <w:tcPr>
            <w:tcW w:w="10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12.5</w:t>
            </w:r>
          </w:p>
        </w:tc>
        <w:tc>
          <w:tcPr>
            <w:tcW w:w="109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27.00</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对社会发展可能造成的负面影响</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对自然生态环境造成的负面影响</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填表人：何晓懿</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2022.6.1</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18973042676</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2年汨罗市图书馆</w:t>
      </w:r>
      <w:r>
        <w:rPr>
          <w:rFonts w:hint="eastAsia" w:ascii="方正小标宋简体" w:hAnsi="宋体" w:eastAsia="方正小标宋简体" w:cs="宋体"/>
          <w:kern w:val="0"/>
          <w:sz w:val="44"/>
          <w:szCs w:val="44"/>
          <w:lang w:eastAsia="zh-CN"/>
        </w:rPr>
        <w:t>单位整体支出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2023</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21</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hint="eastAsia" w:ascii="仿宋" w:hAnsi="仿宋" w:eastAsia="仿宋" w:cs="仿宋"/>
          <w:b/>
          <w:bCs/>
          <w:snapToGrid w:val="0"/>
          <w:color w:val="000000"/>
          <w:spacing w:val="18"/>
          <w:sz w:val="30"/>
          <w:szCs w:val="30"/>
          <w:lang w:val="en-US" w:eastAsia="zh-CN" w:bidi="ar-SA"/>
        </w:rPr>
        <w:t xml:space="preserve"> </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5"/>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p>
    <w:p>
      <w:pPr>
        <w:spacing w:before="130" w:line="221" w:lineRule="auto"/>
        <w:jc w:val="center"/>
        <w:rPr>
          <w:rFonts w:ascii="黑体" w:hAnsi="黑体" w:eastAsia="黑体" w:cs="黑体"/>
          <w:spacing w:val="16"/>
          <w:sz w:val="40"/>
          <w:szCs w:val="40"/>
        </w:rPr>
      </w:pPr>
    </w:p>
    <w:p>
      <w:pPr>
        <w:spacing w:before="130" w:line="221" w:lineRule="auto"/>
        <w:jc w:val="center"/>
        <w:rPr>
          <w:rFonts w:ascii="黑体" w:hAnsi="黑体" w:eastAsia="黑体" w:cs="黑体"/>
          <w:spacing w:val="16"/>
          <w:sz w:val="40"/>
          <w:szCs w:val="40"/>
        </w:rPr>
      </w:pPr>
    </w:p>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60"/>
          <w:sz w:val="40"/>
          <w:szCs w:val="40"/>
          <w:lang w:eastAsia="zh-CN"/>
        </w:rPr>
        <w:t>汨罗市图书馆</w:t>
      </w:r>
      <w:r>
        <w:rPr>
          <w:rFonts w:ascii="黑体" w:hAnsi="黑体" w:eastAsia="黑体" w:cs="黑体"/>
          <w:spacing w:val="16"/>
          <w:sz w:val="40"/>
          <w:szCs w:val="40"/>
        </w:rPr>
        <w:t>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spacing w:before="104" w:line="222" w:lineRule="auto"/>
        <w:ind w:left="560"/>
        <w:rPr>
          <w:rFonts w:ascii="黑体" w:hAnsi="黑体" w:eastAsia="黑体" w:cs="黑体"/>
          <w:spacing w:val="-6"/>
          <w:sz w:val="32"/>
          <w:szCs w:val="32"/>
          <w:lang w:eastAsia="zh-CN"/>
        </w:rPr>
      </w:pPr>
      <w:r>
        <w:rPr>
          <w:rFonts w:ascii="黑体" w:hAnsi="黑体" w:eastAsia="黑体" w:cs="黑体"/>
          <w:spacing w:val="-6"/>
          <w:sz w:val="32"/>
          <w:szCs w:val="32"/>
          <w:lang w:eastAsia="zh-CN"/>
        </w:rPr>
        <w:t>一、</w:t>
      </w:r>
      <w:r>
        <w:rPr>
          <w:rFonts w:hint="eastAsia" w:ascii="黑体" w:hAnsi="黑体" w:eastAsia="黑体" w:cs="黑体"/>
          <w:spacing w:val="-6"/>
          <w:sz w:val="32"/>
          <w:szCs w:val="32"/>
          <w:lang w:eastAsia="zh-CN"/>
        </w:rPr>
        <w:t>汨罗市图书馆</w:t>
      </w:r>
      <w:r>
        <w:rPr>
          <w:rFonts w:ascii="黑体" w:hAnsi="黑体" w:eastAsia="黑体" w:cs="黑体"/>
          <w:spacing w:val="-6"/>
          <w:sz w:val="32"/>
          <w:szCs w:val="32"/>
          <w:lang w:eastAsia="zh-CN"/>
        </w:rPr>
        <w:t>单位基本情况</w:t>
      </w:r>
    </w:p>
    <w:p>
      <w:pPr>
        <w:pStyle w:val="11"/>
        <w:spacing w:line="600" w:lineRule="exact"/>
        <w:ind w:firstLine="600"/>
        <w:jc w:val="left"/>
        <w:rPr>
          <w:rFonts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单位</w:t>
      </w:r>
      <w:r>
        <w:rPr>
          <w:rFonts w:hint="eastAsia" w:ascii="黑体" w:hAnsi="黑体" w:eastAsia="黑体" w:cs="黑体"/>
          <w:sz w:val="30"/>
          <w:szCs w:val="30"/>
        </w:rPr>
        <w:t>职责</w:t>
      </w:r>
    </w:p>
    <w:p>
      <w:pPr>
        <w:shd w:val="clear" w:color="auto" w:fill="FFFFFF"/>
        <w:spacing w:line="441" w:lineRule="atLeast"/>
        <w:ind w:firstLine="600"/>
        <w:rPr>
          <w:rFonts w:ascii="宋体" w:hAnsi="宋体" w:eastAsia="宋体" w:cs="Times New Roman"/>
          <w:sz w:val="30"/>
          <w:szCs w:val="30"/>
          <w:lang w:eastAsia="zh-CN"/>
        </w:rPr>
      </w:pPr>
      <w:r>
        <w:rPr>
          <w:rFonts w:hint="eastAsia" w:ascii="宋体" w:hAnsi="宋体" w:eastAsia="宋体" w:cs="宋体"/>
          <w:sz w:val="30"/>
          <w:szCs w:val="30"/>
          <w:lang w:eastAsia="zh-CN"/>
        </w:rPr>
        <w:t>（一）</w:t>
      </w:r>
      <w:r>
        <w:rPr>
          <w:rFonts w:hint="eastAsia" w:ascii="宋体" w:hAnsi="宋体" w:eastAsia="宋体" w:cs="Times New Roman"/>
          <w:sz w:val="30"/>
          <w:szCs w:val="30"/>
          <w:lang w:eastAsia="zh-CN"/>
        </w:rPr>
        <w:t>我单位全称为汨罗市图书馆其职责是保存借阅图书资料，促进社会经济文化发展。（图书、文献、报刊）采编与储藏，图书资料借阅。</w:t>
      </w:r>
    </w:p>
    <w:p>
      <w:pPr>
        <w:spacing w:line="600" w:lineRule="exact"/>
        <w:ind w:firstLine="600" w:firstLineChars="200"/>
        <w:rPr>
          <w:rFonts w:ascii="宋体" w:hAnsi="宋体" w:eastAsia="宋体" w:cs="宋体"/>
          <w:sz w:val="30"/>
          <w:szCs w:val="30"/>
          <w:lang w:eastAsia="zh-CN"/>
        </w:rPr>
      </w:pPr>
      <w:r>
        <w:rPr>
          <w:rFonts w:hint="eastAsia" w:ascii="宋体" w:hAnsi="宋体" w:eastAsia="宋体" w:cs="宋体"/>
          <w:sz w:val="30"/>
          <w:szCs w:val="30"/>
          <w:lang w:eastAsia="zh-CN"/>
        </w:rPr>
        <w:t>（二）汨罗市图书馆属全额编制的事业单位，隶属汨罗市文化旅游广电局二级单位。会计属独立会计核算单位。共有人数26人，其中：在职人员15人，退休人员9人，劳务派遣临时工1人。</w:t>
      </w:r>
    </w:p>
    <w:p>
      <w:pPr>
        <w:shd w:val="clear" w:color="auto" w:fill="FFFFFF"/>
        <w:spacing w:line="441" w:lineRule="atLeast"/>
        <w:ind w:firstLine="600"/>
        <w:rPr>
          <w:rFonts w:ascii="宋体" w:hAnsi="宋体" w:eastAsia="宋体" w:cs="Times New Roman"/>
          <w:sz w:val="30"/>
          <w:szCs w:val="30"/>
          <w:lang w:eastAsia="zh-CN"/>
        </w:rPr>
      </w:pPr>
    </w:p>
    <w:p>
      <w:pPr>
        <w:spacing w:line="600" w:lineRule="exact"/>
        <w:ind w:firstLine="600" w:firstLineChars="200"/>
        <w:rPr>
          <w:rFonts w:ascii="黑体" w:hAnsi="黑体" w:eastAsia="黑体" w:cs="黑体"/>
          <w:bCs/>
          <w:sz w:val="30"/>
          <w:szCs w:val="30"/>
          <w:lang w:eastAsia="zh-CN"/>
        </w:rPr>
      </w:pPr>
      <w:r>
        <w:rPr>
          <w:rFonts w:hint="eastAsia" w:ascii="黑体" w:hAnsi="黑体" w:eastAsia="黑体" w:cs="黑体"/>
          <w:bCs/>
          <w:sz w:val="30"/>
          <w:szCs w:val="30"/>
          <w:lang w:eastAsia="zh-CN"/>
        </w:rPr>
        <w:t>二、机构设置及决算单位构成</w:t>
      </w:r>
    </w:p>
    <w:p>
      <w:pPr>
        <w:spacing w:line="600" w:lineRule="exact"/>
        <w:ind w:firstLine="600" w:firstLineChars="200"/>
        <w:rPr>
          <w:rFonts w:ascii="宋体" w:hAnsi="宋体" w:eastAsia="宋体" w:cs="宋体"/>
          <w:sz w:val="30"/>
          <w:szCs w:val="30"/>
          <w:lang w:eastAsia="zh-CN"/>
        </w:rPr>
      </w:pPr>
      <w:r>
        <w:rPr>
          <w:rFonts w:hint="eastAsia" w:ascii="宋体" w:hAnsi="宋体" w:eastAsia="宋体" w:cs="Times New Roman"/>
          <w:sz w:val="30"/>
          <w:szCs w:val="30"/>
          <w:lang w:eastAsia="zh-CN"/>
        </w:rPr>
        <w:t>（</w:t>
      </w:r>
      <w:r>
        <w:rPr>
          <w:rFonts w:hint="eastAsia" w:ascii="宋体" w:hAnsi="宋体" w:eastAsia="宋体" w:cs="宋体"/>
          <w:sz w:val="30"/>
          <w:szCs w:val="30"/>
          <w:lang w:eastAsia="zh-CN"/>
        </w:rPr>
        <w:t>一）内设机构设置：汨罗市图书馆单位内设机构包括：少儿室、综合阅览室、综合外借室、地方文献室内设机构不独立核算。</w:t>
      </w:r>
    </w:p>
    <w:p>
      <w:pPr>
        <w:shd w:val="clear" w:color="auto" w:fill="FFFFFF"/>
        <w:spacing w:line="441" w:lineRule="atLeast"/>
        <w:ind w:firstLine="600" w:firstLineChars="200"/>
        <w:rPr>
          <w:rFonts w:ascii="宋体" w:hAnsi="宋体" w:eastAsia="宋体" w:cs="宋体"/>
          <w:sz w:val="30"/>
          <w:szCs w:val="30"/>
          <w:lang w:eastAsia="zh-CN"/>
        </w:rPr>
      </w:pPr>
      <w:r>
        <w:rPr>
          <w:rFonts w:hint="eastAsia" w:ascii="宋体" w:hAnsi="宋体" w:eastAsia="宋体" w:cs="宋体"/>
          <w:sz w:val="30"/>
          <w:szCs w:val="30"/>
          <w:lang w:eastAsia="zh-CN"/>
        </w:rPr>
        <w:t>（二）决算单位构成。汨罗市图书馆单位2023年部门决算汇总公开单位构成包括：汨罗市汨罗市图书馆单位本级构成。</w:t>
      </w:r>
    </w:p>
    <w:p>
      <w:pPr>
        <w:spacing w:before="104" w:line="222" w:lineRule="auto"/>
        <w:ind w:left="560"/>
        <w:rPr>
          <w:rFonts w:ascii="黑体" w:hAnsi="黑体" w:eastAsia="黑体" w:cs="黑体"/>
          <w:sz w:val="32"/>
          <w:szCs w:val="32"/>
          <w:lang w:eastAsia="zh-CN"/>
        </w:rPr>
      </w:pPr>
    </w:p>
    <w:p>
      <w:pPr>
        <w:spacing w:before="222" w:line="580" w:lineRule="exact"/>
        <w:ind w:left="560"/>
        <w:rPr>
          <w:rFonts w:ascii="黑体" w:hAnsi="黑体" w:eastAsia="黑体" w:cs="黑体"/>
          <w:spacing w:val="-1"/>
          <w:position w:val="19"/>
          <w:sz w:val="32"/>
          <w:szCs w:val="32"/>
          <w:lang w:eastAsia="zh-CN"/>
        </w:rPr>
      </w:pPr>
      <w:r>
        <w:rPr>
          <w:rFonts w:ascii="黑体" w:hAnsi="黑体" w:eastAsia="黑体" w:cs="黑体"/>
          <w:spacing w:val="-1"/>
          <w:position w:val="19"/>
          <w:sz w:val="32"/>
          <w:szCs w:val="32"/>
          <w:lang w:eastAsia="zh-CN"/>
        </w:rPr>
        <w:t>二、一般公共预算支出情况</w:t>
      </w:r>
    </w:p>
    <w:p>
      <w:pPr>
        <w:pStyle w:val="3"/>
        <w:spacing w:before="1" w:line="225" w:lineRule="auto"/>
        <w:ind w:left="750"/>
        <w:rPr>
          <w:spacing w:val="-13"/>
          <w:sz w:val="32"/>
          <w:szCs w:val="32"/>
          <w:lang w:eastAsia="zh-CN"/>
        </w:rPr>
      </w:pPr>
      <w:r>
        <w:rPr>
          <w:rFonts w:ascii="楷体" w:hAnsi="楷体" w:eastAsia="楷体" w:cs="楷体"/>
          <w:spacing w:val="-13"/>
          <w:sz w:val="32"/>
          <w:szCs w:val="32"/>
          <w:lang w:eastAsia="zh-CN"/>
        </w:rPr>
        <w:t>(一)</w:t>
      </w:r>
      <w:r>
        <w:rPr>
          <w:spacing w:val="-13"/>
          <w:sz w:val="32"/>
          <w:szCs w:val="32"/>
          <w:lang w:eastAsia="zh-CN"/>
        </w:rPr>
        <w:t>基本支出情况</w:t>
      </w:r>
    </w:p>
    <w:p>
      <w:pPr>
        <w:shd w:val="clear" w:color="auto" w:fill="FFFFFF"/>
        <w:spacing w:line="441" w:lineRule="atLeast"/>
        <w:ind w:firstLine="600"/>
        <w:rPr>
          <w:rFonts w:ascii="宋体" w:hAnsi="宋体" w:eastAsia="宋体" w:cs="宋体"/>
          <w:sz w:val="30"/>
          <w:szCs w:val="30"/>
          <w:lang w:eastAsia="zh-CN"/>
        </w:rPr>
      </w:pPr>
      <w:r>
        <w:rPr>
          <w:rFonts w:hint="eastAsia" w:ascii="宋体" w:hAnsi="宋体" w:eastAsia="宋体" w:cs="宋体"/>
          <w:sz w:val="30"/>
          <w:szCs w:val="30"/>
          <w:lang w:eastAsia="zh-CN"/>
        </w:rPr>
        <w:t>2023年度收入合计1</w:t>
      </w:r>
      <w:r>
        <w:rPr>
          <w:rFonts w:hint="eastAsia" w:ascii="宋体" w:hAnsi="宋体" w:eastAsia="宋体" w:cs="宋体"/>
          <w:sz w:val="30"/>
          <w:szCs w:val="30"/>
          <w:lang w:val="en-US" w:eastAsia="zh-CN"/>
        </w:rPr>
        <w:t>86.25</w:t>
      </w:r>
      <w:r>
        <w:rPr>
          <w:rFonts w:hint="eastAsia" w:ascii="宋体" w:hAnsi="宋体" w:eastAsia="宋体" w:cs="宋体"/>
          <w:sz w:val="30"/>
          <w:szCs w:val="30"/>
          <w:lang w:eastAsia="zh-CN"/>
        </w:rPr>
        <w:t>万元，其中：财政拨款收入1</w:t>
      </w:r>
      <w:r>
        <w:rPr>
          <w:rFonts w:hint="eastAsia" w:ascii="宋体" w:hAnsi="宋体" w:eastAsia="宋体" w:cs="宋体"/>
          <w:sz w:val="30"/>
          <w:szCs w:val="30"/>
          <w:lang w:val="en-US" w:eastAsia="zh-CN"/>
        </w:rPr>
        <w:t>86.25</w:t>
      </w:r>
      <w:r>
        <w:rPr>
          <w:rFonts w:hint="eastAsia" w:ascii="宋体" w:hAnsi="宋体" w:eastAsia="宋体" w:cs="宋体"/>
          <w:sz w:val="30"/>
          <w:szCs w:val="30"/>
          <w:lang w:eastAsia="zh-CN"/>
        </w:rPr>
        <w:t>万元，占100%；上级补助收入0万元，占0%；事业收入0万元，占0%；经营收入0万元，占0%；附属单位上缴收入0万元，占0%；其他收入0万元，占0%。</w:t>
      </w:r>
    </w:p>
    <w:p>
      <w:pPr>
        <w:shd w:val="clear" w:color="auto" w:fill="FFFFFF"/>
        <w:spacing w:line="441" w:lineRule="atLeast"/>
        <w:ind w:firstLine="600"/>
        <w:rPr>
          <w:rFonts w:ascii="Times New Roman" w:hAnsi="Times New Roman" w:eastAsia="宋体" w:cs="Times New Roman"/>
          <w:color w:val="555555"/>
          <w:lang w:eastAsia="zh-CN"/>
        </w:rPr>
      </w:pPr>
      <w:r>
        <w:rPr>
          <w:rFonts w:hint="eastAsia" w:ascii="宋体" w:hAnsi="宋体" w:eastAsia="宋体" w:cs="Times New Roman"/>
          <w:sz w:val="30"/>
          <w:szCs w:val="30"/>
          <w:lang w:eastAsia="zh-CN"/>
        </w:rPr>
        <w:t>2023年度支出合计1</w:t>
      </w:r>
      <w:r>
        <w:rPr>
          <w:rFonts w:hint="eastAsia" w:ascii="宋体" w:hAnsi="宋体" w:eastAsia="宋体" w:cs="Times New Roman"/>
          <w:sz w:val="30"/>
          <w:szCs w:val="30"/>
          <w:lang w:val="en-US" w:eastAsia="zh-CN"/>
        </w:rPr>
        <w:t>86.25</w:t>
      </w:r>
      <w:r>
        <w:rPr>
          <w:rFonts w:hint="eastAsia" w:ascii="宋体" w:hAnsi="宋体" w:eastAsia="宋体" w:cs="Times New Roman"/>
          <w:sz w:val="30"/>
          <w:szCs w:val="30"/>
          <w:lang w:eastAsia="zh-CN"/>
        </w:rPr>
        <w:t>万元，其中：基本支出1</w:t>
      </w:r>
      <w:r>
        <w:rPr>
          <w:rFonts w:hint="eastAsia" w:ascii="宋体" w:hAnsi="宋体" w:eastAsia="宋体" w:cs="Times New Roman"/>
          <w:sz w:val="30"/>
          <w:szCs w:val="30"/>
          <w:lang w:val="en-US" w:eastAsia="zh-CN"/>
        </w:rPr>
        <w:t>59.25</w:t>
      </w:r>
      <w:r>
        <w:rPr>
          <w:rFonts w:hint="eastAsia" w:ascii="宋体" w:hAnsi="宋体" w:eastAsia="宋体" w:cs="Times New Roman"/>
          <w:sz w:val="30"/>
          <w:szCs w:val="30"/>
          <w:lang w:eastAsia="zh-CN"/>
        </w:rPr>
        <w:t>万元，占</w:t>
      </w:r>
      <w:r>
        <w:rPr>
          <w:rFonts w:hint="eastAsia" w:ascii="宋体" w:hAnsi="宋体" w:eastAsia="宋体" w:cs="Times New Roman"/>
          <w:sz w:val="30"/>
          <w:szCs w:val="30"/>
          <w:lang w:val="en-US" w:eastAsia="zh-CN"/>
        </w:rPr>
        <w:t>85.51</w:t>
      </w:r>
      <w:r>
        <w:rPr>
          <w:rFonts w:hint="eastAsia" w:ascii="宋体" w:hAnsi="宋体" w:eastAsia="宋体" w:cs="Times New Roman"/>
          <w:sz w:val="30"/>
          <w:szCs w:val="30"/>
          <w:lang w:eastAsia="zh-CN"/>
        </w:rPr>
        <w:t>%；项目支出</w:t>
      </w:r>
      <w:r>
        <w:rPr>
          <w:rFonts w:hint="eastAsia" w:ascii="宋体" w:hAnsi="宋体" w:eastAsia="宋体" w:cs="Times New Roman"/>
          <w:sz w:val="30"/>
          <w:szCs w:val="30"/>
          <w:lang w:val="en-US" w:eastAsia="zh-CN"/>
        </w:rPr>
        <w:t>27</w:t>
      </w:r>
      <w:r>
        <w:rPr>
          <w:rFonts w:hint="eastAsia" w:ascii="宋体" w:hAnsi="宋体" w:eastAsia="宋体" w:cs="Times New Roman"/>
          <w:sz w:val="30"/>
          <w:szCs w:val="30"/>
          <w:lang w:eastAsia="zh-CN"/>
        </w:rPr>
        <w:t>万元，占</w:t>
      </w:r>
      <w:r>
        <w:rPr>
          <w:rFonts w:hint="eastAsia" w:ascii="宋体" w:hAnsi="宋体" w:eastAsia="宋体" w:cs="Times New Roman"/>
          <w:sz w:val="30"/>
          <w:szCs w:val="30"/>
          <w:lang w:val="en-US" w:eastAsia="zh-CN"/>
        </w:rPr>
        <w:t>14.49</w:t>
      </w:r>
      <w:r>
        <w:rPr>
          <w:rFonts w:hint="eastAsia" w:ascii="宋体" w:hAnsi="宋体" w:eastAsia="宋体" w:cs="Times New Roman"/>
          <w:sz w:val="30"/>
          <w:szCs w:val="30"/>
          <w:lang w:eastAsia="zh-CN"/>
        </w:rPr>
        <w:t>%；上缴上级支出0万元，占0%；经营支出0万元，占0%；对附属单位补助支出0万元，占0%。</w:t>
      </w:r>
    </w:p>
    <w:p>
      <w:pPr>
        <w:pStyle w:val="3"/>
        <w:spacing w:before="1" w:line="225" w:lineRule="auto"/>
        <w:ind w:left="750"/>
        <w:rPr>
          <w:sz w:val="32"/>
          <w:szCs w:val="32"/>
          <w:lang w:eastAsia="zh-CN"/>
        </w:rPr>
      </w:pPr>
    </w:p>
    <w:p>
      <w:pPr>
        <w:spacing w:before="222" w:line="580" w:lineRule="exact"/>
        <w:ind w:left="560"/>
        <w:rPr>
          <w:rFonts w:ascii="黑体" w:hAnsi="黑体" w:eastAsia="黑体" w:cs="黑体"/>
          <w:spacing w:val="-1"/>
          <w:position w:val="19"/>
          <w:sz w:val="32"/>
          <w:szCs w:val="32"/>
          <w:lang w:eastAsia="zh-CN"/>
        </w:rPr>
      </w:pPr>
    </w:p>
    <w:p>
      <w:pPr>
        <w:shd w:val="clear" w:color="auto" w:fill="FFFFFF"/>
        <w:spacing w:line="441" w:lineRule="atLeast"/>
        <w:ind w:firstLine="600"/>
        <w:rPr>
          <w:rFonts w:ascii="Times New Roman" w:hAnsi="Times New Roman" w:eastAsia="宋体" w:cs="Times New Roman"/>
          <w:color w:val="555555"/>
          <w:lang w:eastAsia="zh-CN"/>
        </w:rPr>
      </w:pPr>
      <w:r>
        <w:rPr>
          <w:rFonts w:ascii="楷体" w:hAnsi="楷体" w:eastAsia="楷体" w:cs="楷体"/>
          <w:spacing w:val="5"/>
          <w:sz w:val="32"/>
          <w:szCs w:val="32"/>
          <w:lang w:eastAsia="zh-CN"/>
        </w:rPr>
        <w:t xml:space="preserve"> (二)</w:t>
      </w:r>
      <w:r>
        <w:rPr>
          <w:rFonts w:hint="eastAsia" w:ascii="宋体" w:hAnsi="宋体" w:eastAsia="宋体" w:cs="宋体"/>
          <w:spacing w:val="5"/>
          <w:sz w:val="32"/>
          <w:szCs w:val="32"/>
          <w:lang w:eastAsia="zh-CN"/>
        </w:rPr>
        <w:t>项目支出情况</w:t>
      </w:r>
    </w:p>
    <w:p>
      <w:pPr>
        <w:spacing w:before="204" w:line="222" w:lineRule="auto"/>
        <w:ind w:left="564"/>
        <w:rPr>
          <w:rFonts w:ascii="黑体" w:hAnsi="黑体" w:eastAsia="黑体" w:cs="黑体"/>
          <w:b/>
          <w:bCs/>
          <w:spacing w:val="-13"/>
          <w:sz w:val="32"/>
          <w:szCs w:val="32"/>
          <w:lang w:eastAsia="zh-CN"/>
        </w:rPr>
      </w:pPr>
      <w:r>
        <w:rPr>
          <w:rFonts w:ascii="黑体" w:hAnsi="黑体" w:eastAsia="黑体" w:cs="黑体"/>
          <w:b/>
          <w:bCs/>
          <w:spacing w:val="-13"/>
          <w:sz w:val="32"/>
          <w:szCs w:val="32"/>
          <w:lang w:eastAsia="zh-CN"/>
        </w:rPr>
        <w:t>三、政府性基金预算支出情况</w:t>
      </w:r>
    </w:p>
    <w:p>
      <w:pPr>
        <w:pStyle w:val="12"/>
        <w:spacing w:line="600" w:lineRule="exact"/>
        <w:ind w:firstLine="600" w:firstLineChars="200"/>
        <w:rPr>
          <w:rFonts w:ascii="宋体" w:hAnsi="宋体" w:eastAsia="宋体" w:cs="宋体"/>
          <w:snapToGrid w:val="0"/>
          <w:color w:val="000000"/>
          <w:kern w:val="0"/>
          <w:sz w:val="30"/>
          <w:szCs w:val="21"/>
          <w:lang w:val="en-US" w:eastAsia="zh-CN" w:bidi="ar-SA"/>
        </w:rPr>
      </w:pPr>
      <w:r>
        <w:rPr>
          <w:rFonts w:hint="eastAsia" w:ascii="宋体" w:hAnsi="宋体" w:eastAsia="宋体" w:cs="宋体"/>
          <w:sz w:val="30"/>
          <w:szCs w:val="30"/>
        </w:rPr>
        <w:t>2023年度政府性基金预算财政拨款收入0万元；年初结转和结余0万元；支出0万元，其中基本支出0万元，项目支出0万元；年末结转</w:t>
      </w:r>
      <w:r>
        <w:rPr>
          <w:rFonts w:hint="eastAsia" w:ascii="宋体" w:hAnsi="宋体" w:eastAsia="宋体" w:cs="宋体"/>
          <w:snapToGrid w:val="0"/>
          <w:color w:val="000000"/>
          <w:kern w:val="0"/>
          <w:sz w:val="30"/>
          <w:szCs w:val="21"/>
          <w:lang w:val="en-US" w:eastAsia="zh-CN" w:bidi="ar-SA"/>
        </w:rPr>
        <w:t>和结余0万元。</w:t>
      </w:r>
    </w:p>
    <w:p>
      <w:pPr>
        <w:shd w:val="clear" w:color="auto" w:fill="FFFFFF"/>
        <w:spacing w:line="441" w:lineRule="atLeast"/>
        <w:ind w:firstLine="600"/>
        <w:rPr>
          <w:rFonts w:ascii="宋体" w:hAnsi="宋体" w:eastAsia="宋体" w:cs="宋体"/>
          <w:snapToGrid w:val="0"/>
          <w:color w:val="000000"/>
          <w:kern w:val="0"/>
          <w:sz w:val="30"/>
          <w:szCs w:val="21"/>
          <w:lang w:val="en-US" w:eastAsia="zh-CN" w:bidi="ar-SA"/>
        </w:rPr>
      </w:pPr>
      <w:r>
        <w:rPr>
          <w:rFonts w:hint="eastAsia" w:ascii="宋体" w:hAnsi="宋体" w:eastAsia="宋体" w:cs="宋体"/>
          <w:snapToGrid w:val="0"/>
          <w:color w:val="000000"/>
          <w:kern w:val="0"/>
          <w:sz w:val="30"/>
          <w:szCs w:val="21"/>
          <w:lang w:val="en-US" w:eastAsia="zh-CN" w:bidi="ar-SA"/>
        </w:rPr>
        <w:t>2023年度本单位无政府性基金收支。</w:t>
      </w:r>
    </w:p>
    <w:p>
      <w:pPr>
        <w:spacing w:before="226" w:line="590" w:lineRule="exact"/>
        <w:ind w:left="564"/>
        <w:rPr>
          <w:rFonts w:ascii="黑体" w:hAnsi="黑体" w:eastAsia="黑体" w:cs="黑体"/>
          <w:b/>
          <w:bCs/>
          <w:spacing w:val="-14"/>
          <w:position w:val="19"/>
          <w:sz w:val="32"/>
          <w:szCs w:val="32"/>
          <w:lang w:eastAsia="zh-CN"/>
        </w:rPr>
      </w:pPr>
      <w:r>
        <w:rPr>
          <w:rFonts w:ascii="黑体" w:hAnsi="黑体" w:eastAsia="黑体" w:cs="黑体"/>
          <w:b/>
          <w:bCs/>
          <w:spacing w:val="-14"/>
          <w:position w:val="19"/>
          <w:sz w:val="32"/>
          <w:szCs w:val="32"/>
          <w:lang w:eastAsia="zh-CN"/>
        </w:rPr>
        <w:t>四、国有资本经营预算支出情况</w:t>
      </w:r>
    </w:p>
    <w:p>
      <w:pPr>
        <w:spacing w:line="600" w:lineRule="exact"/>
        <w:ind w:firstLine="600"/>
        <w:rPr>
          <w:rFonts w:ascii="宋体" w:hAnsi="宋体" w:eastAsia="宋体" w:cs="宋体"/>
          <w:sz w:val="30"/>
          <w:lang w:eastAsia="zh-CN"/>
        </w:rPr>
      </w:pPr>
      <w:r>
        <w:rPr>
          <w:rFonts w:hint="eastAsia" w:ascii="宋体" w:hAnsi="宋体" w:eastAsia="宋体" w:cs="宋体"/>
          <w:sz w:val="30"/>
          <w:lang w:eastAsia="zh-CN"/>
        </w:rPr>
        <w:t>2023年度国有资本经营预算财政拨款收入0万元；年初结转和结余0万元；支出0万元，其中基本支出0万元，项目支出0万元；年末结转和结余0万元。</w:t>
      </w:r>
    </w:p>
    <w:p>
      <w:pPr>
        <w:spacing w:line="600" w:lineRule="exact"/>
        <w:ind w:firstLine="600"/>
        <w:rPr>
          <w:rFonts w:ascii="宋体" w:hAnsi="宋体" w:eastAsia="宋体" w:cs="宋体"/>
          <w:sz w:val="30"/>
          <w:lang w:eastAsia="zh-CN"/>
        </w:rPr>
      </w:pPr>
      <w:r>
        <w:rPr>
          <w:rFonts w:hint="eastAsia" w:ascii="宋体" w:hAnsi="宋体" w:eastAsia="宋体" w:cs="宋体"/>
          <w:sz w:val="30"/>
          <w:lang w:eastAsia="zh-CN"/>
        </w:rPr>
        <w:t>2023年度本单位无国有资本经营预算支出。</w:t>
      </w:r>
    </w:p>
    <w:p>
      <w:pPr>
        <w:spacing w:before="1" w:line="221" w:lineRule="auto"/>
        <w:ind w:left="564"/>
        <w:rPr>
          <w:rFonts w:ascii="黑体" w:hAnsi="黑体" w:eastAsia="黑体" w:cs="黑体"/>
          <w:sz w:val="32"/>
          <w:szCs w:val="32"/>
          <w:lang w:eastAsia="zh-CN"/>
        </w:rPr>
      </w:pPr>
      <w:r>
        <w:rPr>
          <w:rFonts w:ascii="黑体" w:hAnsi="黑体" w:eastAsia="黑体" w:cs="黑体"/>
          <w:b/>
          <w:bCs/>
          <w:spacing w:val="-8"/>
          <w:sz w:val="32"/>
          <w:szCs w:val="32"/>
          <w:lang w:eastAsia="zh-CN"/>
        </w:rPr>
        <w:t>五、社会保险基金预算支出情况</w:t>
      </w:r>
    </w:p>
    <w:p>
      <w:pPr>
        <w:spacing w:before="245" w:line="221" w:lineRule="auto"/>
        <w:ind w:left="564"/>
        <w:rPr>
          <w:rFonts w:ascii="黑体" w:hAnsi="黑体" w:eastAsia="黑体" w:cs="黑体"/>
          <w:b/>
          <w:bCs/>
          <w:spacing w:val="-9"/>
          <w:sz w:val="32"/>
          <w:szCs w:val="32"/>
          <w:lang w:eastAsia="zh-CN"/>
        </w:rPr>
      </w:pPr>
      <w:r>
        <w:rPr>
          <w:rFonts w:ascii="黑体" w:hAnsi="黑体" w:eastAsia="黑体" w:cs="黑体"/>
          <w:b/>
          <w:bCs/>
          <w:spacing w:val="-9"/>
          <w:sz w:val="32"/>
          <w:szCs w:val="32"/>
          <w:lang w:eastAsia="zh-CN"/>
        </w:rPr>
        <w:t>六、部门整体支出绩效情况</w:t>
      </w:r>
    </w:p>
    <w:p>
      <w:pPr>
        <w:pStyle w:val="12"/>
        <w:spacing w:line="600" w:lineRule="exact"/>
        <w:ind w:firstLine="602" w:firstLineChars="200"/>
        <w:rPr>
          <w:rFonts w:ascii="宋体" w:hAnsi="宋体" w:eastAsia="宋体" w:cs="宋体"/>
          <w:b/>
          <w:bCs/>
          <w:sz w:val="30"/>
          <w:szCs w:val="30"/>
        </w:rPr>
      </w:pPr>
      <w:r>
        <w:rPr>
          <w:rFonts w:hint="eastAsia" w:ascii="宋体" w:hAnsi="宋体" w:eastAsia="宋体" w:cs="宋体"/>
          <w:b/>
          <w:bCs/>
          <w:sz w:val="30"/>
          <w:szCs w:val="30"/>
        </w:rPr>
        <w:t>（一）绩效管理评价工作开展情况</w:t>
      </w:r>
    </w:p>
    <w:p>
      <w:pPr>
        <w:spacing w:line="600" w:lineRule="exact"/>
        <w:ind w:firstLine="600"/>
        <w:rPr>
          <w:rFonts w:ascii="宋体" w:hAnsi="宋体" w:eastAsia="宋体" w:cs="宋体"/>
          <w:sz w:val="30"/>
          <w:lang w:eastAsia="zh-CN"/>
        </w:rPr>
      </w:pPr>
      <w:r>
        <w:rPr>
          <w:rFonts w:ascii="宋体" w:hAnsi="宋体" w:eastAsia="宋体" w:cs="宋体"/>
          <w:sz w:val="30"/>
          <w:lang w:eastAsia="zh-CN"/>
        </w:rPr>
        <w:t>根据财政预算绩效管理要求，</w:t>
      </w:r>
      <w:r>
        <w:rPr>
          <w:rFonts w:hint="eastAsia" w:ascii="宋体" w:hAnsi="宋体" w:eastAsia="宋体" w:cs="宋体"/>
          <w:sz w:val="30"/>
          <w:lang w:eastAsia="zh-CN"/>
        </w:rPr>
        <w:t>我</w:t>
      </w:r>
      <w:r>
        <w:rPr>
          <w:rFonts w:ascii="宋体" w:hAnsi="宋体" w:eastAsia="宋体" w:cs="宋体"/>
          <w:sz w:val="30"/>
          <w:lang w:eastAsia="zh-CN"/>
        </w:rPr>
        <w:t>部门认真总结归纳支出的绩效目标完成情况</w:t>
      </w:r>
      <w:r>
        <w:rPr>
          <w:rFonts w:hint="eastAsia" w:ascii="宋体" w:hAnsi="宋体" w:eastAsia="宋体" w:cs="宋体"/>
          <w:sz w:val="30"/>
          <w:lang w:eastAsia="zh-CN"/>
        </w:rPr>
        <w:t>、</w:t>
      </w:r>
      <w:r>
        <w:rPr>
          <w:rFonts w:ascii="宋体" w:hAnsi="宋体" w:eastAsia="宋体" w:cs="宋体"/>
          <w:sz w:val="30"/>
          <w:lang w:eastAsia="zh-CN"/>
        </w:rPr>
        <w:t>实现产出和取得效益的情况。围绕</w:t>
      </w:r>
      <w:r>
        <w:rPr>
          <w:rFonts w:hint="eastAsia" w:ascii="宋体" w:hAnsi="宋体" w:eastAsia="宋体" w:cs="宋体"/>
          <w:sz w:val="30"/>
          <w:lang w:eastAsia="zh-CN"/>
        </w:rPr>
        <w:t>图书馆</w:t>
      </w:r>
      <w:r>
        <w:rPr>
          <w:rFonts w:ascii="宋体" w:hAnsi="宋体" w:eastAsia="宋体" w:cs="宋体"/>
          <w:sz w:val="30"/>
          <w:lang w:eastAsia="zh-CN"/>
        </w:rPr>
        <w:t>职责、行业发展规划，以预算资金管理为主线，总结</w:t>
      </w:r>
      <w:r>
        <w:rPr>
          <w:rFonts w:hint="eastAsia" w:ascii="宋体" w:hAnsi="宋体" w:eastAsia="宋体" w:cs="宋体"/>
          <w:sz w:val="30"/>
          <w:lang w:eastAsia="zh-CN"/>
        </w:rPr>
        <w:t>图书馆</w:t>
      </w:r>
      <w:r>
        <w:rPr>
          <w:rFonts w:ascii="宋体" w:hAnsi="宋体" w:eastAsia="宋体" w:cs="宋体"/>
          <w:sz w:val="30"/>
          <w:lang w:eastAsia="zh-CN"/>
        </w:rPr>
        <w:t>资产管理和开展业务情况，从运行成本、管理效率、履职效能、社会效应、可持续发展能力和服务对象满意度等方面，衡量</w:t>
      </w:r>
      <w:r>
        <w:rPr>
          <w:rFonts w:hint="eastAsia" w:ascii="宋体" w:hAnsi="宋体" w:eastAsia="宋体" w:cs="宋体"/>
          <w:sz w:val="30"/>
          <w:lang w:eastAsia="zh-CN"/>
        </w:rPr>
        <w:t>图书馆</w:t>
      </w:r>
      <w:r>
        <w:rPr>
          <w:rFonts w:ascii="宋体" w:hAnsi="宋体" w:eastAsia="宋体" w:cs="宋体"/>
          <w:sz w:val="30"/>
          <w:lang w:eastAsia="zh-CN"/>
        </w:rPr>
        <w:t>整体及核心业务实施效果。</w:t>
      </w:r>
    </w:p>
    <w:p>
      <w:pPr>
        <w:spacing w:line="600" w:lineRule="exact"/>
        <w:ind w:firstLine="600"/>
        <w:rPr>
          <w:rFonts w:ascii="宋体" w:hAnsi="宋体" w:eastAsia="宋体" w:cs="宋体"/>
          <w:sz w:val="30"/>
          <w:lang w:eastAsia="zh-CN"/>
        </w:rPr>
      </w:pPr>
      <w:r>
        <w:rPr>
          <w:rFonts w:ascii="宋体" w:hAnsi="宋体" w:eastAsia="宋体" w:cs="宋体"/>
          <w:sz w:val="30"/>
          <w:lang w:eastAsia="zh-CN"/>
        </w:rPr>
        <w:t>我</w:t>
      </w:r>
      <w:r>
        <w:rPr>
          <w:rFonts w:hint="eastAsia" w:ascii="宋体" w:hAnsi="宋体" w:eastAsia="宋体" w:cs="宋体"/>
          <w:sz w:val="30"/>
          <w:lang w:eastAsia="zh-CN"/>
        </w:rPr>
        <w:t>单位</w:t>
      </w:r>
      <w:r>
        <w:rPr>
          <w:rFonts w:ascii="宋体" w:hAnsi="宋体" w:eastAsia="宋体" w:cs="宋体"/>
          <w:sz w:val="30"/>
          <w:lang w:eastAsia="zh-CN"/>
        </w:rPr>
        <w:t>组织对</w:t>
      </w:r>
      <w:r>
        <w:rPr>
          <w:rFonts w:hint="eastAsia" w:ascii="宋体" w:hAnsi="宋体" w:eastAsia="宋体" w:cs="宋体"/>
          <w:sz w:val="30"/>
          <w:lang w:eastAsia="zh-CN"/>
        </w:rPr>
        <w:t>图书馆</w:t>
      </w:r>
      <w:r>
        <w:rPr>
          <w:rFonts w:ascii="宋体" w:hAnsi="宋体" w:eastAsia="宋体" w:cs="宋体"/>
          <w:sz w:val="30"/>
          <w:lang w:eastAsia="zh-CN"/>
        </w:rPr>
        <w:t>等</w:t>
      </w:r>
      <w:r>
        <w:rPr>
          <w:rFonts w:hint="eastAsia" w:ascii="宋体" w:hAnsi="宋体" w:eastAsia="宋体" w:cs="宋体"/>
          <w:sz w:val="30"/>
          <w:lang w:eastAsia="zh-CN"/>
        </w:rPr>
        <w:t>1</w:t>
      </w:r>
      <w:r>
        <w:rPr>
          <w:rFonts w:ascii="宋体" w:hAnsi="宋体" w:eastAsia="宋体" w:cs="宋体"/>
          <w:sz w:val="30"/>
          <w:lang w:eastAsia="zh-CN"/>
        </w:rPr>
        <w:t>个单位开展整体支出绩效评价，涉及一般公共预算支出</w:t>
      </w:r>
      <w:r>
        <w:rPr>
          <w:rFonts w:hint="eastAsia" w:ascii="宋体" w:hAnsi="宋体" w:eastAsia="宋体" w:cs="宋体"/>
          <w:sz w:val="30"/>
          <w:lang w:eastAsia="zh-CN"/>
        </w:rPr>
        <w:t>1</w:t>
      </w:r>
      <w:r>
        <w:rPr>
          <w:rFonts w:hint="eastAsia" w:ascii="宋体" w:hAnsi="宋体" w:eastAsia="宋体" w:cs="宋体"/>
          <w:sz w:val="30"/>
          <w:lang w:val="en-US" w:eastAsia="zh-CN"/>
        </w:rPr>
        <w:t>86.25</w:t>
      </w:r>
      <w:r>
        <w:rPr>
          <w:rFonts w:ascii="宋体" w:hAnsi="宋体" w:eastAsia="宋体" w:cs="宋体"/>
          <w:sz w:val="30"/>
          <w:lang w:eastAsia="zh-CN"/>
        </w:rPr>
        <w:t>万元，政府性基金预算支出</w:t>
      </w:r>
      <w:r>
        <w:rPr>
          <w:rFonts w:hint="eastAsia" w:ascii="宋体" w:hAnsi="宋体" w:eastAsia="宋体" w:cs="宋体"/>
          <w:sz w:val="30"/>
          <w:lang w:eastAsia="zh-CN"/>
        </w:rPr>
        <w:t>0</w:t>
      </w:r>
      <w:r>
        <w:rPr>
          <w:rFonts w:ascii="宋体" w:hAnsi="宋体" w:eastAsia="宋体" w:cs="宋体"/>
          <w:sz w:val="30"/>
          <w:lang w:eastAsia="zh-CN"/>
        </w:rPr>
        <w:t>万元。从评价情况来看，</w:t>
      </w:r>
      <w:r>
        <w:rPr>
          <w:rFonts w:hint="eastAsia" w:ascii="宋体" w:hAnsi="宋体" w:eastAsia="宋体" w:cs="宋体"/>
          <w:sz w:val="30"/>
          <w:lang w:eastAsia="zh-CN"/>
        </w:rPr>
        <w:t>一、业务方面： 1、深入推进全民阅读活动的有效开展，为“书香汨罗”建设营造良好氛围。开展全民阅读进学校、进社区、进园区、进服务中心活动，切实提升全民阅读的覆盖面和社会效益。开展讲座、展览、比赛、阅读推广等多种形式的公益性全民阅读活动，为“书香汨罗”建设贡献图书馆的力量。2、以图书馆数字化建设为引领，稳妥、完善推进图书馆总分馆制建设。加强图书馆数字化建设步伐，满足新时期读者对图书馆的需求，提高图书馆现代化服务效能。扎扎实实稳妥推进图书馆总分馆制建设，巩固图书馆公共文化服务均衡性发展成果。3、充分准备、高度重视第七次全国公共图书馆评估定级工作。查遗补漏、正视不足，以评促建，全面提升图书馆办馆条件和服务水平，确保我县图书馆评估更上一台阶被评为“国家一级图书馆”。</w:t>
      </w:r>
    </w:p>
    <w:p>
      <w:pPr>
        <w:spacing w:line="600" w:lineRule="exact"/>
        <w:ind w:firstLine="600"/>
        <w:rPr>
          <w:rFonts w:ascii="宋体" w:hAnsi="宋体" w:eastAsia="宋体" w:cs="宋体"/>
          <w:sz w:val="30"/>
          <w:lang w:eastAsia="zh-CN"/>
        </w:rPr>
      </w:pPr>
      <w:r>
        <w:rPr>
          <w:rFonts w:hint="eastAsia" w:ascii="宋体" w:hAnsi="宋体" w:eastAsia="宋体" w:cs="宋体"/>
          <w:sz w:val="30"/>
          <w:lang w:eastAsia="zh-CN"/>
        </w:rPr>
        <w:t>4、创新图书馆服务领域，融入文化旅游融合。</w:t>
      </w:r>
    </w:p>
    <w:p>
      <w:pPr>
        <w:spacing w:line="600" w:lineRule="exact"/>
        <w:ind w:firstLine="600"/>
        <w:rPr>
          <w:rFonts w:ascii="宋体" w:hAnsi="宋体" w:eastAsia="宋体" w:cs="宋体"/>
          <w:sz w:val="30"/>
          <w:lang w:eastAsia="zh-CN"/>
        </w:rPr>
      </w:pPr>
      <w:r>
        <w:rPr>
          <w:rFonts w:hint="eastAsia" w:ascii="宋体" w:hAnsi="宋体" w:eastAsia="宋体" w:cs="宋体"/>
          <w:sz w:val="30"/>
          <w:lang w:eastAsia="zh-CN"/>
        </w:rPr>
        <w:t>我部门组织对202</w:t>
      </w:r>
      <w:r>
        <w:rPr>
          <w:rFonts w:hint="eastAsia" w:ascii="宋体" w:hAnsi="宋体" w:eastAsia="宋体" w:cs="宋体"/>
          <w:sz w:val="30"/>
          <w:lang w:val="en-US" w:eastAsia="zh-CN"/>
        </w:rPr>
        <w:t>2</w:t>
      </w:r>
      <w:r>
        <w:rPr>
          <w:rFonts w:hint="eastAsia" w:ascii="宋体" w:hAnsi="宋体" w:eastAsia="宋体" w:cs="宋体"/>
          <w:sz w:val="30"/>
          <w:lang w:eastAsia="zh-CN"/>
        </w:rPr>
        <w:t>年度一般公共预算项目支出全面开展绩效自评，其中，一级项目1个，二级项目0个，共涉及资金27万元，占一般公共预算支出总额的14.5%。202</w:t>
      </w:r>
      <w:r>
        <w:rPr>
          <w:rFonts w:hint="eastAsia" w:ascii="宋体" w:hAnsi="宋体" w:eastAsia="宋体" w:cs="宋体"/>
          <w:sz w:val="30"/>
          <w:lang w:val="en-US" w:eastAsia="zh-CN"/>
        </w:rPr>
        <w:t>2</w:t>
      </w:r>
      <w:r>
        <w:rPr>
          <w:rFonts w:hint="eastAsia" w:ascii="宋体" w:hAnsi="宋体" w:eastAsia="宋体" w:cs="宋体"/>
          <w:sz w:val="30"/>
          <w:lang w:eastAsia="zh-CN"/>
        </w:rPr>
        <w:t>年度我部门无政府性基金预算项目支出、无国有资本经营预算支出，对2022年度0个政府性基金预算项目支出开展绩效自评，共涉及资金0万元，占政府性基金预算项目支出总额的0%；对2023年度0个国有资本经营预算项目支出开展绩效自评，共涉及资金0万元，占国有资本经营预算项目支出总额的0%。</w:t>
      </w:r>
    </w:p>
    <w:p>
      <w:pPr>
        <w:spacing w:before="233" w:line="222" w:lineRule="auto"/>
        <w:ind w:left="564"/>
        <w:outlineLvl w:val="1"/>
        <w:rPr>
          <w:rFonts w:ascii="黑体" w:hAnsi="黑体" w:eastAsia="黑体" w:cs="黑体"/>
          <w:sz w:val="32"/>
          <w:szCs w:val="32"/>
          <w:lang w:eastAsia="zh-CN"/>
        </w:rPr>
      </w:pPr>
      <w:r>
        <w:rPr>
          <w:rFonts w:ascii="黑体" w:hAnsi="黑体" w:eastAsia="黑体" w:cs="黑体"/>
          <w:b/>
          <w:bCs/>
          <w:spacing w:val="-7"/>
          <w:sz w:val="32"/>
          <w:szCs w:val="32"/>
          <w:lang w:eastAsia="zh-CN"/>
        </w:rPr>
        <w:t>七、存在的问题及原因分析</w:t>
      </w:r>
    </w:p>
    <w:p>
      <w:pPr>
        <w:spacing w:line="600" w:lineRule="exact"/>
        <w:ind w:firstLine="600"/>
        <w:rPr>
          <w:rFonts w:hint="eastAsia" w:ascii="宋体" w:hAnsi="宋体" w:eastAsia="宋体" w:cs="宋体"/>
          <w:sz w:val="30"/>
          <w:lang w:eastAsia="zh-CN"/>
        </w:rPr>
      </w:pPr>
      <w:r>
        <w:rPr>
          <w:rFonts w:hint="eastAsia" w:ascii="宋体" w:hAnsi="宋体" w:eastAsia="宋体" w:cs="宋体"/>
          <w:sz w:val="30"/>
          <w:lang w:eastAsia="zh-CN"/>
        </w:rPr>
        <w:t>主要问题及原因：一是资金和人员配备都存在不足之处；二是加大财政保障和支持力度，对政策性经费支出足额安排预算，保证刚性支出，并按实追加部分经费补助。三是项目管理人员为非专业人员，相关理论知识不完善。</w:t>
      </w:r>
    </w:p>
    <w:p>
      <w:pPr>
        <w:spacing w:before="233" w:line="222" w:lineRule="auto"/>
        <w:ind w:left="564"/>
        <w:outlineLvl w:val="1"/>
        <w:rPr>
          <w:rFonts w:ascii="黑体" w:hAnsi="黑体" w:eastAsia="黑体" w:cs="黑体"/>
          <w:b/>
          <w:bCs/>
          <w:spacing w:val="-7"/>
          <w:sz w:val="32"/>
          <w:szCs w:val="32"/>
          <w:lang w:eastAsia="zh-CN"/>
        </w:rPr>
      </w:pPr>
      <w:r>
        <w:rPr>
          <w:rFonts w:ascii="黑体" w:hAnsi="黑体" w:eastAsia="黑体" w:cs="黑体"/>
          <w:b/>
          <w:bCs/>
          <w:spacing w:val="-7"/>
          <w:sz w:val="32"/>
          <w:szCs w:val="32"/>
          <w:lang w:eastAsia="zh-CN"/>
        </w:rPr>
        <w:t>八、下一步改进措施</w:t>
      </w:r>
    </w:p>
    <w:p>
      <w:pPr>
        <w:spacing w:line="600" w:lineRule="exact"/>
        <w:ind w:firstLine="600"/>
        <w:rPr>
          <w:rFonts w:hint="eastAsia" w:ascii="宋体" w:hAnsi="宋体" w:eastAsia="宋体" w:cs="宋体"/>
          <w:sz w:val="30"/>
          <w:lang w:eastAsia="zh-CN"/>
        </w:rPr>
      </w:pPr>
      <w:r>
        <w:rPr>
          <w:rFonts w:hint="eastAsia" w:ascii="宋体" w:hAnsi="宋体" w:eastAsia="宋体" w:cs="宋体"/>
          <w:sz w:val="30"/>
          <w:lang w:eastAsia="zh-CN"/>
        </w:rPr>
        <w:t>下一步改进措施：一是完善规划，合理布局；二是提高业务人员自身的业务素养，三是提高绩效指标设置的准确性，提高图书馆工作的满意度。</w:t>
      </w:r>
    </w:p>
    <w:p>
      <w:pPr>
        <w:spacing w:before="214" w:line="221" w:lineRule="auto"/>
        <w:ind w:left="560"/>
        <w:rPr>
          <w:rFonts w:ascii="黑体" w:hAnsi="黑体" w:eastAsia="黑体" w:cs="黑体"/>
          <w:sz w:val="32"/>
          <w:szCs w:val="32"/>
          <w:lang w:eastAsia="zh-CN"/>
        </w:rPr>
      </w:pPr>
      <w:r>
        <w:rPr>
          <w:rFonts w:ascii="黑体" w:hAnsi="黑体" w:eastAsia="黑体" w:cs="黑体"/>
          <w:spacing w:val="-14"/>
          <w:sz w:val="32"/>
          <w:szCs w:val="32"/>
          <w:lang w:eastAsia="zh-CN"/>
        </w:rPr>
        <w:t>九 、部门整体支出绩效自评结果拟应用和公开情况</w:t>
      </w:r>
    </w:p>
    <w:p>
      <w:pPr>
        <w:spacing w:line="600" w:lineRule="exact"/>
        <w:ind w:firstLine="600"/>
        <w:rPr>
          <w:rFonts w:hint="eastAsia" w:ascii="宋体" w:hAnsi="宋体" w:eastAsia="宋体" w:cs="宋体"/>
          <w:sz w:val="30"/>
          <w:lang w:eastAsia="zh-CN"/>
        </w:rPr>
      </w:pPr>
      <w:r>
        <w:rPr>
          <w:rFonts w:hint="eastAsia" w:ascii="黑体" w:hAnsi="黑体" w:eastAsia="黑体" w:cs="黑体"/>
          <w:sz w:val="32"/>
          <w:szCs w:val="32"/>
          <w:lang w:eastAsia="zh-CN"/>
        </w:rPr>
        <w:t xml:space="preserve">    </w:t>
      </w:r>
      <w:r>
        <w:rPr>
          <w:rFonts w:hint="eastAsia" w:ascii="宋体" w:hAnsi="宋体" w:eastAsia="宋体" w:cs="宋体"/>
          <w:sz w:val="30"/>
          <w:lang w:eastAsia="zh-CN"/>
        </w:rPr>
        <w:t>根据《项目支出绩效评价办法》（财预〔2020〕10号）中《项目支出绩效评价报告（参考提纲）》、《湖南省预算支出绩效评价管理办法》（湘财绩〔2020〕7号），根据《项目支出绩效评价办法》（财预〔2020〕10号）中《项目支出绩效评价报告（参考提纲）》、《湖南省预算支出绩效评价管理办法》（湘财绩〔2020〕7号），“图书馆免费开放经费项目”，该项目绩效评价综合得分98分，绩效评价结果为“优”，绩效评价报告详见附件。</w:t>
      </w:r>
    </w:p>
    <w:p>
      <w:pPr>
        <w:spacing w:line="600" w:lineRule="exact"/>
        <w:ind w:firstLine="600"/>
        <w:rPr>
          <w:rFonts w:hint="eastAsia" w:ascii="宋体" w:hAnsi="宋体" w:eastAsia="宋体" w:cs="宋体"/>
          <w:sz w:val="30"/>
          <w:lang w:eastAsia="zh-CN"/>
        </w:rPr>
      </w:pPr>
    </w:p>
    <w:p>
      <w:pPr>
        <w:spacing w:before="204" w:line="221" w:lineRule="auto"/>
        <w:rPr>
          <w:rFonts w:ascii="黑体" w:hAnsi="黑体" w:eastAsia="黑体" w:cs="黑体"/>
          <w:sz w:val="31"/>
          <w:szCs w:val="31"/>
          <w:lang w:eastAsia="zh-CN"/>
        </w:rPr>
      </w:pPr>
      <w:r>
        <w:rPr>
          <w:rFonts w:ascii="黑体" w:hAnsi="黑体" w:eastAsia="黑体" w:cs="黑体"/>
          <w:b/>
          <w:bCs/>
          <w:sz w:val="31"/>
          <w:szCs w:val="31"/>
          <w:lang w:eastAsia="zh-CN"/>
        </w:rPr>
        <w:t>十、其他需要说明的情况</w:t>
      </w:r>
    </w:p>
    <w:p>
      <w:pPr>
        <w:spacing w:line="249" w:lineRule="auto"/>
        <w:rPr>
          <w:lang w:eastAsia="zh-CN"/>
        </w:rPr>
      </w:pPr>
    </w:p>
    <w:p>
      <w:pPr>
        <w:spacing w:line="249" w:lineRule="auto"/>
        <w:rPr>
          <w:lang w:eastAsia="zh-CN"/>
        </w:rPr>
      </w:pPr>
    </w:p>
    <w:p>
      <w:pPr>
        <w:spacing w:line="250" w:lineRule="auto"/>
        <w:rPr>
          <w:lang w:eastAsia="zh-CN"/>
        </w:rPr>
      </w:pPr>
    </w:p>
    <w:p>
      <w:pPr>
        <w:pStyle w:val="3"/>
        <w:spacing w:before="101" w:line="222" w:lineRule="auto"/>
        <w:ind w:left="291"/>
        <w:rPr>
          <w:sz w:val="31"/>
          <w:szCs w:val="31"/>
          <w:lang w:eastAsia="zh-CN"/>
        </w:rPr>
      </w:pPr>
      <w:r>
        <w:rPr>
          <w:sz w:val="31"/>
          <w:szCs w:val="31"/>
          <w:lang w:eastAsia="zh-CN"/>
        </w:rPr>
        <w:t>报告需要以下附件：</w:t>
      </w:r>
    </w:p>
    <w:p>
      <w:pPr>
        <w:pStyle w:val="3"/>
        <w:spacing w:before="235" w:line="590" w:lineRule="exact"/>
        <w:ind w:left="291"/>
        <w:rPr>
          <w:sz w:val="31"/>
          <w:szCs w:val="31"/>
          <w:lang w:eastAsia="zh-CN"/>
        </w:rPr>
      </w:pPr>
      <w:r>
        <w:rPr>
          <w:position w:val="20"/>
          <w:sz w:val="31"/>
          <w:szCs w:val="31"/>
          <w:lang w:eastAsia="zh-CN"/>
        </w:rPr>
        <w:t>1、部门整体支出绩效评价基础数据表</w:t>
      </w:r>
    </w:p>
    <w:p>
      <w:pPr>
        <w:pStyle w:val="3"/>
        <w:spacing w:before="1" w:line="221" w:lineRule="auto"/>
        <w:ind w:left="291"/>
        <w:rPr>
          <w:sz w:val="31"/>
          <w:szCs w:val="31"/>
          <w:lang w:eastAsia="zh-CN"/>
        </w:rPr>
      </w:pPr>
      <w:r>
        <w:rPr>
          <w:sz w:val="31"/>
          <w:szCs w:val="31"/>
          <w:lang w:eastAsia="zh-CN"/>
        </w:rPr>
        <w:t>2、部门整体支出绩效自评表</w:t>
      </w:r>
    </w:p>
    <w:p>
      <w:pPr>
        <w:pStyle w:val="3"/>
        <w:spacing w:before="249" w:line="222" w:lineRule="auto"/>
        <w:ind w:left="291"/>
        <w:rPr>
          <w:sz w:val="31"/>
          <w:szCs w:val="31"/>
          <w:lang w:eastAsia="zh-CN"/>
        </w:rPr>
      </w:pPr>
      <w:r>
        <w:rPr>
          <w:spacing w:val="11"/>
          <w:sz w:val="31"/>
          <w:szCs w:val="31"/>
          <w:lang w:eastAsia="zh-CN"/>
        </w:rPr>
        <w:t>3、项目支出绩效自评表(每个一级项目支出一张表)</w:t>
      </w:r>
    </w:p>
    <w:p>
      <w:pPr>
        <w:pStyle w:val="3"/>
        <w:spacing w:before="203" w:line="220" w:lineRule="auto"/>
        <w:ind w:left="291"/>
        <w:rPr>
          <w:sz w:val="31"/>
          <w:szCs w:val="31"/>
          <w:lang w:eastAsia="zh-CN"/>
        </w:rPr>
      </w:pPr>
      <w:r>
        <w:rPr>
          <w:spacing w:val="1"/>
          <w:sz w:val="31"/>
          <w:szCs w:val="31"/>
          <w:lang w:eastAsia="zh-CN"/>
        </w:rPr>
        <w:t>4、政府性基金预算支出情况表</w:t>
      </w:r>
    </w:p>
    <w:p>
      <w:pPr>
        <w:pStyle w:val="3"/>
        <w:spacing w:before="253" w:line="589" w:lineRule="exact"/>
        <w:ind w:left="291"/>
        <w:rPr>
          <w:sz w:val="31"/>
          <w:szCs w:val="31"/>
          <w:lang w:eastAsia="zh-CN"/>
        </w:rPr>
      </w:pPr>
      <w:r>
        <w:rPr>
          <w:spacing w:val="-4"/>
          <w:position w:val="20"/>
          <w:sz w:val="31"/>
          <w:szCs w:val="31"/>
          <w:lang w:eastAsia="zh-CN"/>
        </w:rPr>
        <w:t>5、 国有资本经营预算支出情况表</w:t>
      </w:r>
    </w:p>
    <w:p>
      <w:pPr>
        <w:pStyle w:val="3"/>
        <w:spacing w:before="1" w:line="220" w:lineRule="auto"/>
        <w:ind w:left="291"/>
        <w:rPr>
          <w:sz w:val="31"/>
          <w:szCs w:val="31"/>
          <w:lang w:eastAsia="zh-CN"/>
        </w:rPr>
      </w:pPr>
      <w:r>
        <w:rPr>
          <w:sz w:val="31"/>
          <w:szCs w:val="31"/>
          <w:lang w:eastAsia="zh-CN"/>
        </w:rPr>
        <w:t>6、社会保险基金预算支出情况表</w:t>
      </w:r>
    </w:p>
    <w:p>
      <w:pPr>
        <w:rPr>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00"/>
        <w:rPr>
          <w:rFonts w:hint="eastAsia" w:ascii="宋体" w:hAnsi="宋体" w:eastAsia="宋体" w:cs="宋体"/>
          <w:sz w:val="30"/>
          <w:lang w:eastAsia="zh-CN"/>
        </w:rPr>
        <w:sectPr>
          <w:pgSz w:w="12140" w:h="17000"/>
          <w:pgMar w:top="1422" w:right="1821" w:bottom="400" w:left="1459" w:header="0" w:footer="0" w:gutter="0"/>
          <w:cols w:space="720" w:num="1"/>
        </w:sectPr>
      </w:pPr>
    </w:p>
    <w:p>
      <w:pPr>
        <w:spacing w:line="600" w:lineRule="exact"/>
        <w:ind w:firstLine="640" w:firstLineChars="200"/>
        <w:jc w:val="both"/>
        <w:rPr>
          <w:rFonts w:hint="eastAsia" w:eastAsia="仿宋_GB2312"/>
          <w:kern w:val="0"/>
          <w:sz w:val="32"/>
          <w:szCs w:val="32"/>
          <w:lang w:eastAsia="zh-CN"/>
        </w:rPr>
      </w:pPr>
    </w:p>
    <w:p>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3967" w:leftChars="1032" w:hanging="1800" w:hangingChars="400"/>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汨罗市图书馆中央免费开放</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pPr>
        <w:spacing w:before="1" w:line="220" w:lineRule="auto"/>
        <w:ind w:firstLine="3960" w:firstLineChars="900"/>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3"/>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3"/>
        <w:spacing w:before="289" w:line="610" w:lineRule="exact"/>
        <w:ind w:left="3490"/>
        <w:rPr>
          <w:sz w:val="27"/>
          <w:szCs w:val="27"/>
        </w:rPr>
      </w:pPr>
      <w:r>
        <w:rPr>
          <w:rFonts w:hint="eastAsia"/>
          <w:spacing w:val="-13"/>
          <w:position w:val="26"/>
          <w:sz w:val="27"/>
          <w:szCs w:val="27"/>
          <w:lang w:val="en-US" w:eastAsia="zh-CN"/>
        </w:rPr>
        <w:t>2023</w:t>
      </w:r>
      <w:r>
        <w:rPr>
          <w:spacing w:val="-13"/>
          <w:position w:val="26"/>
          <w:sz w:val="27"/>
          <w:szCs w:val="27"/>
        </w:rPr>
        <w:t xml:space="preserve">年   </w:t>
      </w:r>
      <w:r>
        <w:rPr>
          <w:rFonts w:hint="eastAsia"/>
          <w:spacing w:val="-13"/>
          <w:position w:val="26"/>
          <w:sz w:val="27"/>
          <w:szCs w:val="27"/>
          <w:lang w:val="en-US" w:eastAsia="zh-CN"/>
        </w:rPr>
        <w:t>6</w:t>
      </w:r>
      <w:r>
        <w:rPr>
          <w:spacing w:val="-13"/>
          <w:position w:val="26"/>
          <w:sz w:val="27"/>
          <w:szCs w:val="27"/>
        </w:rPr>
        <w:t>月</w:t>
      </w:r>
      <w:r>
        <w:rPr>
          <w:rFonts w:hint="eastAsia"/>
          <w:spacing w:val="-13"/>
          <w:position w:val="26"/>
          <w:sz w:val="27"/>
          <w:szCs w:val="27"/>
          <w:lang w:val="en-US" w:eastAsia="zh-CN"/>
        </w:rPr>
        <w:t xml:space="preserve"> 21</w:t>
      </w:r>
      <w:r>
        <w:rPr>
          <w:spacing w:val="-13"/>
          <w:position w:val="26"/>
          <w:sz w:val="27"/>
          <w:szCs w:val="27"/>
        </w:rPr>
        <w:t>日</w:t>
      </w: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b/>
          <w:bCs/>
          <w:spacing w:val="6"/>
          <w:sz w:val="42"/>
          <w:szCs w:val="42"/>
        </w:r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firstLine="562" w:firstLineChars="20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both"/>
        <w:textAlignment w:val="baseline"/>
        <w:rPr>
          <w:rFonts w:hint="default" w:eastAsia="仿宋_GB2312"/>
          <w:kern w:val="0"/>
          <w:sz w:val="32"/>
          <w:szCs w:val="32"/>
          <w:lang w:val="en-US" w:eastAsia="zh-CN"/>
        </w:rPr>
      </w:pPr>
      <w:r>
        <w:rPr>
          <w:rFonts w:hint="eastAsia" w:ascii="黑体" w:hAnsi="黑体" w:eastAsia="黑体" w:cs="黑体"/>
          <w:b/>
          <w:bCs/>
          <w:snapToGrid w:val="0"/>
          <w:color w:val="000000"/>
          <w:spacing w:val="-15"/>
          <w:kern w:val="0"/>
          <w:sz w:val="31"/>
          <w:szCs w:val="31"/>
          <w:lang w:val="en-US" w:eastAsia="zh-CN" w:bidi="ar-SA"/>
        </w:rPr>
        <w:t xml:space="preserve">     </w:t>
      </w:r>
      <w:r>
        <w:rPr>
          <w:rFonts w:hint="eastAsia" w:eastAsia="仿宋_GB2312"/>
          <w:kern w:val="0"/>
          <w:sz w:val="32"/>
          <w:szCs w:val="32"/>
          <w:lang w:val="en-US" w:eastAsia="zh-CN"/>
        </w:rPr>
        <w:t>为保障公共图书馆、美术馆、文化馆（站、中心）免费开放后正常运转并提供基本公共文化服务，中央下达2022年公共图书馆、美术馆文化馆（站）免费开放补助资金保障免费开放工作顺利实施。</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本项目年初预算为0万元，支出决算为27万元。其中：办公费支出17.06万元，占该项目总支出的63.18%；专用材料费支出5.18万元，占该项目总支出19.18%，劳务费支出0.2万元，占该项目总支出的0.74%，委托业务费支出0万元，占该项目总支出的0%，其他商品和服务支出4.56万元，占该项目总支出的16.9%。</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jc w:val="both"/>
        <w:textAlignment w:val="baseline"/>
        <w:rPr>
          <w:rFonts w:ascii="楷体" w:hAnsi="楷体" w:eastAsia="楷体" w:cs="楷体"/>
          <w:b/>
          <w:bCs/>
          <w:spacing w:val="6"/>
          <w:position w:val="16"/>
          <w:sz w:val="31"/>
          <w:szCs w:val="31"/>
        </w:rPr>
      </w:pPr>
      <w:r>
        <w:rPr>
          <w:rFonts w:hint="eastAsia" w:ascii="黑体" w:hAnsi="黑体" w:eastAsia="黑体" w:cs="黑体"/>
          <w:b/>
          <w:bCs/>
          <w:snapToGrid w:val="0"/>
          <w:color w:val="000000"/>
          <w:spacing w:val="-15"/>
          <w:kern w:val="0"/>
          <w:sz w:val="31"/>
          <w:szCs w:val="31"/>
          <w:lang w:val="en-US" w:eastAsia="zh-CN" w:bidi="ar-SA"/>
        </w:rPr>
        <w:t>（三）</w:t>
      </w:r>
      <w:r>
        <w:rPr>
          <w:rFonts w:ascii="黑体" w:hAnsi="黑体" w:eastAsia="黑体" w:cs="黑体"/>
          <w:b/>
          <w:bCs/>
          <w:snapToGrid w:val="0"/>
          <w:color w:val="000000"/>
          <w:spacing w:val="-15"/>
          <w:kern w:val="0"/>
          <w:sz w:val="31"/>
          <w:szCs w:val="31"/>
          <w:lang w:val="en-US" w:eastAsia="en-US" w:bidi="ar-SA"/>
        </w:rPr>
        <w:t>项目支出绩效目标完成程度</w:t>
      </w:r>
      <w:r>
        <w:rPr>
          <w:rFonts w:ascii="楷体" w:hAnsi="楷体" w:eastAsia="楷体" w:cs="楷体"/>
          <w:b/>
          <w:bCs/>
          <w:spacing w:val="6"/>
          <w:position w:val="16"/>
          <w:sz w:val="31"/>
          <w:szCs w:val="31"/>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6" w:firstLineChars="200"/>
        <w:jc w:val="both"/>
        <w:textAlignment w:val="baseline"/>
        <w:rPr>
          <w:rFonts w:hint="eastAsia" w:eastAsia="仿宋_GB2312"/>
          <w:kern w:val="0"/>
          <w:sz w:val="32"/>
          <w:szCs w:val="32"/>
          <w:lang w:val="en-US" w:eastAsia="zh-CN"/>
        </w:rPr>
      </w:pPr>
      <w:r>
        <w:rPr>
          <w:rFonts w:hint="eastAsia" w:ascii="楷体" w:hAnsi="楷体" w:eastAsia="楷体" w:cs="楷体"/>
          <w:b/>
          <w:bCs/>
          <w:spacing w:val="6"/>
          <w:position w:val="16"/>
          <w:sz w:val="31"/>
          <w:szCs w:val="31"/>
          <w:lang w:val="en-US" w:eastAsia="zh-CN"/>
        </w:rPr>
        <w:t xml:space="preserve">  </w:t>
      </w:r>
      <w:r>
        <w:rPr>
          <w:rFonts w:hint="eastAsia" w:eastAsia="仿宋_GB2312"/>
          <w:kern w:val="0"/>
          <w:sz w:val="32"/>
          <w:szCs w:val="32"/>
          <w:lang w:val="en-US" w:eastAsia="zh-CN"/>
        </w:rPr>
        <w:t xml:space="preserve">  我单位组织对2022年度一般公共预算项目支出全面开展绩效自评，其中，一级项目1个，二级项目0个，共涉及资金27万元，占一般公共预算项目支出总额的100%。2022年度我部门无政府性基金预算项目支出、无国有资本经营预算支出，对2022年度0个政府性基金预算项目支出开展绩效自评，共涉及资金0万元，占政府性基金预算项目支出总额的0%；对2022年度0个国有资本经营预算项目支出开展绩效自评，共涉及资金0万元，占国有资本经营预算项目支出总额的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组织对“中央免费开放资金 ”等1个项目开展了部门评价为进一步规范财政资金管理，强化绩效和责任意识，切实提高财政资金使用效益，根据财政预算管理要求及省财政单位的统一部署，我单位对2022年度部门整体支出认真开展绩效自评，按财政要求及时报送了《汨罗市图书馆2023年度部门整体支出绩效评价报告》等相关表格及佐证资料。涉及一般公共预算支出27元，政府性基金预算支出0万元，国有资本经营预算支出0万元。从评价情况来看，免费开放工作1、做好图书馆的规范管理和免费开放工作，做好了春节、清明节、五一等节、假日开放工作。上半年总馆累计接待读15000余人次，图书流通7000余册次。2、用好用活屈子书院、新市等书院、图书馆、综合文化站等文化场所，开展号文化惠民活动，尽力满足人民群众的公共文化需求，已在韩少功文化馆进行采编，分类上架，下一步将继续完成屈子祠村图书馆分馆挂牌仪式、采编分类及上架。项目立项程序完整、规范，绩效目标明确合理，预算执行及时有效，为有关部门决策提供了较为有力的支撑，绩效目标得到较好实现。专项资金的管理和使用应当严格执行国家有关法律法规、财务规章制度和本办法的规定，并接受本级纪检、财政、审计和上级文化旅游文物主管部门的监督检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项目资金的使用必须纳入单位“三重一大”议事内容。相关讨论研究会议要邀请纪检组和局分管线领导参加集体审议。项目资金拨付由文化馆会同财政局联合审批。项目资金使用情况纳入单位主要负责人离任审计重点内容。</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shd w:val="clear" w:color="auto" w:fill="FFFFFF"/>
        <w:spacing w:line="441" w:lineRule="atLeast"/>
        <w:ind w:firstLine="600"/>
        <w:rPr>
          <w:rFonts w:hint="default" w:eastAsia="仿宋_GB2312"/>
          <w:kern w:val="0"/>
          <w:sz w:val="32"/>
          <w:szCs w:val="32"/>
          <w:lang w:val="en-US" w:eastAsia="zh-CN"/>
        </w:rPr>
      </w:pPr>
      <w:r>
        <w:rPr>
          <w:rFonts w:hint="eastAsia" w:eastAsia="宋体"/>
          <w:lang w:val="en-US" w:eastAsia="zh-CN"/>
        </w:rPr>
        <w:t xml:space="preserve">     </w:t>
      </w:r>
      <w:r>
        <w:rPr>
          <w:rFonts w:hint="eastAsia" w:eastAsia="仿宋_GB2312"/>
          <w:kern w:val="0"/>
          <w:sz w:val="32"/>
          <w:szCs w:val="32"/>
          <w:lang w:val="en-US" w:eastAsia="zh-CN"/>
        </w:rPr>
        <w:t xml:space="preserve">    项目绩效目标完成情况：一是汨罗市图书馆2022年被评为国家一级图书馆称号；二是通过2022年央补免费开放资金的使用，实现图书馆大数据查询、统计和维护，以及图书的上架、倒架、剔旧，搭配现有的工作购置解决了部分老旧图书下架保存，完成资源整合展示平台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spacing w:before="206" w:line="221" w:lineRule="auto"/>
        <w:ind w:left="530" w:firstLine="604" w:firstLineChars="20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中央免费开放资金项目绩效自评综述：根据年初设定的绩效目标</w:t>
      </w:r>
    </w:p>
    <w:p>
      <w:pPr>
        <w:spacing w:before="206" w:line="221" w:lineRule="auto"/>
        <w:ind w:left="530"/>
        <w:rPr>
          <w:rFonts w:hint="eastAsia" w:ascii="仿宋" w:hAnsi="仿宋" w:eastAsia="仿宋" w:cs="仿宋"/>
          <w:spacing w:val="1"/>
          <w:sz w:val="30"/>
          <w:szCs w:val="30"/>
          <w:lang w:eastAsia="zh-CN"/>
        </w:rPr>
      </w:pPr>
      <w:r>
        <w:rPr>
          <w:rFonts w:hint="eastAsia" w:ascii="仿宋" w:hAnsi="仿宋" w:eastAsia="仿宋" w:cs="仿宋"/>
          <w:spacing w:val="1"/>
          <w:sz w:val="30"/>
          <w:szCs w:val="30"/>
          <w:lang w:eastAsia="zh-CN"/>
        </w:rPr>
        <w:t>项目绩效自评得分为98分。</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绩效评价指标分析</w:t>
      </w:r>
    </w:p>
    <w:p>
      <w:pPr>
        <w:shd w:val="clear" w:color="auto" w:fill="FFFFFF"/>
        <w:spacing w:line="441" w:lineRule="atLeast"/>
        <w:rPr>
          <w:rFonts w:ascii="仿宋" w:hAnsi="仿宋" w:eastAsia="仿宋" w:cs="仿宋"/>
          <w:spacing w:val="1"/>
          <w:sz w:val="30"/>
          <w:szCs w:val="30"/>
          <w:lang w:eastAsia="zh-CN"/>
        </w:rPr>
      </w:pPr>
      <w:r>
        <w:rPr>
          <w:rFonts w:hint="eastAsia" w:ascii="仿宋" w:hAnsi="仿宋" w:eastAsia="仿宋" w:cs="仿宋"/>
          <w:sz w:val="30"/>
          <w:szCs w:val="30"/>
          <w:lang w:eastAsia="zh-CN"/>
        </w:rPr>
        <w:t xml:space="preserve">  </w:t>
      </w:r>
      <w:r>
        <w:rPr>
          <w:rFonts w:hint="eastAsia" w:ascii="仿宋" w:hAnsi="仿宋" w:eastAsia="仿宋" w:cs="仿宋"/>
          <w:sz w:val="30"/>
          <w:szCs w:val="30"/>
          <w:lang w:val="en-US" w:eastAsia="zh-CN"/>
        </w:rPr>
        <w:t xml:space="preserve">  </w:t>
      </w:r>
      <w:r>
        <w:rPr>
          <w:rFonts w:ascii="仿宋" w:hAnsi="仿宋" w:eastAsia="仿宋" w:cs="仿宋"/>
          <w:spacing w:val="1"/>
          <w:sz w:val="30"/>
          <w:szCs w:val="30"/>
          <w:lang w:eastAsia="zh-CN"/>
        </w:rPr>
        <w:t>根据《项目支出绩效评价办法》（财预〔2020〕10号）中《项目支出绩效评价报告（参考提纲）》、《湖南省预算支出绩效评价管理办法》（湘财绩〔2020〕7号），</w:t>
      </w:r>
      <w:r>
        <w:rPr>
          <w:rFonts w:hint="eastAsia" w:ascii="仿宋" w:hAnsi="仿宋" w:eastAsia="仿宋" w:cs="仿宋"/>
          <w:spacing w:val="1"/>
          <w:sz w:val="30"/>
          <w:szCs w:val="30"/>
          <w:lang w:eastAsia="zh-CN"/>
        </w:rPr>
        <w:t>根据《项目支出绩效评价办法》（财预〔2020〕10号）中《项目支出绩效评价报告（参考提纲）》、《湖南省预算支出绩效评价管理办法》（湘财绩〔2020〕7号），“图书馆免费开放经费项目”，该项目绩效评价综合得分98分，绩效评价结果为“优”，绩效评价报告详见附件。</w:t>
      </w:r>
    </w:p>
    <w:p>
      <w:pPr>
        <w:pStyle w:val="3"/>
        <w:spacing w:line="222" w:lineRule="auto"/>
        <w:ind w:firstLine="604" w:firstLineChars="200"/>
        <w:rPr>
          <w:spacing w:val="1"/>
          <w:sz w:val="30"/>
          <w:szCs w:val="30"/>
          <w:lang w:eastAsia="zh-CN"/>
        </w:rPr>
      </w:pPr>
      <w:r>
        <w:rPr>
          <w:spacing w:val="1"/>
          <w:sz w:val="30"/>
          <w:szCs w:val="30"/>
          <w:lang w:eastAsia="zh-CN"/>
        </w:rPr>
        <w:t>(一)项目支出决策情况</w:t>
      </w:r>
    </w:p>
    <w:p>
      <w:pPr>
        <w:pStyle w:val="3"/>
        <w:numPr>
          <w:ilvl w:val="0"/>
          <w:numId w:val="0"/>
        </w:numPr>
        <w:spacing w:line="222" w:lineRule="auto"/>
        <w:rPr>
          <w:rFonts w:hint="default" w:ascii="仿宋" w:hAnsi="仿宋" w:eastAsia="仿宋" w:cs="仿宋"/>
          <w:snapToGrid w:val="0"/>
          <w:color w:val="000000"/>
          <w:kern w:val="0"/>
          <w:sz w:val="30"/>
          <w:szCs w:val="30"/>
          <w:lang w:val="en-US" w:eastAsia="zh-CN" w:bidi="ar-SA"/>
        </w:rPr>
      </w:pPr>
      <w:r>
        <w:rPr>
          <w:rFonts w:hint="eastAsia" w:ascii="仿宋" w:hAnsi="仿宋" w:eastAsia="仿宋" w:cs="仿宋"/>
          <w:sz w:val="30"/>
          <w:szCs w:val="30"/>
          <w:lang w:eastAsia="zh-CN"/>
        </w:rPr>
        <w:t xml:space="preserve">  </w:t>
      </w:r>
      <w:r>
        <w:rPr>
          <w:rFonts w:hint="eastAsia" w:ascii="仿宋" w:hAnsi="仿宋" w:eastAsia="仿宋" w:cs="仿宋"/>
          <w:snapToGrid w:val="0"/>
          <w:color w:val="000000"/>
          <w:kern w:val="0"/>
          <w:sz w:val="30"/>
          <w:szCs w:val="30"/>
          <w:lang w:val="en-US" w:eastAsia="zh-CN" w:bidi="ar-SA"/>
        </w:rPr>
        <w:t xml:space="preserve"> 根据我们的数据分析，在2022年度里，我单位在各项支出决策方面取得了显著的功，我们单位非常注重保持财务稳健性，并积极努力地控制支出，以确保项目的持续可行性和正常运转性。我单位在项目中采取了合理化的支出决策，以确保最大限度地节省成本和提高效率，审慎考虑了各种可能性并选择了能够满足项目需求并且成本给力的方案。</w:t>
      </w:r>
    </w:p>
    <w:p>
      <w:pPr>
        <w:pStyle w:val="3"/>
        <w:spacing w:before="206" w:line="221" w:lineRule="auto"/>
        <w:ind w:firstLine="604" w:firstLineChars="200"/>
        <w:rPr>
          <w:spacing w:val="-4"/>
          <w:sz w:val="30"/>
          <w:szCs w:val="30"/>
          <w:lang w:eastAsia="zh-CN"/>
        </w:rPr>
      </w:pPr>
      <w:r>
        <w:rPr>
          <w:spacing w:val="1"/>
          <w:sz w:val="30"/>
          <w:szCs w:val="30"/>
          <w:lang w:eastAsia="zh-CN"/>
        </w:rPr>
        <w:t>(</w:t>
      </w:r>
      <w:r>
        <w:rPr>
          <w:spacing w:val="-4"/>
          <w:sz w:val="30"/>
          <w:szCs w:val="30"/>
          <w:lang w:eastAsia="zh-CN"/>
        </w:rPr>
        <w:t>二)项目执行过程情况</w:t>
      </w:r>
    </w:p>
    <w:p>
      <w:pPr>
        <w:shd w:val="clear" w:color="auto" w:fill="FFFFFF"/>
        <w:spacing w:line="441" w:lineRule="atLeast"/>
        <w:ind w:firstLine="600"/>
        <w:rPr>
          <w:rFonts w:hint="eastAsia" w:ascii="仿宋" w:hAnsi="仿宋" w:eastAsia="仿宋" w:cs="仿宋"/>
          <w:spacing w:val="1"/>
          <w:sz w:val="30"/>
          <w:szCs w:val="30"/>
          <w:lang w:eastAsia="zh-CN"/>
        </w:rPr>
      </w:pPr>
      <w:r>
        <w:rPr>
          <w:rFonts w:hint="eastAsia" w:ascii="仿宋" w:hAnsi="仿宋" w:eastAsia="仿宋" w:cs="仿宋"/>
          <w:spacing w:val="1"/>
          <w:sz w:val="30"/>
          <w:szCs w:val="30"/>
          <w:lang w:eastAsia="zh-CN"/>
        </w:rPr>
        <w:t>1、携树德将邀请汨罗巫傩文明传承人孙浩老师来指导我们学习民风民俗龙舟文化，孙浩老师来图书馆现场指导，划龙舟是屈原故里最大的群众性集会，用划龙舟这样最古老最隆重的方式纪念屈原。</w:t>
      </w:r>
    </w:p>
    <w:p>
      <w:pPr>
        <w:shd w:val="clear" w:color="auto" w:fill="FFFFFF"/>
        <w:spacing w:line="441" w:lineRule="atLeast"/>
        <w:ind w:firstLine="600"/>
        <w:rPr>
          <w:rFonts w:hint="eastAsia" w:ascii="仿宋" w:hAnsi="仿宋" w:eastAsia="仿宋" w:cs="仿宋"/>
          <w:spacing w:val="1"/>
          <w:sz w:val="30"/>
          <w:szCs w:val="30"/>
          <w:lang w:eastAsia="zh-CN"/>
        </w:rPr>
      </w:pPr>
      <w:r>
        <w:rPr>
          <w:rFonts w:hint="eastAsia" w:ascii="仿宋" w:hAnsi="仿宋" w:eastAsia="仿宋" w:cs="仿宋"/>
          <w:spacing w:val="1"/>
          <w:sz w:val="30"/>
          <w:szCs w:val="30"/>
          <w:lang w:eastAsia="zh-CN"/>
        </w:rPr>
        <w:t>2、归义镇蓝精灵幼儿园小班组参观了汨罗市图书馆，利用图书、绘画和其他多种方式，引发幼儿对书籍、阅读和书写的兴趣。为此，汨罗市图书馆联合蓝精灵幼儿园开展了以“童年有书 未来有梦”为主题的图书线下活动。</w:t>
      </w:r>
    </w:p>
    <w:p>
      <w:pPr>
        <w:shd w:val="clear" w:color="auto" w:fill="FFFFFF"/>
        <w:spacing w:line="441" w:lineRule="atLeast"/>
        <w:ind w:firstLine="600"/>
        <w:rPr>
          <w:rFonts w:hint="eastAsia" w:ascii="仿宋" w:hAnsi="仿宋" w:eastAsia="仿宋" w:cs="仿宋"/>
          <w:spacing w:val="1"/>
          <w:sz w:val="30"/>
          <w:szCs w:val="30"/>
          <w:lang w:eastAsia="zh-CN"/>
        </w:rPr>
      </w:pPr>
      <w:r>
        <w:rPr>
          <w:rFonts w:hint="eastAsia" w:ascii="仿宋" w:hAnsi="仿宋" w:eastAsia="仿宋" w:cs="仿宋"/>
          <w:spacing w:val="1"/>
          <w:sz w:val="30"/>
          <w:szCs w:val="30"/>
          <w:lang w:eastAsia="zh-CN"/>
        </w:rPr>
        <w:t>3、承办了“悦读奋进新时代、共建书香文明城”世界读书日主题活动。全民阅读启动仪式、万人齐诵《天问》活动。</w:t>
      </w:r>
    </w:p>
    <w:p>
      <w:pPr>
        <w:shd w:val="clear" w:color="auto" w:fill="FFFFFF"/>
        <w:spacing w:line="441" w:lineRule="atLeast"/>
        <w:ind w:firstLine="600"/>
        <w:rPr>
          <w:rFonts w:hint="eastAsia" w:ascii="仿宋" w:hAnsi="仿宋" w:eastAsia="仿宋" w:cs="仿宋"/>
          <w:spacing w:val="1"/>
          <w:sz w:val="30"/>
          <w:szCs w:val="30"/>
          <w:lang w:eastAsia="zh-CN"/>
        </w:rPr>
      </w:pPr>
      <w:r>
        <w:rPr>
          <w:rFonts w:hint="eastAsia" w:ascii="仿宋" w:hAnsi="仿宋" w:eastAsia="仿宋" w:cs="仿宋"/>
          <w:spacing w:val="1"/>
          <w:sz w:val="30"/>
          <w:szCs w:val="30"/>
          <w:lang w:eastAsia="zh-CN"/>
        </w:rPr>
        <w:t>4、举办了“蓝墨水大讲堂”（一至三期）为促进我市基层公共文化事业发展，进一步的提高业务能力及农村文化大发展繁荣方面做出了贡献。</w:t>
      </w:r>
    </w:p>
    <w:p>
      <w:pPr>
        <w:shd w:val="clear" w:color="auto" w:fill="FFFFFF"/>
        <w:spacing w:line="441" w:lineRule="atLeast"/>
        <w:ind w:firstLine="600"/>
        <w:rPr>
          <w:rFonts w:hint="eastAsia" w:ascii="仿宋" w:hAnsi="仿宋" w:eastAsia="仿宋" w:cs="仿宋"/>
          <w:spacing w:val="1"/>
          <w:sz w:val="30"/>
          <w:szCs w:val="30"/>
          <w:lang w:eastAsia="zh-CN"/>
        </w:rPr>
      </w:pPr>
      <w:r>
        <w:rPr>
          <w:rFonts w:hint="eastAsia" w:ascii="仿宋" w:hAnsi="仿宋" w:eastAsia="仿宋" w:cs="仿宋"/>
          <w:spacing w:val="1"/>
          <w:sz w:val="30"/>
          <w:szCs w:val="30"/>
          <w:lang w:eastAsia="zh-CN"/>
        </w:rPr>
        <w:t>5、“悦读越心动”新书，好书推广活动、“阅读，请到图书馆”你选书，我买单活动、线上讲座展览活动，电子阅读app推广和汨罗市图书馆微信公众号推广。</w:t>
      </w:r>
    </w:p>
    <w:p>
      <w:pPr>
        <w:pStyle w:val="3"/>
        <w:spacing w:before="194" w:line="222" w:lineRule="auto"/>
        <w:ind w:firstLine="302" w:firstLineChars="100"/>
        <w:rPr>
          <w:spacing w:val="1"/>
          <w:sz w:val="30"/>
          <w:szCs w:val="30"/>
          <w:lang w:eastAsia="zh-CN"/>
        </w:rPr>
      </w:pPr>
      <w:r>
        <w:rPr>
          <w:spacing w:val="1"/>
          <w:sz w:val="30"/>
          <w:szCs w:val="30"/>
          <w:lang w:eastAsia="zh-CN"/>
        </w:rPr>
        <w:t>(三)项目支出产出情况</w:t>
      </w:r>
    </w:p>
    <w:p>
      <w:pPr>
        <w:shd w:val="clear" w:color="auto" w:fill="FFFFFF"/>
        <w:spacing w:line="441" w:lineRule="atLeast"/>
        <w:ind w:firstLine="600"/>
        <w:rPr>
          <w:rFonts w:ascii="仿宋" w:hAnsi="仿宋" w:eastAsia="仿宋" w:cs="仿宋"/>
          <w:spacing w:val="1"/>
          <w:sz w:val="30"/>
          <w:szCs w:val="30"/>
          <w:lang w:eastAsia="zh-CN"/>
        </w:rPr>
      </w:pPr>
      <w:r>
        <w:rPr>
          <w:rFonts w:hint="eastAsia" w:ascii="仿宋" w:hAnsi="仿宋" w:eastAsia="仿宋" w:cs="仿宋"/>
          <w:spacing w:val="1"/>
          <w:sz w:val="30"/>
          <w:szCs w:val="30"/>
          <w:lang w:eastAsia="zh-CN"/>
        </w:rPr>
        <w:t>本次项目支出绩效评价，按项目产出和效果的逻辑模型，设定3个一级指标（产出、效益、满意度）、9个二级指标（数量指标、质量指标、时效指标、成本指标）我部门组织对2023年度一般公共预算项目支出全面开展绩效自评，其中，一级项目2个，二级项目0个，共涉及资金</w:t>
      </w:r>
      <w:r>
        <w:rPr>
          <w:rFonts w:hint="eastAsia" w:ascii="仿宋" w:hAnsi="仿宋" w:eastAsia="仿宋" w:cs="仿宋"/>
          <w:spacing w:val="1"/>
          <w:sz w:val="30"/>
          <w:szCs w:val="30"/>
          <w:lang w:val="en-US" w:eastAsia="zh-CN"/>
        </w:rPr>
        <w:t>27</w:t>
      </w:r>
      <w:r>
        <w:rPr>
          <w:rFonts w:hint="eastAsia" w:ascii="仿宋" w:hAnsi="仿宋" w:eastAsia="仿宋" w:cs="仿宋"/>
          <w:spacing w:val="1"/>
          <w:sz w:val="30"/>
          <w:szCs w:val="30"/>
          <w:lang w:eastAsia="zh-CN"/>
        </w:rPr>
        <w:t>万元，占一般公共预算项目支出总额的100%。202</w:t>
      </w:r>
      <w:r>
        <w:rPr>
          <w:rFonts w:hint="eastAsia" w:ascii="仿宋" w:hAnsi="仿宋" w:eastAsia="仿宋" w:cs="仿宋"/>
          <w:spacing w:val="1"/>
          <w:sz w:val="30"/>
          <w:szCs w:val="30"/>
          <w:lang w:val="en-US" w:eastAsia="zh-CN"/>
        </w:rPr>
        <w:t>2</w:t>
      </w:r>
      <w:r>
        <w:rPr>
          <w:rFonts w:hint="eastAsia" w:ascii="仿宋" w:hAnsi="仿宋" w:eastAsia="仿宋" w:cs="仿宋"/>
          <w:spacing w:val="1"/>
          <w:sz w:val="30"/>
          <w:szCs w:val="30"/>
          <w:lang w:eastAsia="zh-CN"/>
        </w:rPr>
        <w:t>年度我部门无政府性基金预算项目支出、无国有资本经营预算支出，对202</w:t>
      </w:r>
      <w:r>
        <w:rPr>
          <w:rFonts w:hint="eastAsia" w:ascii="仿宋" w:hAnsi="仿宋" w:eastAsia="仿宋" w:cs="仿宋"/>
          <w:spacing w:val="1"/>
          <w:sz w:val="30"/>
          <w:szCs w:val="30"/>
          <w:lang w:val="en-US" w:eastAsia="zh-CN"/>
        </w:rPr>
        <w:t>2</w:t>
      </w:r>
      <w:r>
        <w:rPr>
          <w:rFonts w:hint="eastAsia" w:ascii="仿宋" w:hAnsi="仿宋" w:eastAsia="仿宋" w:cs="仿宋"/>
          <w:spacing w:val="1"/>
          <w:sz w:val="30"/>
          <w:szCs w:val="30"/>
          <w:lang w:eastAsia="zh-CN"/>
        </w:rPr>
        <w:t>年度0个政府性基金预算项目支出开展绩效自评，共涉及资金0万元，占政府性基金预算项目支出总额的0%；对2022年度0个国有资本经营预算项目支出开展绩效自评，共涉及资金0万元，占国有资本经营预算项目支出总额的0%。</w:t>
      </w:r>
    </w:p>
    <w:p>
      <w:pPr>
        <w:pStyle w:val="3"/>
        <w:numPr>
          <w:ilvl w:val="0"/>
          <w:numId w:val="3"/>
        </w:numPr>
        <w:spacing w:before="220" w:line="222" w:lineRule="auto"/>
        <w:ind w:leftChars="200"/>
        <w:rPr>
          <w:spacing w:val="1"/>
          <w:sz w:val="30"/>
          <w:szCs w:val="30"/>
          <w:lang w:eastAsia="zh-CN"/>
        </w:rPr>
      </w:pPr>
      <w:r>
        <w:rPr>
          <w:spacing w:val="1"/>
          <w:sz w:val="30"/>
          <w:szCs w:val="30"/>
          <w:lang w:eastAsia="zh-CN"/>
        </w:rPr>
        <w:t>项目支出效益情况</w:t>
      </w:r>
    </w:p>
    <w:p>
      <w:pPr>
        <w:pStyle w:val="3"/>
        <w:numPr>
          <w:numId w:val="0"/>
        </w:numPr>
        <w:spacing w:before="220" w:line="222" w:lineRule="auto"/>
        <w:rPr>
          <w:rFonts w:hint="default"/>
          <w:spacing w:val="1"/>
          <w:sz w:val="30"/>
          <w:szCs w:val="30"/>
          <w:lang w:val="en-US" w:eastAsia="zh-CN"/>
        </w:rPr>
      </w:pPr>
      <w:r>
        <w:rPr>
          <w:rFonts w:hint="eastAsia"/>
          <w:spacing w:val="1"/>
          <w:sz w:val="30"/>
          <w:szCs w:val="30"/>
          <w:lang w:val="en-US" w:eastAsia="zh-CN"/>
        </w:rPr>
        <w:t xml:space="preserve">     </w:t>
      </w:r>
      <w:bookmarkStart w:id="0" w:name="_GoBack"/>
      <w:bookmarkEnd w:id="0"/>
      <w:r>
        <w:rPr>
          <w:rFonts w:hint="eastAsia"/>
          <w:spacing w:val="1"/>
          <w:sz w:val="30"/>
          <w:szCs w:val="30"/>
          <w:lang w:val="en-US" w:eastAsia="zh-CN"/>
        </w:rPr>
        <w:t>免费开放有助于引导农民科技致富使群众了解与掌握更多的知识与技能，提高人民群众文化活动，提升基本公共文化服务水平，提高文化遗产全民保护意，促进汨罗图书事业全面发展，提升整体形象。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shd w:val="clear" w:color="auto" w:fill="FFFFFF"/>
        <w:spacing w:line="441" w:lineRule="atLeast"/>
        <w:ind w:firstLine="640" w:firstLineChars="200"/>
        <w:rPr>
          <w:rFonts w:ascii="仿宋" w:hAnsi="仿宋" w:eastAsia="仿宋" w:cs="仿宋"/>
          <w:spacing w:val="1"/>
          <w:sz w:val="30"/>
          <w:szCs w:val="30"/>
          <w:lang w:eastAsia="zh-CN"/>
        </w:rPr>
      </w:pPr>
      <w:r>
        <w:rPr>
          <w:rFonts w:hint="eastAsia" w:ascii="Arial" w:hAnsi="Arial" w:eastAsia="仿宋_GB2312" w:cs="Arial"/>
          <w:snapToGrid w:val="0"/>
          <w:color w:val="000000"/>
          <w:kern w:val="0"/>
          <w:sz w:val="32"/>
          <w:szCs w:val="32"/>
          <w:lang w:val="en-US" w:eastAsia="zh-CN" w:bidi="ar-SA"/>
        </w:rPr>
        <w:t>免费开放</w:t>
      </w:r>
      <w:r>
        <w:rPr>
          <w:rFonts w:hint="eastAsia" w:eastAsia="仿宋_GB2312" w:cs="Arial"/>
          <w:snapToGrid w:val="0"/>
          <w:color w:val="000000"/>
          <w:kern w:val="0"/>
          <w:sz w:val="32"/>
          <w:szCs w:val="32"/>
          <w:lang w:val="en-US" w:eastAsia="zh-CN" w:bidi="ar-SA"/>
        </w:rPr>
        <w:t>应该大力的推进</w:t>
      </w:r>
      <w:r>
        <w:rPr>
          <w:rFonts w:hint="eastAsia" w:ascii="Arial" w:hAnsi="Arial" w:eastAsia="仿宋_GB2312" w:cs="Arial"/>
          <w:snapToGrid w:val="0"/>
          <w:color w:val="000000"/>
          <w:kern w:val="0"/>
          <w:sz w:val="32"/>
          <w:szCs w:val="32"/>
          <w:lang w:val="en-US" w:eastAsia="zh-CN" w:bidi="ar-SA"/>
        </w:rPr>
        <w:t>引导农民科技致富使群众了解与掌握更多的知识与技能促进汨罗市图书事业全面发展，提升整体形象</w:t>
      </w:r>
      <w:r>
        <w:rPr>
          <w:rFonts w:hint="eastAsia" w:ascii="仿宋" w:hAnsi="仿宋" w:eastAsia="仿宋" w:cs="仿宋"/>
          <w:spacing w:val="1"/>
          <w:sz w:val="30"/>
          <w:szCs w:val="30"/>
          <w:lang w:eastAsia="zh-CN"/>
        </w:rPr>
        <w:t>下一步改进措施：一是加强馆内业务培训；二是提高服务质量，三是提高绩效指标设置的准确性，提高屈原纪念馆工作的满意度。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rPr>
        <w:t>有关建议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eastAsia="黑体"/>
          <w:kern w:val="0"/>
          <w:sz w:val="32"/>
          <w:szCs w:val="32"/>
          <w:lang w:val="en-US" w:eastAsia="zh-CN"/>
        </w:rPr>
      </w:pPr>
      <w:r>
        <w:rPr>
          <w:rFonts w:hint="eastAsia" w:ascii="黑体" w:hAnsi="黑体" w:eastAsia="黑体" w:cs="黑体"/>
          <w:b/>
          <w:bCs/>
          <w:spacing w:val="-15"/>
          <w:sz w:val="31"/>
          <w:szCs w:val="31"/>
          <w:lang w:val="en-US" w:eastAsia="zh-CN"/>
        </w:rPr>
        <w:t xml:space="preserve">    </w:t>
      </w:r>
      <w:r>
        <w:rPr>
          <w:rFonts w:hint="eastAsia" w:eastAsia="宋体"/>
          <w:color w:val="1F1F1F"/>
          <w:sz w:val="27"/>
          <w:szCs w:val="27"/>
          <w:lang w:eastAsia="zh-CN"/>
        </w:rPr>
        <w:t xml:space="preserve"> </w:t>
      </w:r>
      <w:r>
        <w:rPr>
          <w:rFonts w:ascii="仿宋" w:hAnsi="仿宋" w:eastAsia="仿宋" w:cs="仿宋"/>
          <w:spacing w:val="1"/>
          <w:sz w:val="30"/>
          <w:szCs w:val="30"/>
          <w:lang w:eastAsia="zh-CN"/>
        </w:rPr>
        <w:t>请财政根据</w:t>
      </w:r>
      <w:r>
        <w:rPr>
          <w:rFonts w:hint="eastAsia" w:ascii="仿宋" w:hAnsi="仿宋" w:eastAsia="仿宋" w:cs="仿宋"/>
          <w:spacing w:val="1"/>
          <w:sz w:val="30"/>
          <w:szCs w:val="30"/>
          <w:lang w:eastAsia="zh-CN"/>
        </w:rPr>
        <w:t>汨罗市屈原纪念馆</w:t>
      </w:r>
      <w:r>
        <w:rPr>
          <w:rFonts w:ascii="仿宋" w:hAnsi="仿宋" w:eastAsia="仿宋" w:cs="仿宋"/>
          <w:spacing w:val="1"/>
          <w:sz w:val="30"/>
          <w:szCs w:val="30"/>
          <w:lang w:eastAsia="zh-CN"/>
        </w:rPr>
        <w:t>工作发展的要求和实际情况，提高年初部门预算额度，将常规项目支出纳入年度预算，保证机关正常运转</w:t>
      </w:r>
    </w:p>
    <w:p>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5"/>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5"/>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5"/>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5"/>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169F4"/>
    <w:multiLevelType w:val="singleLevel"/>
    <w:tmpl w:val="C80169F4"/>
    <w:lvl w:ilvl="0" w:tentative="0">
      <w:start w:val="1"/>
      <w:numFmt w:val="chineseCounting"/>
      <w:lvlText w:val="(%1)"/>
      <w:lvlJc w:val="left"/>
      <w:pPr>
        <w:tabs>
          <w:tab w:val="left" w:pos="312"/>
        </w:tabs>
      </w:pPr>
      <w:rPr>
        <w:rFonts w:hint="eastAsia"/>
      </w:rPr>
    </w:lvl>
  </w:abstractNum>
  <w:abstractNum w:abstractNumId="1">
    <w:nsid w:val="07EC2A77"/>
    <w:multiLevelType w:val="singleLevel"/>
    <w:tmpl w:val="07EC2A77"/>
    <w:lvl w:ilvl="0" w:tentative="0">
      <w:start w:val="4"/>
      <w:numFmt w:val="chineseCounting"/>
      <w:suff w:val="nothing"/>
      <w:lvlText w:val="（%1）"/>
      <w:lvlJc w:val="left"/>
      <w:rPr>
        <w:rFonts w:hint="eastAsia"/>
      </w:rPr>
    </w:lvl>
  </w:abstractNum>
  <w:abstractNum w:abstractNumId="2">
    <w:nsid w:val="347A179A"/>
    <w:multiLevelType w:val="singleLevel"/>
    <w:tmpl w:val="347A179A"/>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MzMTBmMjdjZDI3ZmZkOTA3MDc5MWQ0MzE4ZWNkNGUifQ=="/>
  </w:docVars>
  <w:rsids>
    <w:rsidRoot w:val="00000000"/>
    <w:rsid w:val="004B48CF"/>
    <w:rsid w:val="01AF3811"/>
    <w:rsid w:val="021F7DC1"/>
    <w:rsid w:val="02B04EBD"/>
    <w:rsid w:val="03253AFD"/>
    <w:rsid w:val="03795BF7"/>
    <w:rsid w:val="037F0C60"/>
    <w:rsid w:val="041C505B"/>
    <w:rsid w:val="06C241CB"/>
    <w:rsid w:val="086E756B"/>
    <w:rsid w:val="0ACF37E5"/>
    <w:rsid w:val="0B400BC6"/>
    <w:rsid w:val="0E68228D"/>
    <w:rsid w:val="0FE46D6C"/>
    <w:rsid w:val="10EA3C90"/>
    <w:rsid w:val="10FA582B"/>
    <w:rsid w:val="13F56BD4"/>
    <w:rsid w:val="15276E52"/>
    <w:rsid w:val="17306175"/>
    <w:rsid w:val="18754787"/>
    <w:rsid w:val="19D32FBC"/>
    <w:rsid w:val="1B9748FB"/>
    <w:rsid w:val="1D3F40C7"/>
    <w:rsid w:val="1E6A4395"/>
    <w:rsid w:val="1E85324A"/>
    <w:rsid w:val="2079293B"/>
    <w:rsid w:val="21240AF9"/>
    <w:rsid w:val="21CA447C"/>
    <w:rsid w:val="23983A20"/>
    <w:rsid w:val="25557A3D"/>
    <w:rsid w:val="25BD32CA"/>
    <w:rsid w:val="25FF38E2"/>
    <w:rsid w:val="260F621B"/>
    <w:rsid w:val="262E674E"/>
    <w:rsid w:val="26EA5ED7"/>
    <w:rsid w:val="27A93B82"/>
    <w:rsid w:val="27E2170E"/>
    <w:rsid w:val="29AE18A7"/>
    <w:rsid w:val="2AE00186"/>
    <w:rsid w:val="2F204FF5"/>
    <w:rsid w:val="2FC516F9"/>
    <w:rsid w:val="2FDA1C2F"/>
    <w:rsid w:val="308216BE"/>
    <w:rsid w:val="31D71BB7"/>
    <w:rsid w:val="32B06690"/>
    <w:rsid w:val="34FE1149"/>
    <w:rsid w:val="3A550786"/>
    <w:rsid w:val="3B7A130F"/>
    <w:rsid w:val="3C7E335B"/>
    <w:rsid w:val="3CE07B72"/>
    <w:rsid w:val="3D0F48FB"/>
    <w:rsid w:val="3D1B6DFC"/>
    <w:rsid w:val="487815A6"/>
    <w:rsid w:val="4AE805D7"/>
    <w:rsid w:val="4BA6467C"/>
    <w:rsid w:val="4E093E20"/>
    <w:rsid w:val="4F8B6063"/>
    <w:rsid w:val="500A3201"/>
    <w:rsid w:val="52FA3F96"/>
    <w:rsid w:val="55850F17"/>
    <w:rsid w:val="55A82D9F"/>
    <w:rsid w:val="57AE6D93"/>
    <w:rsid w:val="5AFC1BC3"/>
    <w:rsid w:val="5FB623A7"/>
    <w:rsid w:val="5FED5F7E"/>
    <w:rsid w:val="622D6B06"/>
    <w:rsid w:val="6D301BA0"/>
    <w:rsid w:val="6E2C680B"/>
    <w:rsid w:val="6E3851B0"/>
    <w:rsid w:val="6EF03395"/>
    <w:rsid w:val="6F4F630E"/>
    <w:rsid w:val="7924080B"/>
    <w:rsid w:val="7D983576"/>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autoRedefine/>
    <w:semiHidden/>
    <w:qFormat/>
    <w:uiPriority w:val="0"/>
    <w:rPr>
      <w:rFonts w:ascii="仿宋" w:hAnsi="仿宋" w:eastAsia="仿宋" w:cs="仿宋"/>
      <w:sz w:val="34"/>
      <w:szCs w:val="34"/>
      <w:lang w:val="en-US" w:eastAsia="en-US" w:bidi="ar-SA"/>
    </w:rPr>
  </w:style>
  <w:style w:type="paragraph" w:styleId="4">
    <w:name w:val="Body Text Indent 2"/>
    <w:basedOn w:val="1"/>
    <w:qFormat/>
    <w:uiPriority w:val="0"/>
    <w:pPr>
      <w:spacing w:line="480" w:lineRule="auto"/>
      <w:ind w:left="420" w:leftChars="200"/>
    </w:pPr>
  </w:style>
  <w:style w:type="paragraph" w:styleId="5">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 w:type="paragraph" w:styleId="11">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9085</Words>
  <Characters>9692</Characters>
  <TotalTime>33</TotalTime>
  <ScaleCrop>false</ScaleCrop>
  <LinksUpToDate>false</LinksUpToDate>
  <CharactersWithSpaces>9826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图书馆何小艺</cp:lastModifiedBy>
  <cp:lastPrinted>2024-05-21T14:05:00Z</cp:lastPrinted>
  <dcterms:modified xsi:type="dcterms:W3CDTF">2024-07-11T08:30:18Z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80ADFD4A0255451A8AE07E89628295CA_13</vt:lpwstr>
  </property>
</Properties>
</file>