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insoku w:val="0"/>
        <w:autoSpaceDE w:val="0"/>
        <w:autoSpaceDN w:val="0"/>
        <w:adjustRightInd w:val="0"/>
        <w:snapToGrid w:val="0"/>
        <w:spacing w:before="293" w:line="236" w:lineRule="auto"/>
        <w:ind w:firstLine="552"/>
        <w:textAlignment w:val="baseline"/>
        <w:rPr>
          <w:rFonts w:ascii="仿宋_GB2312" w:hAnsi="宋体" w:eastAsia="仿宋_GB2312" w:cs="宋体"/>
          <w:snapToGrid w:val="0"/>
          <w:color w:val="000000"/>
          <w:sz w:val="35"/>
          <w:szCs w:val="35"/>
          <w:lang w:val="en-US" w:eastAsia="zh-CN" w:bidi="ar-SA"/>
        </w:rPr>
      </w:pPr>
      <w:r>
        <w:rPr>
          <w:rFonts w:hint="eastAsia" w:ascii="宋体" w:hAnsi="宋体" w:eastAsia="宋体" w:cs="宋体"/>
          <w:bCs/>
          <w:snapToGrid w:val="0"/>
          <w:color w:val="000000"/>
          <w:spacing w:val="-4"/>
          <w:sz w:val="28"/>
          <w:szCs w:val="28"/>
          <w:lang w:val="en-US" w:eastAsia="zh-CN" w:bidi="ar-SA"/>
        </w:rPr>
        <w:t>附件3</w:t>
      </w:r>
    </w:p>
    <w:p>
      <w:pPr>
        <w:spacing w:before="91" w:line="219" w:lineRule="auto"/>
        <w:ind w:firstLine="896"/>
        <w:jc w:val="center"/>
        <w:rPr>
          <w:rFonts w:ascii="方正小标宋简体" w:hAnsi="宋体" w:eastAsia="方正小标宋简体" w:cs="宋体"/>
          <w:bCs/>
          <w:spacing w:val="8"/>
          <w:kern w:val="0"/>
          <w:sz w:val="44"/>
          <w:szCs w:val="44"/>
          <w:lang w:eastAsia="zh-CN"/>
        </w:rPr>
      </w:pPr>
      <w:r>
        <w:rPr>
          <w:rFonts w:ascii="方正小标宋简体" w:hAnsi="宋体" w:eastAsia="方正小标宋简体" w:cs="宋体"/>
          <w:bCs/>
          <w:spacing w:val="8"/>
          <w:kern w:val="0"/>
          <w:sz w:val="44"/>
          <w:szCs w:val="44"/>
          <w:lang w:eastAsia="zh-CN"/>
        </w:rPr>
        <w:t>202</w:t>
      </w:r>
      <w:r>
        <w:rPr>
          <w:rFonts w:hint="eastAsia" w:ascii="方正小标宋简体" w:hAnsi="宋体" w:eastAsia="方正小标宋简体" w:cs="宋体"/>
          <w:bCs/>
          <w:spacing w:val="8"/>
          <w:kern w:val="0"/>
          <w:sz w:val="44"/>
          <w:szCs w:val="44"/>
          <w:lang w:val="en-US" w:eastAsia="zh-CN"/>
        </w:rPr>
        <w:t>2</w:t>
      </w:r>
      <w:r>
        <w:rPr>
          <w:rFonts w:ascii="方正小标宋简体" w:hAnsi="宋体" w:eastAsia="方正小标宋简体" w:cs="宋体"/>
          <w:bCs/>
          <w:spacing w:val="8"/>
          <w:kern w:val="0"/>
          <w:sz w:val="44"/>
          <w:szCs w:val="44"/>
          <w:lang w:eastAsia="zh-CN"/>
        </w:rPr>
        <w:t>年度项目支出绩效自评表</w:t>
      </w:r>
    </w:p>
    <w:p>
      <w:pPr>
        <w:spacing w:line="95" w:lineRule="exact"/>
        <w:ind w:firstLine="420"/>
        <w:jc w:val="left"/>
        <w:rPr>
          <w:kern w:val="0"/>
          <w:lang w:eastAsia="zh-CN"/>
        </w:rPr>
      </w:pPr>
    </w:p>
    <w:tbl>
      <w:tblPr>
        <w:tblStyle w:val="5"/>
        <w:tblW w:w="959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4"/>
        <w:gridCol w:w="1059"/>
        <w:gridCol w:w="1218"/>
        <w:gridCol w:w="1020"/>
        <w:gridCol w:w="1099"/>
        <w:gridCol w:w="1099"/>
        <w:gridCol w:w="809"/>
        <w:gridCol w:w="1232"/>
        <w:gridCol w:w="10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  <w:jc w:val="center"/>
        </w:trPr>
        <w:tc>
          <w:tcPr>
            <w:tcW w:w="1054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项目支出名称</w:t>
            </w:r>
          </w:p>
        </w:tc>
        <w:tc>
          <w:tcPr>
            <w:tcW w:w="8536" w:type="dxa"/>
            <w:gridSpan w:val="8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土地储备委员会办专项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  <w:jc w:val="center"/>
        </w:trPr>
        <w:tc>
          <w:tcPr>
            <w:tcW w:w="1054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主管部门</w:t>
            </w:r>
          </w:p>
        </w:tc>
        <w:tc>
          <w:tcPr>
            <w:tcW w:w="4396" w:type="dxa"/>
            <w:gridSpan w:val="4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汨罗市自然资源局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实施</w:t>
            </w:r>
          </w:p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单位</w:t>
            </w:r>
          </w:p>
        </w:tc>
        <w:tc>
          <w:tcPr>
            <w:tcW w:w="3041" w:type="dxa"/>
            <w:gridSpan w:val="3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汨罗市自然资源局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  <w:jc w:val="center"/>
        </w:trPr>
        <w:tc>
          <w:tcPr>
            <w:tcW w:w="1054" w:type="dxa"/>
            <w:vMerge w:val="restart"/>
            <w:tcBorders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 xml:space="preserve">项目资金 </w:t>
            </w:r>
            <w:r>
              <w:rPr>
                <w:rFonts w:ascii="仿宋_GB2312" w:hAnsi="宋体" w:eastAsia="仿宋_GB2312" w:cs="宋体"/>
                <w:kern w:val="0"/>
                <w:lang w:eastAsia="zh-CN"/>
              </w:rPr>
              <w:t>(</w:t>
            </w: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万元</w:t>
            </w:r>
            <w:r>
              <w:rPr>
                <w:rFonts w:ascii="仿宋_GB2312" w:hAnsi="宋体" w:eastAsia="仿宋_GB2312" w:cs="宋体"/>
                <w:kern w:val="0"/>
                <w:lang w:eastAsia="zh-CN"/>
              </w:rPr>
              <w:t>)</w:t>
            </w:r>
          </w:p>
        </w:tc>
        <w:tc>
          <w:tcPr>
            <w:tcW w:w="2277" w:type="dxa"/>
            <w:gridSpan w:val="2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102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年初</w:t>
            </w:r>
          </w:p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预算数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全年</w:t>
            </w:r>
          </w:p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预算数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全年</w:t>
            </w:r>
          </w:p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执行数</w:t>
            </w:r>
          </w:p>
        </w:tc>
        <w:tc>
          <w:tcPr>
            <w:tcW w:w="809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分值</w:t>
            </w:r>
          </w:p>
        </w:tc>
        <w:tc>
          <w:tcPr>
            <w:tcW w:w="1232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执行率</w:t>
            </w:r>
          </w:p>
        </w:tc>
        <w:tc>
          <w:tcPr>
            <w:tcW w:w="100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  <w:jc w:val="center"/>
        </w:trPr>
        <w:tc>
          <w:tcPr>
            <w:tcW w:w="1054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2277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年度资金总额</w:t>
            </w:r>
          </w:p>
        </w:tc>
        <w:tc>
          <w:tcPr>
            <w:tcW w:w="1020" w:type="dxa"/>
            <w:vAlign w:val="center"/>
          </w:tcPr>
          <w:p>
            <w:pPr>
              <w:spacing w:line="240" w:lineRule="auto"/>
              <w:ind w:firstLine="420"/>
              <w:jc w:val="both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35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ind w:firstLine="420"/>
              <w:jc w:val="both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35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ind w:firstLine="420"/>
              <w:jc w:val="both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35</w:t>
            </w:r>
          </w:p>
        </w:tc>
        <w:tc>
          <w:tcPr>
            <w:tcW w:w="809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ascii="仿宋_GB2312" w:hAnsi="宋体" w:eastAsia="仿宋_GB2312" w:cs="宋体"/>
                <w:kern w:val="0"/>
                <w:lang w:eastAsia="zh-CN"/>
              </w:rPr>
              <w:t>10</w:t>
            </w:r>
          </w:p>
        </w:tc>
        <w:tc>
          <w:tcPr>
            <w:tcW w:w="1232" w:type="dxa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100%</w:t>
            </w:r>
          </w:p>
        </w:tc>
        <w:tc>
          <w:tcPr>
            <w:tcW w:w="100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  <w:jc w:val="center"/>
        </w:trPr>
        <w:tc>
          <w:tcPr>
            <w:tcW w:w="1054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2277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其中：当年财政拨款</w:t>
            </w:r>
          </w:p>
        </w:tc>
        <w:tc>
          <w:tcPr>
            <w:tcW w:w="1020" w:type="dxa"/>
            <w:vAlign w:val="center"/>
          </w:tcPr>
          <w:p>
            <w:pPr>
              <w:spacing w:line="240" w:lineRule="auto"/>
              <w:ind w:firstLine="420"/>
              <w:jc w:val="both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35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ind w:firstLine="420"/>
              <w:jc w:val="both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35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ind w:firstLine="420"/>
              <w:jc w:val="both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35</w:t>
            </w:r>
          </w:p>
        </w:tc>
        <w:tc>
          <w:tcPr>
            <w:tcW w:w="809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1232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100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  <w:jc w:val="center"/>
        </w:trPr>
        <w:tc>
          <w:tcPr>
            <w:tcW w:w="1054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2277" w:type="dxa"/>
            <w:gridSpan w:val="2"/>
            <w:vAlign w:val="center"/>
          </w:tcPr>
          <w:p>
            <w:pPr>
              <w:spacing w:line="240" w:lineRule="auto"/>
              <w:ind w:firstLine="630" w:firstLineChars="30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上年结转资金</w:t>
            </w:r>
          </w:p>
        </w:tc>
        <w:tc>
          <w:tcPr>
            <w:tcW w:w="102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809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1232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100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  <w:jc w:val="center"/>
        </w:trPr>
        <w:tc>
          <w:tcPr>
            <w:tcW w:w="1054" w:type="dxa"/>
            <w:vMerge w:val="continue"/>
            <w:tcBorders>
              <w:top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2277" w:type="dxa"/>
            <w:gridSpan w:val="2"/>
            <w:vAlign w:val="center"/>
          </w:tcPr>
          <w:p>
            <w:pPr>
              <w:spacing w:line="240" w:lineRule="auto"/>
              <w:ind w:firstLine="630" w:firstLineChars="30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其他资金</w:t>
            </w:r>
          </w:p>
        </w:tc>
        <w:tc>
          <w:tcPr>
            <w:tcW w:w="102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809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232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0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" w:hRule="atLeast"/>
          <w:jc w:val="center"/>
        </w:trPr>
        <w:tc>
          <w:tcPr>
            <w:tcW w:w="1054" w:type="dxa"/>
            <w:vMerge w:val="restart"/>
            <w:tcBorders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年度总体目标</w:t>
            </w:r>
          </w:p>
        </w:tc>
        <w:tc>
          <w:tcPr>
            <w:tcW w:w="4396" w:type="dxa"/>
            <w:gridSpan w:val="4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预期目标</w:t>
            </w:r>
          </w:p>
        </w:tc>
        <w:tc>
          <w:tcPr>
            <w:tcW w:w="4140" w:type="dxa"/>
            <w:gridSpan w:val="4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实际完成情况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  <w:jc w:val="center"/>
        </w:trPr>
        <w:tc>
          <w:tcPr>
            <w:tcW w:w="1054" w:type="dxa"/>
            <w:vMerge w:val="continue"/>
            <w:tcBorders>
              <w:top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4396" w:type="dxa"/>
            <w:gridSpan w:val="4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4140" w:type="dxa"/>
            <w:gridSpan w:val="4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  <w:jc w:val="center"/>
        </w:trPr>
        <w:tc>
          <w:tcPr>
            <w:tcW w:w="1054" w:type="dxa"/>
            <w:vMerge w:val="restart"/>
            <w:tcBorders>
              <w:left w:val="single" w:color="auto" w:sz="4" w:space="0"/>
            </w:tcBorders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绩效指标</w:t>
            </w:r>
          </w:p>
        </w:tc>
        <w:tc>
          <w:tcPr>
            <w:tcW w:w="1059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一级指标</w:t>
            </w:r>
          </w:p>
        </w:tc>
        <w:tc>
          <w:tcPr>
            <w:tcW w:w="1218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二级指标</w:t>
            </w:r>
          </w:p>
        </w:tc>
        <w:tc>
          <w:tcPr>
            <w:tcW w:w="1020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三级指标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年度指标值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实际完成值</w:t>
            </w:r>
          </w:p>
        </w:tc>
        <w:tc>
          <w:tcPr>
            <w:tcW w:w="809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分值</w:t>
            </w:r>
          </w:p>
        </w:tc>
        <w:tc>
          <w:tcPr>
            <w:tcW w:w="1232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得分</w:t>
            </w:r>
          </w:p>
        </w:tc>
        <w:tc>
          <w:tcPr>
            <w:tcW w:w="1000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偏差原因分析及改进措施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  <w:jc w:val="center"/>
        </w:trPr>
        <w:tc>
          <w:tcPr>
            <w:tcW w:w="1054" w:type="dxa"/>
            <w:vMerge w:val="continue"/>
            <w:tcBorders>
              <w:left w:val="single" w:color="auto" w:sz="4" w:space="0"/>
            </w:tcBorders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1059" w:type="dxa"/>
            <w:vMerge w:val="restart"/>
            <w:tcBorders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产出指标</w:t>
            </w:r>
          </w:p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ascii="仿宋_GB2312" w:hAnsi="宋体" w:eastAsia="仿宋_GB2312" w:cs="宋体"/>
                <w:kern w:val="0"/>
              </w:rPr>
              <w:t>(</w:t>
            </w: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3</w:t>
            </w:r>
            <w:r>
              <w:rPr>
                <w:rFonts w:ascii="仿宋_GB2312" w:hAnsi="宋体" w:eastAsia="仿宋_GB2312" w:cs="宋体"/>
                <w:kern w:val="0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</w:rPr>
              <w:t>分</w:t>
            </w:r>
            <w:r>
              <w:rPr>
                <w:rFonts w:ascii="仿宋_GB2312" w:hAnsi="宋体" w:eastAsia="仿宋_GB2312" w:cs="宋体"/>
                <w:kern w:val="0"/>
              </w:rPr>
              <w:t>)</w:t>
            </w:r>
          </w:p>
        </w:tc>
        <w:tc>
          <w:tcPr>
            <w:tcW w:w="1218" w:type="dxa"/>
            <w:tcBorders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数量指标</w:t>
            </w:r>
          </w:p>
        </w:tc>
        <w:tc>
          <w:tcPr>
            <w:tcW w:w="1020" w:type="dxa"/>
            <w:vAlign w:val="center"/>
          </w:tcPr>
          <w:p>
            <w:pPr>
              <w:spacing w:line="240" w:lineRule="auto"/>
              <w:jc w:val="left"/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完成对应任务</w:t>
            </w:r>
          </w:p>
        </w:tc>
        <w:tc>
          <w:tcPr>
            <w:tcW w:w="1099" w:type="dxa"/>
            <w:vAlign w:val="center"/>
          </w:tcPr>
          <w:p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 xml:space="preserve">1.确保储备委员会准确程度在1：2000基础数据 </w:t>
            </w:r>
          </w:p>
          <w:p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2.2021年下半年完成基本数据，2023年完成成果验收，发布成果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jc w:val="both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按要求完成任务</w:t>
            </w:r>
          </w:p>
        </w:tc>
        <w:tc>
          <w:tcPr>
            <w:tcW w:w="809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1232" w:type="dxa"/>
            <w:vAlign w:val="center"/>
          </w:tcPr>
          <w:p>
            <w:pPr>
              <w:spacing w:line="240" w:lineRule="auto"/>
              <w:ind w:firstLine="420" w:firstLineChars="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100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  <w:jc w:val="center"/>
        </w:trPr>
        <w:tc>
          <w:tcPr>
            <w:tcW w:w="1054" w:type="dxa"/>
            <w:vMerge w:val="continue"/>
            <w:tcBorders>
              <w:left w:val="single" w:color="auto" w:sz="4" w:space="0"/>
            </w:tcBorders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59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质量指标</w:t>
            </w:r>
          </w:p>
        </w:tc>
        <w:tc>
          <w:tcPr>
            <w:tcW w:w="1020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高质量完成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jc w:val="both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1.全面推进土地储备初始库及工作底图精细度 2.村庄规划全覆盖错误率为零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ind w:firstLine="420"/>
              <w:jc w:val="both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良好</w:t>
            </w:r>
          </w:p>
        </w:tc>
        <w:tc>
          <w:tcPr>
            <w:tcW w:w="809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1232" w:type="dxa"/>
            <w:vAlign w:val="center"/>
          </w:tcPr>
          <w:p>
            <w:pPr>
              <w:spacing w:line="240" w:lineRule="auto"/>
              <w:ind w:firstLine="420" w:firstLineChars="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100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  <w:jc w:val="center"/>
        </w:trPr>
        <w:tc>
          <w:tcPr>
            <w:tcW w:w="1054" w:type="dxa"/>
            <w:vMerge w:val="continue"/>
            <w:tcBorders>
              <w:left w:val="single" w:color="auto" w:sz="4" w:space="0"/>
            </w:tcBorders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59" w:type="dxa"/>
            <w:vMerge w:val="continue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218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时效指标</w:t>
            </w:r>
          </w:p>
        </w:tc>
        <w:tc>
          <w:tcPr>
            <w:tcW w:w="1020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完成时间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jc w:val="both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2022年全年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jc w:val="both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2022年全年</w:t>
            </w:r>
          </w:p>
        </w:tc>
        <w:tc>
          <w:tcPr>
            <w:tcW w:w="809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1232" w:type="dxa"/>
            <w:vAlign w:val="center"/>
          </w:tcPr>
          <w:p>
            <w:pPr>
              <w:spacing w:line="240" w:lineRule="auto"/>
              <w:ind w:firstLine="420" w:firstLineChars="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100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  <w:jc w:val="center"/>
        </w:trPr>
        <w:tc>
          <w:tcPr>
            <w:tcW w:w="10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效益指标</w:t>
            </w:r>
          </w:p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ascii="仿宋_GB2312" w:hAnsi="宋体" w:eastAsia="仿宋_GB2312" w:cs="宋体"/>
                <w:kern w:val="0"/>
              </w:rPr>
              <w:t>(30</w:t>
            </w:r>
            <w:r>
              <w:rPr>
                <w:rFonts w:hint="eastAsia" w:ascii="仿宋_GB2312" w:hAnsi="宋体" w:eastAsia="仿宋_GB2312" w:cs="宋体"/>
                <w:kern w:val="0"/>
              </w:rPr>
              <w:t>分</w:t>
            </w:r>
            <w:r>
              <w:rPr>
                <w:rFonts w:ascii="仿宋_GB2312" w:hAnsi="宋体" w:eastAsia="仿宋_GB2312" w:cs="宋体"/>
                <w:kern w:val="0"/>
              </w:rPr>
              <w:t>)</w:t>
            </w: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经济效益指标</w:t>
            </w:r>
          </w:p>
        </w:tc>
        <w:tc>
          <w:tcPr>
            <w:tcW w:w="1020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促进经济发展</w:t>
            </w:r>
          </w:p>
        </w:tc>
        <w:tc>
          <w:tcPr>
            <w:tcW w:w="1099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lef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有所提升</w:t>
            </w:r>
          </w:p>
        </w:tc>
        <w:tc>
          <w:tcPr>
            <w:tcW w:w="1099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lef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有所提升</w:t>
            </w:r>
          </w:p>
        </w:tc>
        <w:tc>
          <w:tcPr>
            <w:tcW w:w="809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1232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ind w:firstLine="420" w:firstLineChars="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1000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  <w:jc w:val="center"/>
        </w:trPr>
        <w:tc>
          <w:tcPr>
            <w:tcW w:w="10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社会效益指标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lef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带动农村经济发展</w:t>
            </w:r>
          </w:p>
        </w:tc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lef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有所提升</w:t>
            </w:r>
          </w:p>
        </w:tc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lef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有所提升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420" w:firstLineChars="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  <w:jc w:val="center"/>
        </w:trPr>
        <w:tc>
          <w:tcPr>
            <w:tcW w:w="105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59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218" w:type="dxa"/>
            <w:tcBorders>
              <w:top w:val="single" w:color="auto" w:sz="4" w:space="0"/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生态效益指标</w:t>
            </w:r>
          </w:p>
        </w:tc>
        <w:tc>
          <w:tcPr>
            <w:tcW w:w="1020" w:type="dxa"/>
            <w:tcBorders>
              <w:top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生态环境改善状况</w:t>
            </w:r>
          </w:p>
        </w:tc>
        <w:tc>
          <w:tcPr>
            <w:tcW w:w="1099" w:type="dxa"/>
            <w:tcBorders>
              <w:top w:val="single" w:color="auto" w:sz="4" w:space="0"/>
            </w:tcBorders>
            <w:vAlign w:val="center"/>
          </w:tcPr>
          <w:p>
            <w:pPr>
              <w:spacing w:line="240" w:lineRule="auto"/>
              <w:jc w:val="lef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有所改善</w:t>
            </w:r>
          </w:p>
        </w:tc>
        <w:tc>
          <w:tcPr>
            <w:tcW w:w="1099" w:type="dxa"/>
            <w:tcBorders>
              <w:top w:val="single" w:color="auto" w:sz="4" w:space="0"/>
            </w:tcBorders>
            <w:vAlign w:val="center"/>
          </w:tcPr>
          <w:p>
            <w:pPr>
              <w:spacing w:line="240" w:lineRule="auto"/>
              <w:jc w:val="lef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有所改善</w:t>
            </w:r>
          </w:p>
        </w:tc>
        <w:tc>
          <w:tcPr>
            <w:tcW w:w="809" w:type="dxa"/>
            <w:tcBorders>
              <w:top w:val="single" w:color="auto" w:sz="4" w:space="0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5</w:t>
            </w:r>
          </w:p>
        </w:tc>
        <w:tc>
          <w:tcPr>
            <w:tcW w:w="1232" w:type="dxa"/>
            <w:tcBorders>
              <w:top w:val="single" w:color="auto" w:sz="4" w:space="0"/>
            </w:tcBorders>
            <w:vAlign w:val="center"/>
          </w:tcPr>
          <w:p>
            <w:pPr>
              <w:spacing w:line="240" w:lineRule="auto"/>
              <w:ind w:firstLine="420" w:firstLineChars="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5</w:t>
            </w:r>
          </w:p>
        </w:tc>
        <w:tc>
          <w:tcPr>
            <w:tcW w:w="1000" w:type="dxa"/>
            <w:tcBorders>
              <w:top w:val="single" w:color="auto" w:sz="4" w:space="0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" w:hRule="atLeast"/>
          <w:jc w:val="center"/>
        </w:trPr>
        <w:tc>
          <w:tcPr>
            <w:tcW w:w="1054" w:type="dxa"/>
            <w:vMerge w:val="continue"/>
            <w:tcBorders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218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可持续影响指标</w:t>
            </w:r>
          </w:p>
        </w:tc>
        <w:tc>
          <w:tcPr>
            <w:tcW w:w="1020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是否可持续发展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ind w:firstLine="420"/>
              <w:jc w:val="lef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持续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ind w:firstLine="420"/>
              <w:jc w:val="lef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持续</w:t>
            </w:r>
          </w:p>
        </w:tc>
        <w:tc>
          <w:tcPr>
            <w:tcW w:w="809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5</w:t>
            </w:r>
          </w:p>
        </w:tc>
        <w:tc>
          <w:tcPr>
            <w:tcW w:w="1232" w:type="dxa"/>
            <w:vAlign w:val="center"/>
          </w:tcPr>
          <w:p>
            <w:pPr>
              <w:spacing w:line="240" w:lineRule="auto"/>
              <w:ind w:firstLine="420" w:firstLineChars="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5</w:t>
            </w:r>
          </w:p>
        </w:tc>
        <w:tc>
          <w:tcPr>
            <w:tcW w:w="100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  <w:jc w:val="center"/>
        </w:trPr>
        <w:tc>
          <w:tcPr>
            <w:tcW w:w="1054" w:type="dxa"/>
            <w:vMerge w:val="continue"/>
            <w:tcBorders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满意度指标</w:t>
            </w:r>
            <w:r>
              <w:rPr>
                <w:rFonts w:ascii="仿宋_GB2312" w:hAnsi="宋体" w:eastAsia="仿宋_GB2312" w:cs="宋体"/>
                <w:kern w:val="0"/>
              </w:rPr>
              <w:t>(10</w:t>
            </w:r>
            <w:r>
              <w:rPr>
                <w:rFonts w:hint="eastAsia" w:ascii="仿宋_GB2312" w:hAnsi="宋体" w:eastAsia="仿宋_GB2312" w:cs="宋体"/>
                <w:kern w:val="0"/>
              </w:rPr>
              <w:t>分</w:t>
            </w:r>
            <w:r>
              <w:rPr>
                <w:rFonts w:ascii="仿宋_GB2312" w:hAnsi="宋体" w:eastAsia="仿宋_GB2312" w:cs="宋体"/>
                <w:kern w:val="0"/>
              </w:rPr>
              <w:t>)</w:t>
            </w: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服务对象满意度指标</w:t>
            </w:r>
          </w:p>
        </w:tc>
        <w:tc>
          <w:tcPr>
            <w:tcW w:w="1020" w:type="dxa"/>
            <w:tcBorders>
              <w:lef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社会公众满意度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ind w:firstLine="420"/>
              <w:jc w:val="lef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≥95%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ind w:firstLine="420"/>
              <w:jc w:val="lef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≥95%</w:t>
            </w:r>
          </w:p>
        </w:tc>
        <w:tc>
          <w:tcPr>
            <w:tcW w:w="809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1232" w:type="dxa"/>
            <w:vAlign w:val="center"/>
          </w:tcPr>
          <w:p>
            <w:pPr>
              <w:spacing w:line="240" w:lineRule="auto"/>
              <w:ind w:firstLine="420" w:firstLineChars="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100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  <w:jc w:val="center"/>
        </w:trPr>
        <w:tc>
          <w:tcPr>
            <w:tcW w:w="1054" w:type="dxa"/>
            <w:vMerge w:val="continue"/>
            <w:tcBorders>
              <w:left w:val="single" w:color="auto" w:sz="4" w:space="0"/>
            </w:tcBorders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59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eastAsia="仿宋_GB2312"/>
                <w:kern w:val="0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lang w:val="en-US" w:eastAsia="zh-CN"/>
              </w:rPr>
              <w:t>成本指标</w:t>
            </w:r>
          </w:p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eastAsia="仿宋_GB2312"/>
                <w:kern w:val="0"/>
                <w:lang w:val="en-US" w:eastAsia="zh-CN"/>
              </w:rPr>
              <w:t>（20分）</w:t>
            </w: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eastAsia="仿宋_GB2312"/>
                <w:kern w:val="0"/>
                <w:lang w:eastAsia="zh-CN"/>
              </w:rPr>
              <w:t>经济成本指标</w:t>
            </w:r>
          </w:p>
        </w:tc>
        <w:tc>
          <w:tcPr>
            <w:tcW w:w="1020" w:type="dxa"/>
            <w:tcBorders>
              <w:lef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预算批复金额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jc w:val="lef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将成本控制在预算范围内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jc w:val="lef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控制良好</w:t>
            </w:r>
          </w:p>
        </w:tc>
        <w:tc>
          <w:tcPr>
            <w:tcW w:w="809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1232" w:type="dxa"/>
            <w:vAlign w:val="center"/>
          </w:tcPr>
          <w:p>
            <w:pPr>
              <w:spacing w:line="240" w:lineRule="auto"/>
              <w:ind w:firstLine="420" w:firstLineChars="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100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  <w:jc w:val="center"/>
        </w:trPr>
        <w:tc>
          <w:tcPr>
            <w:tcW w:w="1054" w:type="dxa"/>
            <w:vMerge w:val="continue"/>
            <w:tcBorders>
              <w:left w:val="single" w:color="auto" w:sz="4" w:space="0"/>
            </w:tcBorders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59" w:type="dxa"/>
            <w:vMerge w:val="continue"/>
            <w:tcBorders>
              <w:top w:val="nil"/>
            </w:tcBorders>
            <w:vAlign w:val="center"/>
          </w:tcPr>
          <w:p>
            <w:pPr>
              <w:spacing w:line="240" w:lineRule="auto"/>
              <w:ind w:firstLine="420" w:firstLineChars="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218" w:type="dxa"/>
            <w:tcBorders>
              <w:top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eastAsia="仿宋_GB2312"/>
                <w:kern w:val="0"/>
                <w:lang w:eastAsia="zh-CN"/>
              </w:rPr>
              <w:t>社会成本指标</w:t>
            </w:r>
          </w:p>
        </w:tc>
        <w:tc>
          <w:tcPr>
            <w:tcW w:w="1020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对社会发展可能造成的负面影响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ind w:firstLine="420"/>
              <w:jc w:val="lef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无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ind w:firstLine="420"/>
              <w:jc w:val="lef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无</w:t>
            </w:r>
          </w:p>
        </w:tc>
        <w:tc>
          <w:tcPr>
            <w:tcW w:w="809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5</w:t>
            </w:r>
          </w:p>
        </w:tc>
        <w:tc>
          <w:tcPr>
            <w:tcW w:w="1232" w:type="dxa"/>
            <w:vAlign w:val="center"/>
          </w:tcPr>
          <w:p>
            <w:pPr>
              <w:spacing w:line="240" w:lineRule="auto"/>
              <w:ind w:firstLine="420" w:firstLineChars="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5</w:t>
            </w:r>
          </w:p>
        </w:tc>
        <w:tc>
          <w:tcPr>
            <w:tcW w:w="100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  <w:jc w:val="center"/>
        </w:trPr>
        <w:tc>
          <w:tcPr>
            <w:tcW w:w="1054" w:type="dxa"/>
            <w:vMerge w:val="continue"/>
            <w:tcBorders>
              <w:left w:val="single" w:color="auto" w:sz="4" w:space="0"/>
            </w:tcBorders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59" w:type="dxa"/>
            <w:vMerge w:val="continue"/>
            <w:tcBorders>
              <w:top w:val="nil"/>
            </w:tcBorders>
            <w:vAlign w:val="center"/>
          </w:tcPr>
          <w:p>
            <w:pPr>
              <w:spacing w:line="240" w:lineRule="auto"/>
              <w:ind w:firstLine="420" w:firstLineChars="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218" w:type="dxa"/>
            <w:tcBorders>
              <w:top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eastAsia="仿宋_GB2312"/>
                <w:kern w:val="0"/>
                <w:lang w:eastAsia="zh-CN"/>
              </w:rPr>
              <w:t>生态环境成本指标</w:t>
            </w:r>
          </w:p>
        </w:tc>
        <w:tc>
          <w:tcPr>
            <w:tcW w:w="1020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对自然生态环境造成的负面影响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ind w:firstLine="420"/>
              <w:jc w:val="lef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无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ind w:firstLine="420"/>
              <w:jc w:val="lef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无</w:t>
            </w:r>
          </w:p>
        </w:tc>
        <w:tc>
          <w:tcPr>
            <w:tcW w:w="809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5</w:t>
            </w:r>
          </w:p>
        </w:tc>
        <w:tc>
          <w:tcPr>
            <w:tcW w:w="1232" w:type="dxa"/>
            <w:vAlign w:val="center"/>
          </w:tcPr>
          <w:p>
            <w:pPr>
              <w:spacing w:line="240" w:lineRule="auto"/>
              <w:ind w:firstLine="420" w:firstLineChars="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5</w:t>
            </w:r>
          </w:p>
        </w:tc>
        <w:tc>
          <w:tcPr>
            <w:tcW w:w="100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  <w:jc w:val="center"/>
        </w:trPr>
        <w:tc>
          <w:tcPr>
            <w:tcW w:w="6549" w:type="dxa"/>
            <w:gridSpan w:val="6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总分</w:t>
            </w:r>
          </w:p>
        </w:tc>
        <w:tc>
          <w:tcPr>
            <w:tcW w:w="809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100</w:t>
            </w:r>
          </w:p>
        </w:tc>
        <w:tc>
          <w:tcPr>
            <w:tcW w:w="1232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</w:pPr>
            <w:bookmarkStart w:id="0" w:name="_GoBack"/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100</w:t>
            </w:r>
            <w:bookmarkEnd w:id="0"/>
          </w:p>
        </w:tc>
        <w:tc>
          <w:tcPr>
            <w:tcW w:w="100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</w:pPr>
          </w:p>
        </w:tc>
      </w:tr>
    </w:tbl>
    <w:p>
      <w:pPr>
        <w:spacing w:before="52" w:line="219" w:lineRule="auto"/>
        <w:jc w:val="left"/>
        <w:rPr>
          <w:rFonts w:ascii="仿宋_GB2312" w:hAnsi="宋体" w:eastAsia="仿宋_GB2312" w:cs="宋体"/>
          <w:kern w:val="0"/>
          <w:lang w:eastAsia="zh-CN"/>
        </w:rPr>
      </w:pPr>
      <w:r>
        <w:rPr>
          <w:rFonts w:ascii="仿宋_GB2312" w:hAnsi="宋体" w:eastAsia="仿宋_GB2312" w:cs="宋体"/>
          <w:kern w:val="0"/>
          <w:lang w:eastAsia="zh-CN"/>
        </w:rPr>
        <w:t>备注： 一个一级项目支出一张表。如，业务工作经费，运行维护经费，其他事业发展类资金…各一张表.</w:t>
      </w:r>
    </w:p>
    <w:p>
      <w:pPr>
        <w:spacing w:line="240" w:lineRule="auto"/>
        <w:ind w:firstLine="420"/>
        <w:jc w:val="left"/>
        <w:rPr>
          <w:rFonts w:ascii="宋体" w:hAnsi="宋体" w:eastAsia="宋体" w:cs="宋体"/>
          <w:kern w:val="0"/>
          <w:lang w:eastAsia="zh-CN"/>
        </w:rPr>
      </w:pPr>
    </w:p>
    <w:p>
      <w:r>
        <w:rPr>
          <w:rFonts w:hint="eastAsia" w:ascii="仿宋_GB2312" w:hAnsi="宋体" w:eastAsia="仿宋_GB2312" w:cs="宋体"/>
          <w:kern w:val="0"/>
          <w:lang w:eastAsia="zh-CN"/>
        </w:rPr>
        <w:t>填表人：</w:t>
      </w:r>
      <w:r>
        <w:rPr>
          <w:rFonts w:ascii="仿宋_GB2312" w:hAnsi="宋体" w:eastAsia="仿宋_GB2312" w:cs="宋体"/>
          <w:kern w:val="0"/>
          <w:lang w:eastAsia="zh-CN"/>
        </w:rPr>
        <w:t xml:space="preserve">           </w:t>
      </w:r>
      <w:r>
        <w:rPr>
          <w:rFonts w:hint="eastAsia" w:ascii="仿宋_GB2312" w:hAnsi="宋体" w:eastAsia="仿宋_GB2312" w:cs="宋体"/>
          <w:kern w:val="0"/>
          <w:lang w:eastAsia="zh-CN"/>
        </w:rPr>
        <w:t>填报日期：</w:t>
      </w:r>
      <w:r>
        <w:rPr>
          <w:rFonts w:ascii="仿宋_GB2312" w:hAnsi="宋体" w:eastAsia="仿宋_GB2312" w:cs="宋体"/>
          <w:kern w:val="0"/>
          <w:lang w:eastAsia="zh-CN"/>
        </w:rPr>
        <w:t xml:space="preserve">            </w:t>
      </w:r>
      <w:r>
        <w:rPr>
          <w:rFonts w:hint="eastAsia" w:ascii="仿宋_GB2312" w:hAnsi="宋体" w:eastAsia="仿宋_GB2312" w:cs="宋体"/>
          <w:kern w:val="0"/>
          <w:lang w:eastAsia="zh-CN"/>
        </w:rPr>
        <w:t>联系电话：</w:t>
      </w:r>
      <w:r>
        <w:rPr>
          <w:rFonts w:ascii="仿宋_GB2312" w:hAnsi="宋体" w:eastAsia="仿宋_GB2312" w:cs="宋体"/>
          <w:kern w:val="0"/>
          <w:lang w:eastAsia="zh-CN"/>
        </w:rPr>
        <w:t xml:space="preserve">           </w:t>
      </w:r>
      <w:r>
        <w:rPr>
          <w:rFonts w:hint="eastAsia" w:ascii="仿宋_GB2312" w:hAnsi="宋体" w:eastAsia="仿宋_GB2312" w:cs="宋体"/>
          <w:kern w:val="0"/>
          <w:lang w:eastAsia="zh-CN"/>
        </w:rPr>
        <w:t>单位负责人签字:</w:t>
      </w: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Arial" w:hAnsi="Arial" w:eastAsia="Arial" w:cs="Arial"/>
        <w:snapToGrid w:val="0"/>
        <w:color w:val="000000"/>
        <w:sz w:val="21"/>
        <w:szCs w:val="21"/>
        <w:lang w:val="en-US" w:eastAsia="en-US" w:bidi="ar-SA"/>
      </w:rPr>
      <w:id w:val="3580141"/>
      <w:docPartObj>
        <w:docPartGallery w:val="autotext"/>
      </w:docPartObj>
    </w:sdtPr>
    <w:sdtEndPr>
      <w:rPr>
        <w:rFonts w:hint="eastAsia" w:cs="Arial" w:asciiTheme="minorEastAsia" w:hAnsiTheme="minorEastAsia" w:eastAsiaTheme="minorEastAsia"/>
        <w:snapToGrid w:val="0"/>
        <w:color w:val="000000"/>
        <w:kern w:val="0"/>
        <w:sz w:val="28"/>
        <w:szCs w:val="28"/>
        <w:lang w:val="en-US" w:eastAsia="en-US" w:bidi="ar-SA"/>
      </w:rPr>
    </w:sdtEndPr>
    <w:sdtContent>
      <w:p>
        <w:pPr>
          <w:pStyle w:val="2"/>
          <w:jc w:val="right"/>
          <w:rPr>
            <w:rFonts w:asciiTheme="minorEastAsia" w:hAnsiTheme="minorEastAsia" w:eastAsiaTheme="minorEastAsia"/>
            <w:kern w:val="0"/>
          </w:rPr>
        </w:pPr>
      </w:p>
    </w:sdtContent>
  </w:sdt>
  <w:p>
    <w:pPr>
      <w:spacing w:line="14" w:lineRule="auto"/>
      <w:jc w:val="left"/>
      <w:rPr>
        <w:kern w:val="0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0ZmZlZTEyYzZiODMwNTZlM2VmMzMxNTExOTMxZTMifQ=="/>
  </w:docVars>
  <w:rsids>
    <w:rsidRoot w:val="00000000"/>
    <w:rsid w:val="12A81748"/>
    <w:rsid w:val="135C1BD6"/>
    <w:rsid w:val="1E1229C7"/>
    <w:rsid w:val="2FCE5A15"/>
    <w:rsid w:val="35C447CB"/>
    <w:rsid w:val="38B06DCB"/>
    <w:rsid w:val="3B862A60"/>
    <w:rsid w:val="4C935908"/>
    <w:rsid w:val="4FF0236A"/>
    <w:rsid w:val="54B07238"/>
    <w:rsid w:val="5DE94B66"/>
    <w:rsid w:val="60E11F1C"/>
    <w:rsid w:val="61736957"/>
    <w:rsid w:val="6D373701"/>
    <w:rsid w:val="7B1D19B6"/>
    <w:rsid w:val="7C950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tabs>
        <w:tab w:val="center" w:pos="4153"/>
        <w:tab w:val="right" w:pos="8306"/>
      </w:tabs>
      <w:kinsoku w:val="0"/>
      <w:autoSpaceDE w:val="0"/>
      <w:autoSpaceDN w:val="0"/>
      <w:adjustRightInd w:val="0"/>
      <w:snapToGrid w:val="0"/>
      <w:spacing w:line="560" w:lineRule="exact"/>
      <w:textAlignment w:val="baseline"/>
    </w:pPr>
    <w:rPr>
      <w:rFonts w:ascii="Arial" w:hAnsi="Arial" w:eastAsia="Arial" w:cs="Arial"/>
      <w:snapToGrid w:val="0"/>
      <w:color w:val="000000"/>
      <w:sz w:val="18"/>
      <w:szCs w:val="18"/>
      <w:lang w:val="en-US" w:eastAsia="en-US" w:bidi="ar-SA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597</Words>
  <Characters>660</Characters>
  <Lines>0</Lines>
  <Paragraphs>0</Paragraphs>
  <TotalTime>0</TotalTime>
  <ScaleCrop>false</ScaleCrop>
  <LinksUpToDate>false</LinksUpToDate>
  <CharactersWithSpaces>698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2024-06-24T07:47:00Z</dcterms:created>
  <dc:creator>Administrator</dc:creator>
  <cp:lastModifiedBy>企业用户_615845838</cp:lastModifiedBy>
  <dcterms:modified xsi:type="dcterms:W3CDTF">2024-07-03T09:46:20Z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CCC8C64EFB18445DB482F8B357E285CE_12</vt:lpwstr>
  </property>
</Properties>
</file>