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67" w:lineRule="auto"/>
        <w:ind w:firstLine="552"/>
        <w:jc w:val="both"/>
        <w:rPr>
          <w:rFonts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  <w:t>附件4</w:t>
      </w:r>
    </w:p>
    <w:p>
      <w:pPr>
        <w:spacing w:line="240" w:lineRule="auto"/>
        <w:ind w:firstLine="880"/>
        <w:jc w:val="center"/>
        <w:rPr>
          <w:rFonts w:hint="eastAsia" w:ascii="方正小标宋简体" w:eastAsia="方正小标宋简体"/>
          <w:kern w:val="0"/>
          <w:sz w:val="44"/>
          <w:szCs w:val="44"/>
          <w:lang w:eastAsia="zh-CN"/>
        </w:rPr>
      </w:pPr>
    </w:p>
    <w:p>
      <w:pPr>
        <w:spacing w:line="240" w:lineRule="auto"/>
        <w:ind w:firstLine="880"/>
        <w:jc w:val="center"/>
        <w:rPr>
          <w:rFonts w:ascii="方正小标宋简体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宋体" w:eastAsia="方正小标宋简体" w:cs="宋体"/>
          <w:kern w:val="0"/>
          <w:sz w:val="44"/>
          <w:szCs w:val="44"/>
          <w:lang w:eastAsia="zh-CN"/>
        </w:rPr>
        <w:t>年度汨罗市自然资源局系统部门整体支出绩效自评报告</w:t>
      </w: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78" w:line="221" w:lineRule="auto"/>
        <w:ind w:firstLine="587"/>
        <w:jc w:val="center"/>
        <w:textAlignment w:val="baseline"/>
        <w:rPr>
          <w:rFonts w:ascii="楷体_GB2312" w:hAnsi="仿宋" w:eastAsia="楷体_GB2312" w:cs="仿宋"/>
          <w:snapToGrid w:val="0"/>
          <w:color w:val="000000"/>
          <w:sz w:val="32"/>
          <w:szCs w:val="32"/>
          <w:lang w:val="en-US" w:eastAsia="zh-CN" w:bidi="ar-SA"/>
        </w:rPr>
      </w:pPr>
      <w:r>
        <w:rPr>
          <w:rFonts w:hint="eastAsia"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lang w:val="en-US" w:eastAsia="zh-CN" w:bidi="ar-SA"/>
        </w:rPr>
        <w:t>部门(单位)名称：</w:t>
      </w:r>
      <w:r>
        <w:rPr>
          <w:rFonts w:hint="eastAsia" w:ascii="楷体_GB2312" w:hAnsi="仿宋" w:eastAsia="楷体_GB2312" w:cs="仿宋"/>
          <w:b/>
          <w:bCs/>
          <w:snapToGrid w:val="0"/>
          <w:color w:val="000000"/>
          <w:spacing w:val="-28"/>
          <w:sz w:val="32"/>
          <w:szCs w:val="32"/>
          <w:u w:val="single"/>
          <w:lang w:val="en-US" w:eastAsia="zh-CN" w:bidi="ar-SA"/>
        </w:rPr>
        <w:t>汨罗市自然资源局系统(盖章)</w:t>
      </w:r>
    </w:p>
    <w:p>
      <w:pPr>
        <w:spacing w:before="274" w:line="225" w:lineRule="auto"/>
        <w:ind w:firstLine="617"/>
        <w:jc w:val="center"/>
        <w:rPr>
          <w:rFonts w:ascii="楷体_GB2312" w:hAnsi="楷体" w:eastAsia="楷体_GB2312" w:cs="楷体"/>
          <w:kern w:val="0"/>
          <w:sz w:val="32"/>
          <w:szCs w:val="32"/>
          <w:lang w:eastAsia="zh-CN"/>
        </w:rPr>
      </w:pP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val="en-US" w:eastAsia="zh-CN"/>
        </w:rPr>
        <w:t>2023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 xml:space="preserve">年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 xml:space="preserve"> </w:t>
      </w:r>
      <w:r>
        <w:rPr>
          <w:rFonts w:hint="eastAsia" w:ascii="楷体_GB2312" w:hAnsi="楷体" w:eastAsia="楷体_GB2312" w:cs="楷体"/>
          <w:spacing w:val="-13"/>
          <w:kern w:val="0"/>
          <w:sz w:val="32"/>
          <w:szCs w:val="32"/>
          <w:lang w:eastAsia="zh-CN"/>
        </w:rPr>
        <w:t xml:space="preserve">月 </w:t>
      </w:r>
      <w:r>
        <w:rPr>
          <w:rFonts w:hint="eastAsia" w:ascii="楷体_GB2312" w:hAnsi="楷体" w:eastAsia="楷体_GB2312" w:cs="楷体"/>
          <w:spacing w:val="-13"/>
          <w:kern w:val="0"/>
          <w:sz w:val="32"/>
          <w:szCs w:val="32"/>
          <w:lang w:val="en-US" w:eastAsia="zh-CN"/>
        </w:rPr>
        <w:t>17</w:t>
      </w:r>
      <w:r>
        <w:rPr>
          <w:rFonts w:hint="eastAsia" w:ascii="楷体_GB2312" w:hAnsi="楷体" w:eastAsia="楷体_GB2312" w:cs="楷体"/>
          <w:spacing w:val="-13"/>
          <w:kern w:val="0"/>
          <w:sz w:val="32"/>
          <w:szCs w:val="32"/>
          <w:lang w:eastAsia="zh-CN"/>
        </w:rPr>
        <w:t xml:space="preserve"> </w:t>
      </w:r>
      <w:r>
        <w:rPr>
          <w:rFonts w:hint="eastAsia" w:ascii="楷体_GB2312" w:hAnsi="楷体" w:eastAsia="楷体_GB2312" w:cs="楷体"/>
          <w:b/>
          <w:bCs/>
          <w:spacing w:val="-13"/>
          <w:kern w:val="0"/>
          <w:sz w:val="32"/>
          <w:szCs w:val="32"/>
          <w:lang w:eastAsia="zh-CN"/>
        </w:rPr>
        <w:t>日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  <w:r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  <w:t>(此页为封面)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center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both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sdt>
      <w:sdtPr>
        <w:rPr>
          <w:rFonts w:ascii="Arial" w:hAnsi="Arial" w:eastAsia="Arial" w:cs="Arial"/>
          <w:snapToGrid w:val="0"/>
          <w:color w:val="000000"/>
          <w:sz w:val="21"/>
          <w:szCs w:val="21"/>
          <w:lang w:val="en-US" w:eastAsia="en-US" w:bidi="ar-SA"/>
        </w:rPr>
        <w:id w:val="3580075"/>
        <w:docPartObj>
          <w:docPartGallery w:val="autotext"/>
        </w:docPartObj>
      </w:sdtPr>
      <w:sdtEndPr>
        <w:rPr>
          <w:rFonts w:hint="eastAsia" w:cs="Arial" w:asciiTheme="minorEastAsia" w:hAnsiTheme="minorEastAsia" w:eastAsiaTheme="minorEastAsia"/>
          <w:snapToGrid w:val="0"/>
          <w:color w:val="000000"/>
          <w:kern w:val="0"/>
          <w:sz w:val="28"/>
          <w:szCs w:val="28"/>
          <w:lang w:val="en-US" w:eastAsia="en-US" w:bidi="ar-SA"/>
        </w:rPr>
      </w:sdtEndPr>
      <w:sdtContent>
        <w:p>
          <w:pPr>
            <w:pStyle w:val="3"/>
            <w:ind w:firstLine="360"/>
            <w:jc w:val="left"/>
            <w:rPr>
              <w:rFonts w:asciiTheme="minorEastAsia" w:hAnsiTheme="minorEastAsia" w:eastAsiaTheme="minorEastAsia"/>
              <w:kern w:val="0"/>
              <w:lang w:eastAsia="zh-CN"/>
            </w:rPr>
          </w:pPr>
        </w:p>
      </w:sdtContent>
    </w:sdt>
    <w:p>
      <w:pPr>
        <w:spacing w:before="130" w:line="221" w:lineRule="auto"/>
        <w:jc w:val="center"/>
        <w:rPr>
          <w:rFonts w:ascii="黑体" w:hAnsi="黑体" w:eastAsia="黑体" w:cs="黑体"/>
          <w:spacing w:val="16"/>
          <w:sz w:val="40"/>
          <w:szCs w:val="40"/>
        </w:rPr>
      </w:pPr>
      <w:r>
        <w:rPr>
          <w:rFonts w:ascii="黑体" w:hAnsi="黑体" w:eastAsia="黑体" w:cs="黑体"/>
          <w:spacing w:val="16"/>
          <w:sz w:val="40"/>
          <w:szCs w:val="40"/>
        </w:rPr>
        <w:t>202</w:t>
      </w:r>
      <w:r>
        <w:rPr>
          <w:rFonts w:hint="eastAsia" w:ascii="黑体" w:hAnsi="黑体" w:eastAsia="黑体" w:cs="黑体"/>
          <w:spacing w:val="16"/>
          <w:sz w:val="40"/>
          <w:szCs w:val="40"/>
          <w:lang w:val="en-US" w:eastAsia="zh-CN"/>
        </w:rPr>
        <w:t>2</w:t>
      </w:r>
      <w:r>
        <w:rPr>
          <w:rFonts w:ascii="黑体" w:hAnsi="黑体" w:eastAsia="黑体" w:cs="黑体"/>
          <w:spacing w:val="16"/>
          <w:sz w:val="40"/>
          <w:szCs w:val="40"/>
        </w:rPr>
        <w:t>年度</w:t>
      </w:r>
      <w:r>
        <w:rPr>
          <w:rFonts w:hint="eastAsia" w:ascii="黑体" w:hAnsi="黑体" w:eastAsia="黑体" w:cs="黑体"/>
          <w:spacing w:val="-60"/>
          <w:sz w:val="40"/>
          <w:szCs w:val="40"/>
        </w:rPr>
        <w:t>汨罗</w:t>
      </w:r>
      <w:bookmarkStart w:id="0" w:name="_GoBack"/>
      <w:bookmarkEnd w:id="0"/>
      <w:r>
        <w:rPr>
          <w:rFonts w:hint="eastAsia" w:ascii="黑体" w:hAnsi="黑体" w:eastAsia="黑体" w:cs="黑体"/>
          <w:spacing w:val="-60"/>
          <w:sz w:val="40"/>
          <w:szCs w:val="40"/>
        </w:rPr>
        <w:t>市自然资源局系统</w:t>
      </w:r>
      <w:r>
        <w:rPr>
          <w:rFonts w:ascii="黑体" w:hAnsi="黑体" w:eastAsia="黑体" w:cs="黑体"/>
          <w:spacing w:val="16"/>
          <w:sz w:val="40"/>
          <w:szCs w:val="40"/>
        </w:rPr>
        <w:t>部门整体支出绩效</w:t>
      </w:r>
    </w:p>
    <w:p>
      <w:pPr>
        <w:spacing w:before="130" w:line="221" w:lineRule="auto"/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-24"/>
          <w:position w:val="20"/>
          <w:sz w:val="40"/>
          <w:szCs w:val="40"/>
        </w:rPr>
        <w:t>自</w:t>
      </w:r>
      <w:r>
        <w:rPr>
          <w:rFonts w:ascii="黑体" w:hAnsi="黑体" w:eastAsia="黑体" w:cs="黑体"/>
          <w:spacing w:val="82"/>
          <w:position w:val="20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-24"/>
          <w:position w:val="20"/>
          <w:sz w:val="40"/>
          <w:szCs w:val="40"/>
        </w:rPr>
        <w:t>评</w:t>
      </w:r>
      <w:r>
        <w:rPr>
          <w:rFonts w:ascii="黑体" w:hAnsi="黑体" w:eastAsia="黑体" w:cs="黑体"/>
          <w:spacing w:val="79"/>
          <w:position w:val="20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-24"/>
          <w:position w:val="20"/>
          <w:sz w:val="40"/>
          <w:szCs w:val="40"/>
        </w:rPr>
        <w:t>报</w:t>
      </w:r>
      <w:r>
        <w:rPr>
          <w:rFonts w:ascii="黑体" w:hAnsi="黑体" w:eastAsia="黑体" w:cs="黑体"/>
          <w:spacing w:val="87"/>
          <w:position w:val="20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-24"/>
          <w:position w:val="20"/>
          <w:sz w:val="40"/>
          <w:szCs w:val="40"/>
        </w:rPr>
        <w:t>告</w:t>
      </w:r>
    </w:p>
    <w:p>
      <w:pPr>
        <w:kinsoku w:val="0"/>
        <w:autoSpaceDE w:val="0"/>
        <w:autoSpaceDN w:val="0"/>
        <w:adjustRightInd w:val="0"/>
        <w:snapToGrid w:val="0"/>
        <w:spacing w:before="211" w:line="224" w:lineRule="auto"/>
        <w:ind w:firstLine="638"/>
        <w:jc w:val="both"/>
        <w:textAlignment w:val="baseline"/>
        <w:rPr>
          <w:rFonts w:ascii="仿宋" w:hAnsi="仿宋" w:eastAsia="仿宋" w:cs="仿宋"/>
          <w:b/>
          <w:bCs/>
          <w:snapToGrid w:val="0"/>
          <w:color w:val="000000"/>
          <w:spacing w:val="18"/>
          <w:sz w:val="30"/>
          <w:szCs w:val="30"/>
          <w:lang w:val="en-US" w:eastAsia="zh-CN" w:bidi="ar-SA"/>
        </w:rPr>
      </w:pP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</w:pP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部门</w:t>
      </w:r>
      <w:r>
        <w:rPr>
          <w:rFonts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(</w:t>
      </w: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单位</w:t>
      </w:r>
      <w:r>
        <w:rPr>
          <w:rFonts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)</w:t>
      </w:r>
      <w:r>
        <w:rPr>
          <w:rFonts w:hint="eastAsia" w:ascii="方正黑体_GBK" w:hAnsi="仿宋" w:eastAsia="方正黑体_GBK" w:cs="仿宋"/>
          <w:snapToGrid w:val="0"/>
          <w:color w:val="000000"/>
          <w:sz w:val="32"/>
          <w:szCs w:val="32"/>
          <w:lang w:val="en-US" w:eastAsia="zh-CN" w:bidi="ar-SA"/>
        </w:rPr>
        <w:t>基本情况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汨罗市自然资源局系统单位内设机构包括：汨罗市自然资源局机关、汨罗市不动产登记中心、汨罗市国土资源局乡镇国土所和汨罗市土地综合整治中心。现有人数414人，其中：在职407人,退休89人，遗属7人。公务用车实有数6辆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一般公共预算支出情况</w:t>
      </w:r>
    </w:p>
    <w:p>
      <w:pPr>
        <w:pStyle w:val="9"/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楷体_GB2312"/>
          <w:b/>
          <w:kern w:val="0"/>
          <w:sz w:val="32"/>
          <w:szCs w:val="32"/>
          <w:lang w:eastAsia="zh-CN"/>
        </w:rPr>
        <w:t>（一）</w:t>
      </w: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基本支出情况</w:t>
      </w:r>
    </w:p>
    <w:p>
      <w:pPr>
        <w:pStyle w:val="9"/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基本支出5707.78万元，其中工资福利支出4150.35 万元、一般商品服务支出1422.75万元、对个人和家庭的补助支出17.13万元。</w:t>
      </w:r>
    </w:p>
    <w:p>
      <w:pPr>
        <w:pStyle w:val="9"/>
        <w:numPr>
          <w:ilvl w:val="0"/>
          <w:numId w:val="2"/>
        </w:numPr>
        <w:spacing w:line="600" w:lineRule="exact"/>
        <w:ind w:firstLine="643"/>
        <w:jc w:val="both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项目支出情况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1、专项资金安排落实、总投入等情况分析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专项资金5,136.71 万元，已全部到账。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2、专项资金实际使用情况分析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专项资金全部用于对应的资金项目，根据项目合同的规定与项目完成实际情况来付款。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3、专项资金管理情况分析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lang w:eastAsia="zh-CN"/>
        </w:rPr>
        <w:t>专项资金根据项目不同采取不同的资金管理，一般的项目资金直接拨付，而国土空间总体规划、村庄规划、控建拆违则是先批后用。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政府性基金预算支出情况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年度政府性基金预算支出为3,641.14万元，用于项目支出。</w:t>
      </w:r>
    </w:p>
    <w:p>
      <w:pPr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before="211" w:line="224" w:lineRule="auto"/>
        <w:ind w:firstLine="640"/>
        <w:jc w:val="both"/>
        <w:textAlignment w:val="baseline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国有资本经营预算支出情况</w:t>
      </w:r>
    </w:p>
    <w:p>
      <w:pPr>
        <w:numPr>
          <w:ilvl w:val="0"/>
          <w:numId w:val="0"/>
        </w:numPr>
        <w:spacing w:line="600" w:lineRule="exact"/>
        <w:ind w:left="640" w:leftChars="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Arial"/>
          <w:snapToGrid w:val="0"/>
          <w:color w:val="000000"/>
          <w:kern w:val="0"/>
          <w:sz w:val="32"/>
          <w:szCs w:val="32"/>
          <w:highlight w:val="none"/>
          <w:lang w:val="en-US" w:eastAsia="zh-CN" w:bidi="ar-SA"/>
        </w:rPr>
        <w:t>2022年度国有资本经营预算支出0万元。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社会保险基金预算支出情况</w:t>
      </w:r>
    </w:p>
    <w:p>
      <w:pPr>
        <w:spacing w:line="600" w:lineRule="exact"/>
        <w:ind w:firstLine="640" w:firstLineChars="200"/>
        <w:jc w:val="both"/>
        <w:rPr>
          <w:rFonts w:hint="eastAsia"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Arial"/>
          <w:snapToGrid w:val="0"/>
          <w:color w:val="000000"/>
          <w:kern w:val="0"/>
          <w:sz w:val="32"/>
          <w:szCs w:val="32"/>
          <w:highlight w:val="none"/>
          <w:lang w:val="en-US" w:eastAsia="zh-CN" w:bidi="ar-SA"/>
        </w:rPr>
        <w:t>2022年度社会保险基金预算支出0万元。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0"/>
        <w:jc w:val="both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部门整体支出绩效情况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总结归纳本部门</w:t>
      </w:r>
      <w:r>
        <w:rPr>
          <w:rFonts w:eastAsia="仿宋_GB2312"/>
          <w:kern w:val="0"/>
          <w:sz w:val="32"/>
          <w:szCs w:val="32"/>
          <w:lang w:eastAsia="zh-CN"/>
        </w:rPr>
        <w:t>“</w:t>
      </w:r>
      <w:r>
        <w:rPr>
          <w:rFonts w:hint="eastAsia" w:eastAsia="仿宋_GB2312"/>
          <w:kern w:val="0"/>
          <w:sz w:val="32"/>
          <w:szCs w:val="32"/>
          <w:lang w:eastAsia="zh-CN"/>
        </w:rPr>
        <w:t>四本预算</w:t>
      </w:r>
      <w:r>
        <w:rPr>
          <w:rFonts w:eastAsia="仿宋_GB2312"/>
          <w:kern w:val="0"/>
          <w:sz w:val="32"/>
          <w:szCs w:val="32"/>
          <w:lang w:eastAsia="zh-CN"/>
        </w:rPr>
        <w:t>”</w:t>
      </w:r>
      <w:r>
        <w:rPr>
          <w:rFonts w:hint="eastAsia" w:eastAsia="仿宋_GB2312"/>
          <w:kern w:val="0"/>
          <w:sz w:val="32"/>
          <w:szCs w:val="32"/>
          <w:lang w:eastAsia="zh-CN"/>
        </w:rPr>
        <w:t>支出的绩效目标完成情况，实现产出和取得效益的情况。围绕部门职责、行业发展规划，以预算资金管理为主线，总结部门资产管理和开展业务情况，从运行成本、管理效率、履职效能、社会效应、可持续发展能力和服务对象满意度等方面，衡量部门整体及核心业务实施效果。</w:t>
      </w:r>
    </w:p>
    <w:p>
      <w:pPr>
        <w:spacing w:line="600" w:lineRule="exact"/>
        <w:ind w:firstLine="640" w:firstLineChars="200"/>
        <w:jc w:val="both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七、存在的问题及原因分析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可以从预算和预算绩效管理，部门履职效能，资金分配、使用和管理，资产和财务管理、政府采购等方面归纳存在的问题；反映各种预算支出执行偏离绩效目标的情况，并分析其原因。</w:t>
      </w:r>
    </w:p>
    <w:p>
      <w:pPr>
        <w:spacing w:line="600" w:lineRule="exact"/>
        <w:ind w:firstLine="640" w:firstLineChars="200"/>
        <w:jc w:val="both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八、下一步改进措施</w:t>
      </w:r>
    </w:p>
    <w:p>
      <w:pPr>
        <w:spacing w:line="600" w:lineRule="exact"/>
        <w:ind w:firstLine="640" w:firstLineChars="200"/>
        <w:jc w:val="both"/>
        <w:rPr>
          <w:rFonts w:ascii="方正黑体_GBK" w:eastAsia="方正黑体_GBK"/>
          <w:kern w:val="0"/>
          <w:sz w:val="32"/>
          <w:szCs w:val="32"/>
          <w:lang w:eastAsia="zh-CN"/>
        </w:rPr>
      </w:pPr>
      <w:r>
        <w:rPr>
          <w:rFonts w:hint="eastAsia" w:ascii="方正黑体_GBK" w:eastAsia="方正黑体_GBK"/>
          <w:kern w:val="0"/>
          <w:sz w:val="32"/>
          <w:szCs w:val="32"/>
          <w:lang w:eastAsia="zh-CN"/>
        </w:rPr>
        <w:t>九、部门整体支出绩效自评结果拟应用和公开情况</w:t>
      </w:r>
    </w:p>
    <w:p>
      <w:pPr>
        <w:spacing w:line="600" w:lineRule="exact"/>
        <w:ind w:firstLine="640" w:firstLineChars="200"/>
        <w:jc w:val="both"/>
        <w:rPr>
          <w:rFonts w:eastAsia="黑体"/>
          <w:kern w:val="0"/>
          <w:sz w:val="32"/>
          <w:szCs w:val="32"/>
          <w:lang w:eastAsia="zh-CN"/>
        </w:rPr>
      </w:pPr>
      <w:r>
        <w:rPr>
          <w:rFonts w:hint="eastAsia" w:eastAsia="黑体"/>
          <w:kern w:val="0"/>
          <w:sz w:val="32"/>
          <w:szCs w:val="32"/>
          <w:lang w:eastAsia="zh-CN"/>
        </w:rPr>
        <w:t>十、其他需要说明的情况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  <w:lang w:eastAsia="zh-CN"/>
        </w:rPr>
        <w:t>报告需要以下附件：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1</w:t>
      </w:r>
      <w:r>
        <w:rPr>
          <w:rFonts w:hint="eastAsia" w:eastAsia="仿宋_GB2312"/>
          <w:kern w:val="0"/>
          <w:sz w:val="32"/>
          <w:szCs w:val="32"/>
          <w:lang w:eastAsia="zh-CN"/>
        </w:rPr>
        <w:t>、部门整体支出绩效评价基础数据表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2</w:t>
      </w:r>
      <w:r>
        <w:rPr>
          <w:rFonts w:hint="eastAsia" w:eastAsia="仿宋_GB2312"/>
          <w:kern w:val="0"/>
          <w:sz w:val="32"/>
          <w:szCs w:val="32"/>
          <w:lang w:eastAsia="zh-CN"/>
        </w:rPr>
        <w:t>、部门整体支出绩效自评表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3</w:t>
      </w:r>
      <w:r>
        <w:rPr>
          <w:rFonts w:hint="eastAsia" w:eastAsia="仿宋_GB2312"/>
          <w:kern w:val="0"/>
          <w:sz w:val="32"/>
          <w:szCs w:val="32"/>
          <w:lang w:eastAsia="zh-CN"/>
        </w:rPr>
        <w:t>、项目支出绩效自评表（每个一级项目支出一张表）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4</w:t>
      </w:r>
      <w:r>
        <w:rPr>
          <w:rFonts w:hint="eastAsia" w:eastAsia="仿宋_GB2312"/>
          <w:kern w:val="0"/>
          <w:sz w:val="32"/>
          <w:szCs w:val="32"/>
          <w:lang w:eastAsia="zh-CN"/>
        </w:rPr>
        <w:t>、政府性基金预算支出情况表</w:t>
      </w:r>
    </w:p>
    <w:p>
      <w:pPr>
        <w:spacing w:line="600" w:lineRule="exact"/>
        <w:ind w:firstLine="640" w:firstLineChars="200"/>
        <w:jc w:val="both"/>
        <w:rPr>
          <w:rFonts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5</w:t>
      </w:r>
      <w:r>
        <w:rPr>
          <w:rFonts w:hint="eastAsia" w:eastAsia="仿宋_GB2312"/>
          <w:kern w:val="0"/>
          <w:sz w:val="32"/>
          <w:szCs w:val="32"/>
          <w:lang w:eastAsia="zh-CN"/>
        </w:rPr>
        <w:t>、国有资本经营预算支出情况表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eastAsia="仿宋_GB2312"/>
          <w:kern w:val="0"/>
          <w:sz w:val="32"/>
          <w:szCs w:val="32"/>
          <w:lang w:eastAsia="zh-CN"/>
        </w:rPr>
        <w:t>6</w:t>
      </w:r>
      <w:r>
        <w:rPr>
          <w:rFonts w:hint="eastAsia" w:eastAsia="仿宋_GB2312"/>
          <w:kern w:val="0"/>
          <w:sz w:val="32"/>
          <w:szCs w:val="32"/>
          <w:lang w:eastAsia="zh-CN"/>
        </w:rPr>
        <w:t>、社会保险基金预算支出情况表</w:t>
      </w: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600" w:lineRule="exact"/>
        <w:ind w:firstLine="640" w:firstLineChars="200"/>
        <w:jc w:val="both"/>
        <w:rPr>
          <w:rFonts w:hint="eastAsia" w:eastAsia="仿宋_GB2312"/>
          <w:kern w:val="0"/>
          <w:sz w:val="32"/>
          <w:szCs w:val="32"/>
          <w:lang w:eastAsia="zh-CN"/>
        </w:rPr>
      </w:pPr>
    </w:p>
    <w:p>
      <w:pPr>
        <w:spacing w:line="267" w:lineRule="auto"/>
        <w:ind w:firstLine="552"/>
        <w:jc w:val="both"/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</w:p>
    <w:p>
      <w:pPr>
        <w:spacing w:line="267" w:lineRule="auto"/>
        <w:ind w:firstLine="552"/>
        <w:jc w:val="both"/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</w:p>
    <w:p>
      <w:pPr>
        <w:spacing w:line="267" w:lineRule="auto"/>
        <w:ind w:firstLine="552"/>
        <w:jc w:val="both"/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</w:p>
    <w:p>
      <w:pPr>
        <w:spacing w:line="267" w:lineRule="auto"/>
        <w:ind w:firstLine="552"/>
        <w:jc w:val="both"/>
        <w:rPr>
          <w:rFonts w:hint="eastAsia" w:ascii="宋体" w:hAnsi="宋体" w:eastAsia="宋体" w:cs="宋体"/>
          <w:bCs/>
          <w:spacing w:val="-4"/>
          <w:kern w:val="0"/>
          <w:sz w:val="28"/>
          <w:szCs w:val="28"/>
          <w:lang w:eastAsia="zh-CN"/>
        </w:rPr>
      </w:pPr>
    </w:p>
    <w:sectPr>
      <w:footerReference r:id="rId5" w:type="default"/>
      <w:pgSz w:w="11900" w:h="16820"/>
      <w:pgMar w:top="1755" w:right="1227" w:bottom="1485" w:left="1011" w:header="0" w:footer="9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7" w:lineRule="auto"/>
      <w:ind w:left="274"/>
      <w:rPr>
        <w:rFonts w:ascii="宋体" w:hAnsi="宋体" w:eastAsia="宋体" w:cs="宋体"/>
        <w:sz w:val="31"/>
        <w:szCs w:val="3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F323C"/>
    <w:multiLevelType w:val="singleLevel"/>
    <w:tmpl w:val="885F32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8ADF338"/>
    <w:multiLevelType w:val="singleLevel"/>
    <w:tmpl w:val="68ADF33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0ZmZlZTEyYzZiODMwNTZlM2VmMzMxNTExOTMxZTMifQ=="/>
  </w:docVars>
  <w:rsids>
    <w:rsidRoot w:val="00000000"/>
    <w:rsid w:val="016C71F3"/>
    <w:rsid w:val="01A658E4"/>
    <w:rsid w:val="01AF3811"/>
    <w:rsid w:val="030B4515"/>
    <w:rsid w:val="03795BF7"/>
    <w:rsid w:val="03E56E68"/>
    <w:rsid w:val="080F08D8"/>
    <w:rsid w:val="086E756B"/>
    <w:rsid w:val="0881423A"/>
    <w:rsid w:val="08BF22FE"/>
    <w:rsid w:val="0A012E52"/>
    <w:rsid w:val="0ACF37E5"/>
    <w:rsid w:val="0B400BC6"/>
    <w:rsid w:val="0B41349E"/>
    <w:rsid w:val="0CA90116"/>
    <w:rsid w:val="0E68228D"/>
    <w:rsid w:val="0ECA56A3"/>
    <w:rsid w:val="0F19203C"/>
    <w:rsid w:val="105C559E"/>
    <w:rsid w:val="130C2ADA"/>
    <w:rsid w:val="15276E52"/>
    <w:rsid w:val="16550D59"/>
    <w:rsid w:val="16CD208A"/>
    <w:rsid w:val="17312619"/>
    <w:rsid w:val="19870CDC"/>
    <w:rsid w:val="19D32FBC"/>
    <w:rsid w:val="1B676A58"/>
    <w:rsid w:val="1BEF51BC"/>
    <w:rsid w:val="1C244174"/>
    <w:rsid w:val="1DAC21A4"/>
    <w:rsid w:val="1E6A4395"/>
    <w:rsid w:val="1EB6153E"/>
    <w:rsid w:val="21166803"/>
    <w:rsid w:val="25557A3D"/>
    <w:rsid w:val="26812245"/>
    <w:rsid w:val="26EA5ED7"/>
    <w:rsid w:val="27A93B82"/>
    <w:rsid w:val="295A1F27"/>
    <w:rsid w:val="2A7B46C6"/>
    <w:rsid w:val="2AE00186"/>
    <w:rsid w:val="308216BE"/>
    <w:rsid w:val="32AC094E"/>
    <w:rsid w:val="34FE1149"/>
    <w:rsid w:val="359758E5"/>
    <w:rsid w:val="37B212B9"/>
    <w:rsid w:val="3A550786"/>
    <w:rsid w:val="3B7A130F"/>
    <w:rsid w:val="3D595B76"/>
    <w:rsid w:val="3FEA5F19"/>
    <w:rsid w:val="404F488C"/>
    <w:rsid w:val="42F32FCA"/>
    <w:rsid w:val="432B1AFF"/>
    <w:rsid w:val="457355FC"/>
    <w:rsid w:val="461404B7"/>
    <w:rsid w:val="4A075EDF"/>
    <w:rsid w:val="4AAA3236"/>
    <w:rsid w:val="4AC66358"/>
    <w:rsid w:val="4DE374C2"/>
    <w:rsid w:val="4ED2501F"/>
    <w:rsid w:val="4F8B6063"/>
    <w:rsid w:val="4F9B0E29"/>
    <w:rsid w:val="500536E6"/>
    <w:rsid w:val="52FA3F96"/>
    <w:rsid w:val="539161AE"/>
    <w:rsid w:val="55850F17"/>
    <w:rsid w:val="57436E3A"/>
    <w:rsid w:val="57AE6D93"/>
    <w:rsid w:val="5E3706B3"/>
    <w:rsid w:val="5FB623A7"/>
    <w:rsid w:val="60C8325D"/>
    <w:rsid w:val="61AF0F4C"/>
    <w:rsid w:val="61FF55B1"/>
    <w:rsid w:val="63B23D6D"/>
    <w:rsid w:val="65DE7499"/>
    <w:rsid w:val="688B7085"/>
    <w:rsid w:val="68E343C2"/>
    <w:rsid w:val="6A984853"/>
    <w:rsid w:val="6DFB3F5C"/>
    <w:rsid w:val="6E3851B0"/>
    <w:rsid w:val="6F1E030A"/>
    <w:rsid w:val="704D3E52"/>
    <w:rsid w:val="716D6F1F"/>
    <w:rsid w:val="72A96205"/>
    <w:rsid w:val="75DE5A1A"/>
    <w:rsid w:val="7A3E7B97"/>
    <w:rsid w:val="7D4A19AF"/>
    <w:rsid w:val="7D6438CC"/>
    <w:rsid w:val="7ED677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paragraph" w:styleId="3">
    <w:name w:val="footer"/>
    <w:autoRedefine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9">
    <w:name w:val="List Paragraph"/>
    <w:autoRedefine/>
    <w:unhideWhenUsed/>
    <w:qFormat/>
    <w:uiPriority w:val="99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2872</Words>
  <Characters>3301</Characters>
  <TotalTime>3</TotalTime>
  <ScaleCrop>false</ScaleCrop>
  <LinksUpToDate>false</LinksUpToDate>
  <CharactersWithSpaces>3408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2024-04-19T21:25:00Z</dcterms:created>
  <dc:creator>Administrator</dc:creator>
  <cp:lastModifiedBy>企业用户_615845838</cp:lastModifiedBy>
  <cp:lastPrinted>2024-05-21T14:05:00Z</cp:lastPrinted>
  <dcterms:modified xsi:type="dcterms:W3CDTF">2024-07-03T08:56:55Z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2024-04-19T21:25:46Z</vt:filetime>
  </property>
  <property fmtid="{D5CDD505-2E9C-101B-9397-08002B2CF9AE}" pid="4" name="UsrData">
    <vt:lpwstr>662270d4e44a44001f699c5cwl</vt:lpwstr>
  </property>
  <property fmtid="{D5CDD505-2E9C-101B-9397-08002B2CF9AE}" pid="5" name="KSOProductBuildVer">
    <vt:lpwstr>2052-12.1.0.16929</vt:lpwstr>
  </property>
  <property fmtid="{D5CDD505-2E9C-101B-9397-08002B2CF9AE}" pid="6" name="ICV">
    <vt:lpwstr>A1E9AC54BF58440288AD196632C2A254_12</vt:lpwstr>
  </property>
</Properties>
</file>