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jc w:val="both"/>
        <w:rPr>
          <w:rFonts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val="en-US" w:eastAsia="zh-CN"/>
        </w:rPr>
        <w:t>5</w:t>
      </w:r>
    </w:p>
    <w:p>
      <w:pPr>
        <w:spacing w:before="201" w:line="578" w:lineRule="exact"/>
        <w:ind w:firstLine="900" w:firstLineChars="200"/>
        <w:jc w:val="center"/>
        <w:rPr>
          <w:rFonts w:ascii="黑体" w:hAnsi="黑体" w:eastAsia="黑体" w:cs="黑体"/>
          <w:spacing w:val="15"/>
          <w:position w:val="10"/>
          <w:sz w:val="42"/>
          <w:szCs w:val="42"/>
        </w:rPr>
      </w:pPr>
      <w:bookmarkStart w:id="0" w:name="_GoBack"/>
      <w:r>
        <w:rPr>
          <w:rFonts w:ascii="Times New Roman" w:hAnsi="Times New Roman" w:eastAsia="Times New Roman" w:cs="Times New Roman"/>
          <w:spacing w:val="15"/>
          <w:position w:val="10"/>
          <w:sz w:val="42"/>
          <w:szCs w:val="42"/>
        </w:rPr>
        <w:t>202</w:t>
      </w:r>
      <w:r>
        <w:rPr>
          <w:rFonts w:hint="eastAsia" w:ascii="Times New Roman" w:hAnsi="Times New Roman" w:eastAsia="宋体" w:cs="Times New Roman"/>
          <w:spacing w:val="15"/>
          <w:position w:val="10"/>
          <w:sz w:val="42"/>
          <w:szCs w:val="42"/>
          <w:lang w:val="en-US" w:eastAsia="zh-CN"/>
        </w:rPr>
        <w:t>2</w:t>
      </w:r>
      <w:r>
        <w:rPr>
          <w:rFonts w:ascii="黑体" w:hAnsi="黑体" w:eastAsia="黑体" w:cs="黑体"/>
          <w:spacing w:val="15"/>
          <w:position w:val="10"/>
          <w:sz w:val="42"/>
          <w:szCs w:val="42"/>
        </w:rPr>
        <w:t>年度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  <w:t>汨罗市社会垫资耕地开发建设指挥部专项经费</w:t>
      </w:r>
      <w:r>
        <w:rPr>
          <w:rFonts w:ascii="黑体" w:hAnsi="黑体" w:eastAsia="黑体" w:cs="黑体"/>
          <w:spacing w:val="15"/>
          <w:position w:val="10"/>
          <w:sz w:val="42"/>
          <w:szCs w:val="42"/>
        </w:rPr>
        <w:t>项目支出绩效自评报告</w:t>
      </w:r>
    </w:p>
    <w:bookmarkEnd w:id="0"/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89" w:line="221" w:lineRule="auto"/>
        <w:ind w:left="2270"/>
        <w:rPr>
          <w:sz w:val="27"/>
          <w:szCs w:val="27"/>
        </w:rPr>
      </w:pPr>
      <w:r>
        <w:rPr>
          <w:spacing w:val="-22"/>
          <w:sz w:val="27"/>
          <w:szCs w:val="27"/>
        </w:rPr>
        <w:t>部 门 ( 单</w:t>
      </w:r>
      <w:r>
        <w:rPr>
          <w:spacing w:val="-19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位</w:t>
      </w:r>
      <w:r>
        <w:rPr>
          <w:spacing w:val="-43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)</w:t>
      </w:r>
      <w:r>
        <w:rPr>
          <w:spacing w:val="-36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名</w:t>
      </w:r>
      <w:r>
        <w:rPr>
          <w:spacing w:val="-37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称</w:t>
      </w:r>
      <w:r>
        <w:rPr>
          <w:spacing w:val="-54"/>
          <w:sz w:val="27"/>
          <w:szCs w:val="27"/>
        </w:rPr>
        <w:t xml:space="preserve"> </w:t>
      </w:r>
      <w:r>
        <w:rPr>
          <w:spacing w:val="-22"/>
          <w:sz w:val="27"/>
          <w:szCs w:val="27"/>
        </w:rPr>
        <w:t>：</w:t>
      </w:r>
      <w:r>
        <w:rPr>
          <w:rFonts w:hint="eastAsia"/>
          <w:spacing w:val="-22"/>
          <w:sz w:val="27"/>
          <w:szCs w:val="27"/>
          <w:u w:val="single" w:color="auto"/>
        </w:rPr>
        <w:t>汨罗市土地综合整治中心</w:t>
      </w:r>
      <w:r>
        <w:rPr>
          <w:spacing w:val="-22"/>
          <w:sz w:val="27"/>
          <w:szCs w:val="27"/>
          <w:u w:val="single" w:color="auto"/>
        </w:rPr>
        <w:t>(盖</w:t>
      </w:r>
      <w:r>
        <w:rPr>
          <w:spacing w:val="64"/>
          <w:sz w:val="27"/>
          <w:szCs w:val="27"/>
          <w:u w:val="single" w:color="auto"/>
        </w:rPr>
        <w:t xml:space="preserve"> </w:t>
      </w:r>
      <w:r>
        <w:rPr>
          <w:spacing w:val="-22"/>
          <w:sz w:val="27"/>
          <w:szCs w:val="27"/>
          <w:u w:val="single" w:color="auto"/>
        </w:rPr>
        <w:t>章)</w:t>
      </w:r>
      <w:r>
        <w:rPr>
          <w:sz w:val="27"/>
          <w:szCs w:val="27"/>
          <w:u w:val="single" w:color="auto"/>
        </w:rPr>
        <w:t xml:space="preserve"> </w:t>
      </w:r>
    </w:p>
    <w:p>
      <w:pPr>
        <w:pStyle w:val="2"/>
        <w:spacing w:before="289" w:line="610" w:lineRule="exact"/>
        <w:ind w:left="3490"/>
        <w:rPr>
          <w:sz w:val="27"/>
          <w:szCs w:val="27"/>
        </w:rPr>
      </w:pP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2023</w:t>
      </w:r>
      <w:r>
        <w:rPr>
          <w:spacing w:val="-13"/>
          <w:position w:val="26"/>
          <w:sz w:val="27"/>
          <w:szCs w:val="27"/>
        </w:rPr>
        <w:t xml:space="preserve">年  </w:t>
      </w: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6</w:t>
      </w:r>
      <w:r>
        <w:rPr>
          <w:spacing w:val="-13"/>
          <w:position w:val="26"/>
          <w:sz w:val="27"/>
          <w:szCs w:val="27"/>
        </w:rPr>
        <w:t xml:space="preserve"> 月</w:t>
      </w:r>
      <w:r>
        <w:rPr>
          <w:spacing w:val="12"/>
          <w:position w:val="26"/>
          <w:sz w:val="27"/>
          <w:szCs w:val="27"/>
        </w:rPr>
        <w:t xml:space="preserve"> </w:t>
      </w:r>
      <w:r>
        <w:rPr>
          <w:rFonts w:hint="eastAsia"/>
          <w:spacing w:val="12"/>
          <w:position w:val="26"/>
          <w:sz w:val="27"/>
          <w:szCs w:val="27"/>
          <w:lang w:val="en-US" w:eastAsia="zh-CN"/>
        </w:rPr>
        <w:t>17</w:t>
      </w:r>
      <w:r>
        <w:rPr>
          <w:spacing w:val="12"/>
          <w:position w:val="26"/>
          <w:sz w:val="27"/>
          <w:szCs w:val="27"/>
        </w:rPr>
        <w:t xml:space="preserve">  </w:t>
      </w:r>
      <w:r>
        <w:rPr>
          <w:spacing w:val="-13"/>
          <w:position w:val="26"/>
          <w:sz w:val="27"/>
          <w:szCs w:val="27"/>
        </w:rPr>
        <w:t>日</w:t>
      </w:r>
    </w:p>
    <w:p>
      <w:pPr>
        <w:pStyle w:val="2"/>
        <w:spacing w:before="1" w:line="223" w:lineRule="auto"/>
        <w:ind w:left="3560"/>
        <w:rPr>
          <w:sz w:val="24"/>
          <w:szCs w:val="24"/>
        </w:rPr>
      </w:pPr>
      <w:r>
        <w:rPr>
          <w:spacing w:val="7"/>
          <w:sz w:val="24"/>
          <w:szCs w:val="24"/>
        </w:rPr>
        <w:t>(此面为封面)</w:t>
      </w:r>
    </w:p>
    <w:p>
      <w:pPr>
        <w:spacing w:line="223" w:lineRule="auto"/>
        <w:rPr>
          <w:sz w:val="24"/>
          <w:szCs w:val="24"/>
        </w:rPr>
        <w:sectPr>
          <w:footerReference r:id="rId5" w:type="default"/>
          <w:pgSz w:w="11900" w:h="16820"/>
          <w:pgMar w:top="1429" w:right="1782" w:bottom="1158" w:left="1450" w:header="0" w:footer="850" w:gutter="0"/>
          <w:cols w:space="720" w:num="1"/>
        </w:sectPr>
      </w:pPr>
    </w:p>
    <w:p>
      <w:pPr>
        <w:spacing w:before="137" w:line="221" w:lineRule="auto"/>
        <w:ind w:left="2336"/>
        <w:rPr>
          <w:rFonts w:ascii="黑体" w:hAnsi="黑体" w:eastAsia="黑体" w:cs="黑体"/>
          <w:sz w:val="42"/>
          <w:szCs w:val="42"/>
        </w:rPr>
      </w:pPr>
      <w:r>
        <w:rPr>
          <w:rFonts w:ascii="黑体" w:hAnsi="黑体" w:eastAsia="黑体" w:cs="黑体"/>
          <w:b/>
          <w:bCs/>
          <w:spacing w:val="6"/>
          <w:sz w:val="42"/>
          <w:szCs w:val="42"/>
        </w:rPr>
        <w:t>项目支出绩效评价报告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一</w:t>
      </w:r>
      <w:r>
        <w:rPr>
          <w:rFonts w:ascii="黑体" w:hAnsi="黑体" w:eastAsia="黑体" w:cs="黑体"/>
          <w:spacing w:val="-1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、项目支出基本情况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napToGrid w:val="0"/>
          <w:color w:val="000000"/>
          <w:spacing w:val="-15"/>
          <w:kern w:val="0"/>
          <w:sz w:val="31"/>
          <w:szCs w:val="31"/>
          <w:lang w:val="en-US" w:eastAsia="en-US" w:bidi="ar-SA"/>
        </w:rPr>
        <w:t>项目支出概况。</w:t>
      </w:r>
    </w:p>
    <w:p>
      <w:pPr>
        <w:numPr>
          <w:ilvl w:val="0"/>
          <w:numId w:val="0"/>
        </w:numPr>
        <w:spacing w:before="262" w:line="632" w:lineRule="exact"/>
        <w:ind w:leftChars="0" w:right="93" w:rightChars="0"/>
        <w:jc w:val="left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2"/>
          <w:sz w:val="31"/>
          <w:szCs w:val="31"/>
        </w:rPr>
        <w:t>根据中共中央、国务院《关于分类推进事业单位改革的指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导意见》(中发〔2011〕5 号)和省委、省政府《关于分类推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进事业单位改革的实施意见》(湘发〔2013〕8 号)精</w:t>
      </w:r>
      <w:r>
        <w:rPr>
          <w:rFonts w:ascii="仿宋" w:hAnsi="仿宋" w:eastAsia="仿宋" w:cs="仿宋"/>
          <w:spacing w:val="13"/>
          <w:sz w:val="31"/>
          <w:szCs w:val="31"/>
        </w:rPr>
        <w:t>神，制</w:t>
      </w:r>
      <w:r>
        <w:rPr>
          <w:rFonts w:ascii="仿宋" w:hAnsi="仿宋" w:eastAsia="仿宋" w:cs="仿宋"/>
          <w:spacing w:val="4"/>
          <w:sz w:val="31"/>
          <w:szCs w:val="31"/>
        </w:rPr>
        <w:t>定本规定。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汨罗市</w:t>
      </w:r>
      <w:r>
        <w:rPr>
          <w:rFonts w:ascii="仿宋" w:hAnsi="仿宋" w:eastAsia="仿宋" w:cs="仿宋"/>
          <w:spacing w:val="2"/>
          <w:sz w:val="31"/>
          <w:szCs w:val="31"/>
        </w:rPr>
        <w:t>土地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综合整治</w:t>
      </w:r>
      <w:r>
        <w:rPr>
          <w:rFonts w:ascii="仿宋" w:hAnsi="仿宋" w:eastAsia="仿宋" w:cs="仿宋"/>
          <w:spacing w:val="2"/>
          <w:sz w:val="31"/>
          <w:szCs w:val="31"/>
        </w:rPr>
        <w:t>中心隶属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汨罗</w:t>
      </w:r>
      <w:r>
        <w:rPr>
          <w:rFonts w:ascii="仿宋" w:hAnsi="仿宋" w:eastAsia="仿宋" w:cs="仿宋"/>
          <w:spacing w:val="2"/>
          <w:sz w:val="31"/>
          <w:szCs w:val="31"/>
        </w:rPr>
        <w:t>市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自然</w:t>
      </w:r>
      <w:r>
        <w:rPr>
          <w:rFonts w:ascii="仿宋" w:hAnsi="仿宋" w:eastAsia="仿宋" w:cs="仿宋"/>
          <w:spacing w:val="2"/>
          <w:sz w:val="31"/>
          <w:szCs w:val="31"/>
        </w:rPr>
        <w:t>资源局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2"/>
          <w:sz w:val="31"/>
          <w:szCs w:val="31"/>
        </w:rPr>
        <w:t>参与编制全市土地综合整治专项规划和项目年度计划，负责专项规划成果的应用管理；负责对县级土地整理机构进行业务指导；负责全市土地综合整治项目实施的技术指导和咨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询</w:t>
      </w:r>
      <w:r>
        <w:rPr>
          <w:rFonts w:ascii="仿宋" w:hAnsi="仿宋" w:eastAsia="仿宋" w:cs="仿宋"/>
          <w:spacing w:val="2"/>
          <w:sz w:val="31"/>
          <w:szCs w:val="31"/>
        </w:rPr>
        <w:t>工作；参与土地综合整治项目的选址踏勘、可行性论证、规划设计、预算初审、项目验收等事务性、技术性工作；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全年项目支出共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150万元。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val="en-US" w:eastAsia="en-US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项目资金使用管理情况。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val="en-US" w:eastAsia="en-US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建立了相关业务专项财务管理制度，加强资金管理，对项目资金使用情况，实行跟踪监控。实行专款专用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健全财务机制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执行预决算管理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严格审批程序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全程接受财政等部门的监管。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年初预算资金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50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万元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，实际只用96.4万元，主要用于耕地开发相关支出，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人员经费开支37.44万元，办公经费开支17.76万元，租车费开支19.2万元，水电费12万元，指挥部办公楼维修开支10万元。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2" w:firstLineChars="20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ascii="黑体" w:hAnsi="黑体" w:eastAsia="黑体" w:cs="黑体"/>
          <w:b/>
          <w:bCs/>
          <w:snapToGrid w:val="0"/>
          <w:color w:val="000000"/>
          <w:spacing w:val="-15"/>
          <w:kern w:val="0"/>
          <w:sz w:val="31"/>
          <w:szCs w:val="31"/>
          <w:lang w:val="en-US" w:eastAsia="en-US" w:bidi="ar-SA"/>
        </w:rPr>
        <w:t>(三)项目支出绩效目标完成程度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指挥部项目包括耕地开发项目，土地整改项目，旱改水项目，损毁项目，通过该项目现已实现以下目标：</w:t>
      </w:r>
    </w:p>
    <w:p>
      <w:pPr>
        <w:pStyle w:val="2"/>
        <w:keepNext w:val="0"/>
        <w:keepLines w:val="0"/>
        <w:pageBreakBefore w:val="0"/>
        <w:widowControl/>
        <w:numPr>
          <w:ilvl w:val="1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kern w:val="0"/>
        </w:rPr>
        <w:t>全年度为全市提供各项数字指标及服务，都获得预期的效益，包括经济效益、社会效益、环境效益、可持续影响</w:t>
      </w:r>
      <w:r>
        <w:rPr>
          <w:rFonts w:hint="eastAsia" w:ascii="仿宋_GB2312" w:eastAsia="仿宋_GB2312"/>
          <w:kern w:val="0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1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baseline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督导日常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项目</w:t>
      </w:r>
      <w:r>
        <w:rPr>
          <w:rFonts w:hint="default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建设工作，保证工程质量和效率。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hint="eastAsia" w:ascii="黑体" w:hAnsi="黑体" w:eastAsia="黑体" w:cs="黑体"/>
          <w:b/>
          <w:bCs/>
          <w:spacing w:val="-15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5"/>
          <w:sz w:val="31"/>
          <w:szCs w:val="31"/>
          <w:lang w:val="en-US" w:eastAsia="zh-CN"/>
        </w:rPr>
        <w:t>二、绩效评价工作情况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本次绩效评价遵循科学规范、公开公正、绩效相关的原则，重点评价项目的年度资金总额、产出指标、效益指标和满意度指标四个方面。绩效评价目的对照年初确定的绩效目标各项任务，加强项目和资金管理，确保资金使用合规合法，促进工作效率提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三 、项目支出主要绩效及评价结论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17" w:leftChars="294" w:firstLine="0" w:firstLineChars="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通过项目实施增加耕地面积，多种粮食，为人民创收。  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 xml:space="preserve">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四、 绩效评价指标分析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(一)项目支出决策情况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绩效目标设定及指标完成情况达到预算申报绩效目标，相应的数量指标、质量指标、时效指标均达到预期，成本指标未超过指标值。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(二)项目执行过程情况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严格按照预算要求开展项目，按时间节点对项目监督。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项目支出产出情况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资金分配方面资金分配合理,突出重点,公平公正,无散小差现象,资金分配和使用方向与资金管理办法相符。资金拨付方面拨付及时,无滞留、闲置等现象。资金使用方面资金使用合规,无截留、挪用等现象,资金使用产生效益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baseline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项目支出效益情况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截止目前，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社会垫资耕地开发建设项目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完成新增耕地面积70公顷，并支付相应的耕种管护费以维护好耕地面积不变；开垦荒地，复垦复绿，一片生机盎然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，得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到群众好评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主要经验及做法、存在的问题及原因分析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该项目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专项管理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方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en-US" w:bidi="ar-SA"/>
        </w:rPr>
        <w:t>面专项立项依据充分,有资金管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理办法,资金管理办法规范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，但存在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资金开支时间进度不均衡的问题，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导致项目的实施进度有所延误。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有关建议</w:t>
      </w:r>
    </w:p>
    <w:p>
      <w:pPr>
        <w:ind w:firstLine="640" w:firstLineChars="200"/>
        <w:rPr>
          <w:rFonts w:ascii="黑体" w:hAnsi="黑体" w:eastAsia="黑体" w:cs="黑体"/>
          <w:b/>
          <w:bCs/>
          <w:spacing w:val="-15"/>
          <w:sz w:val="31"/>
          <w:szCs w:val="31"/>
        </w:rPr>
      </w:pP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后续工作计划我们将在下一步的工作中,认真总结经验完善机制和制度,着力抓好经费预算规范管理,合理安排资金支出进度,提高资金使用效率</w:t>
      </w:r>
      <w:r>
        <w:rPr>
          <w:rFonts w:hint="eastAsia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2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</w:rPr>
        <w:t>七、其他需要说明的问题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</w:t>
      </w:r>
      <w:r>
        <w:rPr>
          <w:rFonts w:hint="eastAsia" w:ascii="Arial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eastAsia" w:eastAsia="仿宋_GB2312"/>
          <w:kern w:val="0"/>
          <w:sz w:val="32"/>
          <w:szCs w:val="32"/>
          <w:lang w:eastAsia="zh-CN"/>
        </w:rPr>
      </w:pPr>
    </w:p>
    <w:p/>
    <w:sectPr>
      <w:footerReference r:id="rId6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jc w:val="right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E9F43"/>
    <w:multiLevelType w:val="singleLevel"/>
    <w:tmpl w:val="B73E9F43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9CBB872"/>
    <w:multiLevelType w:val="singleLevel"/>
    <w:tmpl w:val="D9CBB87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EFD7DA1"/>
    <w:multiLevelType w:val="singleLevel"/>
    <w:tmpl w:val="DEFD7DA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BD682DB"/>
    <w:multiLevelType w:val="multilevel"/>
    <w:tmpl w:val="3BD682DB"/>
    <w:lvl w:ilvl="0" w:tentative="0">
      <w:start w:val="1"/>
      <w:numFmt w:val="chineseCounting"/>
      <w:suff w:val="nothing"/>
      <w:lvlText w:val="%1、"/>
      <w:lvlJc w:val="left"/>
      <w:rPr>
        <w:rFonts w:hint="eastAsia"/>
        <w:b w:val="0"/>
        <w:bCs w:val="0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  <w:b w:val="0"/>
        <w:bCs w:val="0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  <w:b w:val="0"/>
        <w:bCs w:val="0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  <w:b w:val="0"/>
        <w:bCs w:val="0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  <w:b w:val="0"/>
        <w:bCs w:val="0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  <w:b w:val="0"/>
        <w:bCs w:val="0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  <w:b w:val="0"/>
        <w:bCs w:val="0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  <w:b w:val="0"/>
        <w:bCs w:val="0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  <w:b w:val="0"/>
        <w:bCs w:val="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B1D155E"/>
    <w:rsid w:val="0BD10283"/>
    <w:rsid w:val="1B1C538E"/>
    <w:rsid w:val="53D83DBB"/>
    <w:rsid w:val="6F2F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2024-07-03T09:11:55Z</dcterms:created>
  <dc:creator>Administrator</dc:creator>
  <cp:lastModifiedBy>企业用户_615845838</cp:lastModifiedBy>
  <dcterms:modified xsi:type="dcterms:W3CDTF">2024-07-03T09:14:33Z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6A4CC527E7E44ACD98C9F483C8D01D43_12</vt:lpwstr>
  </property>
</Properties>
</file>