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5"/>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10"/>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81</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 xml:space="preserve">     14</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firstLineChars="0"/>
              <w:jc w:val="left"/>
              <w:rPr>
                <w:rFonts w:hint="default" w:ascii="仿宋_GB2312" w:eastAsia="仿宋_GB2312"/>
                <w:kern w:val="0"/>
                <w:lang w:val="en-US" w:eastAsia="zh-CN"/>
              </w:rPr>
            </w:pPr>
            <w:r>
              <w:rPr>
                <w:rFonts w:hint="eastAsia" w:ascii="仿宋_GB2312" w:eastAsia="仿宋_GB2312"/>
                <w:kern w:val="0"/>
                <w:lang w:val="en-US" w:eastAsia="zh-CN"/>
              </w:rPr>
              <w:t xml:space="preserve">     14</w:t>
            </w:r>
          </w:p>
        </w:tc>
        <w:tc>
          <w:tcPr>
            <w:tcW w:w="2039" w:type="dxa"/>
            <w:gridSpan w:val="2"/>
            <w:vAlign w:val="center"/>
          </w:tcPr>
          <w:p w14:paraId="672289A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8.5</w:t>
            </w:r>
          </w:p>
        </w:tc>
        <w:tc>
          <w:tcPr>
            <w:tcW w:w="1983" w:type="dxa"/>
            <w:gridSpan w:val="2"/>
            <w:vAlign w:val="center"/>
          </w:tcPr>
          <w:p w14:paraId="7985B41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8.5</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396.79</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307.39</w:t>
            </w:r>
          </w:p>
        </w:tc>
        <w:tc>
          <w:tcPr>
            <w:tcW w:w="1983" w:type="dxa"/>
            <w:gridSpan w:val="2"/>
            <w:vAlign w:val="center"/>
          </w:tcPr>
          <w:p w14:paraId="7357305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307.39</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w:t>
            </w:r>
          </w:p>
        </w:tc>
        <w:tc>
          <w:tcPr>
            <w:tcW w:w="1983" w:type="dxa"/>
            <w:gridSpan w:val="2"/>
            <w:vAlign w:val="center"/>
          </w:tcPr>
          <w:p w14:paraId="087A354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10.2</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23.8</w:t>
            </w:r>
          </w:p>
        </w:tc>
        <w:tc>
          <w:tcPr>
            <w:tcW w:w="1983" w:type="dxa"/>
            <w:gridSpan w:val="2"/>
            <w:vAlign w:val="center"/>
          </w:tcPr>
          <w:p w14:paraId="4FD7453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23.8</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25.5</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c>
          <w:tcPr>
            <w:tcW w:w="1983" w:type="dxa"/>
            <w:gridSpan w:val="2"/>
            <w:vAlign w:val="center"/>
          </w:tcPr>
          <w:p w14:paraId="550E4F9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8.5</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1529.35</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2350</w:t>
            </w:r>
          </w:p>
        </w:tc>
        <w:tc>
          <w:tcPr>
            <w:tcW w:w="1983" w:type="dxa"/>
            <w:gridSpan w:val="2"/>
            <w:vAlign w:val="center"/>
          </w:tcPr>
          <w:p w14:paraId="4363E71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2350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lang w:eastAsia="zh-CN"/>
              </w:rPr>
              <w:t>进一步牢固树立过紧日子思想</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8562B35">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10"/>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lang w:eastAsia="zh-CN"/>
              </w:rPr>
              <w:t>汨罗市古培镇人民政府</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897.8</w:t>
            </w:r>
          </w:p>
        </w:tc>
        <w:tc>
          <w:tcPr>
            <w:tcW w:w="1298" w:type="dxa"/>
            <w:vAlign w:val="center"/>
          </w:tcPr>
          <w:p w14:paraId="78350D28">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2580</w:t>
            </w:r>
          </w:p>
        </w:tc>
        <w:tc>
          <w:tcPr>
            <w:tcW w:w="1269" w:type="dxa"/>
            <w:vAlign w:val="center"/>
          </w:tcPr>
          <w:p w14:paraId="5FDA3D24">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2580</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2354.62</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1344.75</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225.38</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1009.87</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2219D8B8">
            <w:pPr>
              <w:numPr>
                <w:ilvl w:val="0"/>
                <w:numId w:val="1"/>
              </w:numPr>
              <w:spacing w:line="240" w:lineRule="auto"/>
              <w:ind w:firstLine="420"/>
              <w:jc w:val="left"/>
              <w:rPr>
                <w:rFonts w:hint="eastAsia" w:ascii="仿宋_GB2312" w:eastAsia="仿宋_GB2312"/>
                <w:lang w:eastAsia="zh-CN"/>
              </w:rPr>
            </w:pPr>
            <w:r>
              <w:rPr>
                <w:rFonts w:hint="eastAsia" w:ascii="仿宋_GB2312" w:eastAsia="仿宋_GB2312"/>
                <w:lang w:eastAsia="zh-CN"/>
              </w:rPr>
              <w:t>保障全单位干职工工资及运转经费；</w:t>
            </w:r>
          </w:p>
          <w:p w14:paraId="49E1600A">
            <w:pPr>
              <w:numPr>
                <w:ilvl w:val="0"/>
                <w:numId w:val="1"/>
              </w:numPr>
              <w:spacing w:line="240" w:lineRule="auto"/>
              <w:ind w:firstLine="420"/>
              <w:jc w:val="left"/>
              <w:rPr>
                <w:rFonts w:ascii="仿宋_GB2312" w:eastAsia="仿宋_GB2312"/>
                <w:kern w:val="0"/>
              </w:rPr>
            </w:pPr>
            <w:r>
              <w:rPr>
                <w:rFonts w:hint="eastAsia" w:ascii="仿宋_GB2312" w:eastAsia="仿宋_GB2312"/>
                <w:lang w:eastAsia="zh-CN"/>
              </w:rPr>
              <w:t>村（社区）运转经费保障；</w:t>
            </w:r>
          </w:p>
          <w:p w14:paraId="18F36552">
            <w:pPr>
              <w:numPr>
                <w:ilvl w:val="0"/>
                <w:numId w:val="1"/>
              </w:numPr>
              <w:spacing w:line="240" w:lineRule="auto"/>
              <w:ind w:firstLine="420"/>
              <w:jc w:val="left"/>
              <w:rPr>
                <w:rFonts w:ascii="仿宋_GB2312" w:eastAsia="仿宋_GB2312"/>
                <w:kern w:val="0"/>
              </w:rPr>
            </w:pPr>
            <w:r>
              <w:rPr>
                <w:rFonts w:hint="eastAsia" w:ascii="仿宋_GB2312" w:eastAsia="仿宋_GB2312"/>
                <w:lang w:eastAsia="zh-CN"/>
              </w:rPr>
              <w:t>保障社会民生；</w:t>
            </w:r>
          </w:p>
          <w:p w14:paraId="5630C8FD">
            <w:pPr>
              <w:numPr>
                <w:ilvl w:val="0"/>
                <w:numId w:val="1"/>
              </w:numPr>
              <w:spacing w:line="240" w:lineRule="auto"/>
              <w:ind w:firstLine="420"/>
              <w:jc w:val="left"/>
              <w:rPr>
                <w:rFonts w:ascii="仿宋_GB2312" w:eastAsia="仿宋_GB2312"/>
                <w:kern w:val="0"/>
              </w:rPr>
            </w:pPr>
            <w:r>
              <w:rPr>
                <w:rFonts w:hint="eastAsia" w:ascii="仿宋_GB2312" w:eastAsia="仿宋_GB2312"/>
                <w:lang w:eastAsia="zh-CN"/>
              </w:rPr>
              <w:t>保障其他基本公共服务</w:t>
            </w:r>
          </w:p>
        </w:tc>
        <w:tc>
          <w:tcPr>
            <w:tcW w:w="4260" w:type="dxa"/>
            <w:gridSpan w:val="4"/>
            <w:vAlign w:val="center"/>
          </w:tcPr>
          <w:p w14:paraId="156E0DC0">
            <w:pPr>
              <w:spacing w:line="240" w:lineRule="auto"/>
              <w:ind w:firstLine="420"/>
              <w:jc w:val="center"/>
              <w:rPr>
                <w:rFonts w:hint="default" w:ascii="仿宋_GB2312" w:eastAsia="仿宋_GB2312"/>
                <w:kern w:val="0"/>
                <w:lang w:val="en-US"/>
              </w:rPr>
            </w:pPr>
            <w:r>
              <w:rPr>
                <w:rFonts w:hint="eastAsia" w:ascii="仿宋_GB2312" w:eastAsia="仿宋_GB2312"/>
                <w:lang w:eastAsia="zh-CN"/>
              </w:rPr>
              <w:t>1、保障单位干职工的办公正常运转，2、村（社区）干部、村（社区）基层组织活动和公共服务运行工作经费。 3、保障全镇农村五保、农村低保。4、开展安全隐患排查、环境卫生整治，安排文体活动，及时排查及化解矛盾纠纷5、按照相关规规定及时安排经费支出6、严格按202</w:t>
            </w:r>
            <w:r>
              <w:rPr>
                <w:rFonts w:hint="eastAsia" w:ascii="仿宋_GB2312" w:eastAsia="仿宋_GB2312"/>
                <w:lang w:val="en-US" w:eastAsia="zh-CN"/>
              </w:rPr>
              <w:t>3</w:t>
            </w:r>
            <w:r>
              <w:rPr>
                <w:rFonts w:hint="eastAsia" w:ascii="仿宋_GB2312" w:eastAsia="仿宋_GB2312"/>
                <w:lang w:eastAsia="zh-CN"/>
              </w:rPr>
              <w:t>年</w:t>
            </w:r>
            <w:r>
              <w:rPr>
                <w:rFonts w:hint="eastAsia" w:ascii="仿宋_GB2312" w:eastAsia="仿宋_GB2312"/>
                <w:lang w:val="en-US" w:eastAsia="zh-CN"/>
              </w:rPr>
              <w:t>预算</w:t>
            </w:r>
            <w:r>
              <w:rPr>
                <w:rFonts w:hint="eastAsia" w:ascii="仿宋_GB2312" w:eastAsia="仿宋_GB2312"/>
                <w:lang w:eastAsia="zh-CN"/>
              </w:rPr>
              <w:t>执行，202</w:t>
            </w:r>
            <w:r>
              <w:rPr>
                <w:rFonts w:hint="eastAsia" w:ascii="仿宋_GB2312" w:eastAsia="仿宋_GB2312"/>
                <w:lang w:val="en-US" w:eastAsia="zh-CN"/>
              </w:rPr>
              <w:t>3</w:t>
            </w:r>
            <w:r>
              <w:rPr>
                <w:rFonts w:hint="eastAsia" w:ascii="仿宋_GB2312" w:eastAsia="仿宋_GB2312"/>
                <w:lang w:eastAsia="zh-CN"/>
              </w:rPr>
              <w:t>年一般公共决算基本支出</w:t>
            </w:r>
            <w:r>
              <w:rPr>
                <w:rFonts w:hint="eastAsia" w:ascii="仿宋_GB2312" w:eastAsia="仿宋_GB2312"/>
                <w:lang w:val="en-US" w:eastAsia="zh-CN"/>
              </w:rPr>
              <w:t>1344.75</w:t>
            </w:r>
            <w:r>
              <w:rPr>
                <w:rFonts w:hint="eastAsia" w:ascii="仿宋_GB2312" w:eastAsia="仿宋_GB2312"/>
                <w:lang w:eastAsia="zh-CN"/>
              </w:rPr>
              <w:t>万元。</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left"/>
              <w:rPr>
                <w:rFonts w:ascii="仿宋_GB2312" w:eastAsia="仿宋_GB2312"/>
                <w:kern w:val="0"/>
              </w:rPr>
            </w:pPr>
            <w:r>
              <w:rPr>
                <w:rFonts w:hint="eastAsia" w:ascii="仿宋_GB2312" w:eastAsia="仿宋_GB2312"/>
                <w:kern w:val="0"/>
              </w:rPr>
              <w:t>保障工资及时足额发放</w:t>
            </w:r>
          </w:p>
        </w:tc>
        <w:tc>
          <w:tcPr>
            <w:tcW w:w="1298" w:type="dxa"/>
            <w:vAlign w:val="center"/>
          </w:tcPr>
          <w:p w14:paraId="2A374824">
            <w:pPr>
              <w:spacing w:line="240" w:lineRule="auto"/>
              <w:jc w:val="left"/>
              <w:rPr>
                <w:rFonts w:ascii="仿宋_GB2312" w:eastAsia="仿宋_GB2312"/>
                <w:kern w:val="0"/>
              </w:rPr>
            </w:pPr>
            <w:r>
              <w:rPr>
                <w:rFonts w:hint="eastAsia" w:ascii="仿宋_GB2312" w:eastAsia="仿宋_GB2312"/>
                <w:kern w:val="0"/>
              </w:rPr>
              <w:t>工资发放及时</w:t>
            </w:r>
          </w:p>
        </w:tc>
        <w:tc>
          <w:tcPr>
            <w:tcW w:w="1269" w:type="dxa"/>
            <w:vAlign w:val="center"/>
          </w:tcPr>
          <w:p w14:paraId="708D788A">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100%保障了干职工工资足额发放</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公共财政支出进度</w:t>
            </w:r>
          </w:p>
        </w:tc>
        <w:tc>
          <w:tcPr>
            <w:tcW w:w="1298" w:type="dxa"/>
            <w:vAlign w:val="center"/>
          </w:tcPr>
          <w:p w14:paraId="1A5ADA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rPr>
              <w:t>≥95</w:t>
            </w:r>
            <w:r>
              <w:rPr>
                <w:rFonts w:hint="eastAsia" w:ascii="仿宋_GB2312" w:eastAsia="仿宋_GB2312"/>
                <w:kern w:val="0"/>
                <w:lang w:val="en-US" w:eastAsia="zh-CN"/>
              </w:rPr>
              <w:t>%</w:t>
            </w:r>
          </w:p>
        </w:tc>
        <w:tc>
          <w:tcPr>
            <w:tcW w:w="1269" w:type="dxa"/>
            <w:vAlign w:val="center"/>
          </w:tcPr>
          <w:p w14:paraId="54075F02">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100%按进度支出</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行政效能</w:t>
            </w:r>
          </w:p>
        </w:tc>
        <w:tc>
          <w:tcPr>
            <w:tcW w:w="1298" w:type="dxa"/>
            <w:vAlign w:val="center"/>
          </w:tcPr>
          <w:p w14:paraId="479FA5D5">
            <w:pPr>
              <w:spacing w:line="240" w:lineRule="auto"/>
              <w:jc w:val="both"/>
              <w:rPr>
                <w:rFonts w:ascii="仿宋_GB2312" w:eastAsia="仿宋_GB2312"/>
                <w:kern w:val="0"/>
              </w:rPr>
            </w:pPr>
            <w:r>
              <w:rPr>
                <w:rFonts w:hint="eastAsia" w:ascii="仿宋_GB2312" w:eastAsia="仿宋_GB2312"/>
                <w:kern w:val="0"/>
              </w:rPr>
              <w:t>各项服务工作按时完成</w:t>
            </w:r>
          </w:p>
        </w:tc>
        <w:tc>
          <w:tcPr>
            <w:tcW w:w="1269" w:type="dxa"/>
            <w:vAlign w:val="center"/>
          </w:tcPr>
          <w:p w14:paraId="5C1B3402">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100%按时完成</w:t>
            </w:r>
          </w:p>
        </w:tc>
        <w:tc>
          <w:tcPr>
            <w:tcW w:w="699"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rPr>
            </w:pPr>
            <w:r>
              <w:rPr>
                <w:rFonts w:hint="eastAsia" w:ascii="仿宋_GB2312" w:eastAsia="仿宋_GB2312"/>
                <w:kern w:val="0"/>
              </w:rPr>
              <w:t>财政收入总量</w:t>
            </w:r>
          </w:p>
        </w:tc>
        <w:tc>
          <w:tcPr>
            <w:tcW w:w="1298" w:type="dxa"/>
            <w:vAlign w:val="center"/>
          </w:tcPr>
          <w:p w14:paraId="078289F3">
            <w:pPr>
              <w:spacing w:line="240" w:lineRule="auto"/>
              <w:jc w:val="both"/>
              <w:rPr>
                <w:rFonts w:ascii="仿宋_GB2312" w:eastAsia="仿宋_GB2312"/>
                <w:kern w:val="0"/>
              </w:rPr>
            </w:pPr>
            <w:r>
              <w:rPr>
                <w:rFonts w:hint="eastAsia" w:ascii="仿宋_GB2312" w:eastAsia="仿宋_GB2312"/>
                <w:kern w:val="0"/>
              </w:rPr>
              <w:t>≥1101.36</w:t>
            </w:r>
          </w:p>
        </w:tc>
        <w:tc>
          <w:tcPr>
            <w:tcW w:w="1269" w:type="dxa"/>
            <w:vAlign w:val="center"/>
          </w:tcPr>
          <w:p w14:paraId="7A453B87">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严格按2023年预算执行</w:t>
            </w:r>
          </w:p>
        </w:tc>
        <w:tc>
          <w:tcPr>
            <w:tcW w:w="699" w:type="dxa"/>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p w14:paraId="3F95B629">
            <w:pPr>
              <w:spacing w:line="240" w:lineRule="auto"/>
              <w:ind w:firstLine="420"/>
              <w:jc w:val="center"/>
              <w:rPr>
                <w:rFonts w:ascii="仿宋_GB2312" w:eastAsia="仿宋_GB2312"/>
                <w:kern w:val="0"/>
              </w:rPr>
            </w:pPr>
          </w:p>
        </w:tc>
        <w:tc>
          <w:tcPr>
            <w:tcW w:w="869" w:type="dxa"/>
            <w:vAlign w:val="center"/>
          </w:tcPr>
          <w:p w14:paraId="2AC58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基本民生保障，道路基础设施，安全保障和社会和谐</w:t>
            </w:r>
          </w:p>
        </w:tc>
        <w:tc>
          <w:tcPr>
            <w:tcW w:w="1298" w:type="dxa"/>
            <w:vAlign w:val="center"/>
          </w:tcPr>
          <w:p w14:paraId="6E8C4873">
            <w:pPr>
              <w:spacing w:line="240" w:lineRule="auto"/>
              <w:jc w:val="both"/>
              <w:rPr>
                <w:rFonts w:ascii="仿宋_GB2312" w:eastAsia="仿宋_GB2312"/>
                <w:kern w:val="0"/>
              </w:rPr>
            </w:pPr>
            <w:r>
              <w:rPr>
                <w:rFonts w:hint="eastAsia" w:ascii="仿宋_GB2312" w:eastAsia="仿宋_GB2312"/>
                <w:kern w:val="0"/>
              </w:rPr>
              <w:t>确保社会特殊困难人群的基本生活保障，如五保、孤儿等。改善农村道路基础设施建设，保障村组公路运行。通过排查化解安全隐患、矛盾纠纷，确保社会安定和谐</w:t>
            </w:r>
          </w:p>
        </w:tc>
        <w:tc>
          <w:tcPr>
            <w:tcW w:w="1269" w:type="dxa"/>
            <w:vAlign w:val="center"/>
          </w:tcPr>
          <w:p w14:paraId="4886005B">
            <w:pPr>
              <w:spacing w:line="240" w:lineRule="auto"/>
              <w:jc w:val="both"/>
              <w:rPr>
                <w:rFonts w:ascii="仿宋_GB2312" w:eastAsia="仿宋_GB2312"/>
                <w:kern w:val="0"/>
              </w:rPr>
            </w:pPr>
            <w:r>
              <w:rPr>
                <w:rFonts w:hint="eastAsia" w:ascii="仿宋_GB2312" w:eastAsia="仿宋_GB2312"/>
                <w:kern w:val="0"/>
                <w:lang w:val="en-US" w:eastAsia="zh-CN"/>
              </w:rPr>
              <w:t>保障了</w:t>
            </w:r>
            <w:r>
              <w:rPr>
                <w:rFonts w:hint="eastAsia" w:ascii="仿宋_GB2312" w:eastAsia="仿宋_GB2312"/>
                <w:kern w:val="0"/>
              </w:rPr>
              <w:t>基本民生，道路基础设施，安全保障和社会和谐</w:t>
            </w:r>
          </w:p>
        </w:tc>
        <w:tc>
          <w:tcPr>
            <w:tcW w:w="699"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生态文明</w:t>
            </w:r>
          </w:p>
        </w:tc>
        <w:tc>
          <w:tcPr>
            <w:tcW w:w="1298" w:type="dxa"/>
            <w:vAlign w:val="center"/>
          </w:tcPr>
          <w:p w14:paraId="45B96CBB">
            <w:pPr>
              <w:spacing w:line="240" w:lineRule="auto"/>
              <w:jc w:val="both"/>
              <w:rPr>
                <w:rFonts w:ascii="仿宋_GB2312" w:eastAsia="仿宋_GB2312"/>
                <w:kern w:val="0"/>
              </w:rPr>
            </w:pPr>
            <w:r>
              <w:rPr>
                <w:rFonts w:hint="eastAsia" w:ascii="仿宋_GB2312" w:eastAsia="仿宋_GB2312"/>
                <w:kern w:val="0"/>
              </w:rPr>
              <w:t>将卫生环境保护贯穿到辖区村（社区）、丰富文化生活，加强乡风文明建设着力建设生态环保、节能高效的社会环境</w:t>
            </w:r>
          </w:p>
        </w:tc>
        <w:tc>
          <w:tcPr>
            <w:tcW w:w="1269" w:type="dxa"/>
            <w:vAlign w:val="center"/>
          </w:tcPr>
          <w:p w14:paraId="35C3564D">
            <w:pPr>
              <w:spacing w:line="240" w:lineRule="auto"/>
              <w:jc w:val="both"/>
              <w:rPr>
                <w:rFonts w:ascii="仿宋_GB2312" w:eastAsia="仿宋_GB2312"/>
                <w:kern w:val="0"/>
              </w:rPr>
            </w:pPr>
            <w:r>
              <w:rPr>
                <w:rFonts w:hint="eastAsia" w:ascii="仿宋_GB2312" w:eastAsia="仿宋_GB2312"/>
                <w:lang w:eastAsia="zh-CN"/>
              </w:rPr>
              <w:t>环境卫生维护良好，乡风文明建设得到提高</w:t>
            </w:r>
          </w:p>
        </w:tc>
        <w:tc>
          <w:tcPr>
            <w:tcW w:w="699"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ascii="仿宋_GB2312" w:eastAsia="仿宋_GB2312"/>
                <w:kern w:val="0"/>
              </w:rPr>
            </w:pPr>
            <w:r>
              <w:rPr>
                <w:rFonts w:hint="eastAsia" w:ascii="仿宋_GB2312" w:eastAsia="仿宋_GB2312"/>
                <w:kern w:val="0"/>
              </w:rPr>
              <w:t>项目进展顺利</w:t>
            </w:r>
          </w:p>
        </w:tc>
        <w:tc>
          <w:tcPr>
            <w:tcW w:w="1298" w:type="dxa"/>
            <w:vAlign w:val="center"/>
          </w:tcPr>
          <w:p w14:paraId="055B34ED">
            <w:pPr>
              <w:spacing w:line="240" w:lineRule="auto"/>
              <w:jc w:val="both"/>
              <w:rPr>
                <w:rFonts w:ascii="仿宋_GB2312" w:eastAsia="仿宋_GB2312"/>
                <w:kern w:val="0"/>
              </w:rPr>
            </w:pPr>
            <w:r>
              <w:rPr>
                <w:rFonts w:hint="eastAsia" w:ascii="仿宋_GB2312" w:eastAsia="仿宋_GB2312"/>
                <w:kern w:val="0"/>
              </w:rPr>
              <w:t>体现政策导向，长期保障工作和项目平稳进行，经济持续增长</w:t>
            </w:r>
          </w:p>
        </w:tc>
        <w:tc>
          <w:tcPr>
            <w:tcW w:w="1269" w:type="dxa"/>
            <w:vAlign w:val="center"/>
          </w:tcPr>
          <w:p w14:paraId="46B41467">
            <w:pPr>
              <w:spacing w:line="240" w:lineRule="auto"/>
              <w:jc w:val="both"/>
              <w:rPr>
                <w:rFonts w:ascii="仿宋_GB2312" w:eastAsia="仿宋_GB2312"/>
                <w:kern w:val="0"/>
              </w:rPr>
            </w:pPr>
            <w:r>
              <w:rPr>
                <w:rFonts w:hint="eastAsia" w:ascii="仿宋_GB2312" w:eastAsia="仿宋_GB2312"/>
                <w:lang w:eastAsia="zh-CN"/>
              </w:rPr>
              <w:t>项目进展顺利</w:t>
            </w:r>
          </w:p>
        </w:tc>
        <w:tc>
          <w:tcPr>
            <w:tcW w:w="699"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相关部门和单位及群众满意度</w:t>
            </w:r>
          </w:p>
        </w:tc>
        <w:tc>
          <w:tcPr>
            <w:tcW w:w="1298" w:type="dxa"/>
            <w:vAlign w:val="center"/>
          </w:tcPr>
          <w:p w14:paraId="6ABEB3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w:t>
            </w:r>
            <w:r>
              <w:rPr>
                <w:rFonts w:hint="eastAsia" w:ascii="仿宋_GB2312" w:eastAsia="仿宋_GB2312"/>
                <w:kern w:val="0"/>
                <w:lang w:val="en-US" w:eastAsia="zh-CN"/>
              </w:rPr>
              <w:t>95%</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95%</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rPr>
              <w:t>基本支出</w:t>
            </w:r>
          </w:p>
        </w:tc>
        <w:tc>
          <w:tcPr>
            <w:tcW w:w="1298" w:type="dxa"/>
            <w:vAlign w:val="center"/>
          </w:tcPr>
          <w:p w14:paraId="15ECA8D3">
            <w:pPr>
              <w:spacing w:line="240" w:lineRule="auto"/>
              <w:jc w:val="both"/>
              <w:rPr>
                <w:rFonts w:hint="default" w:ascii="仿宋_GB2312" w:eastAsia="仿宋_GB2312"/>
                <w:kern w:val="0"/>
                <w:lang w:val="en-US" w:eastAsia="zh-CN"/>
              </w:rPr>
            </w:pPr>
            <w:r>
              <w:rPr>
                <w:rFonts w:hint="eastAsia" w:ascii="仿宋_GB2312" w:eastAsia="仿宋_GB2312"/>
                <w:kern w:val="0"/>
              </w:rPr>
              <w:t>≥</w:t>
            </w:r>
            <w:r>
              <w:rPr>
                <w:rFonts w:hint="eastAsia" w:ascii="仿宋_GB2312" w:eastAsia="仿宋_GB2312"/>
                <w:kern w:val="0"/>
                <w:lang w:val="en-US" w:eastAsia="zh-CN"/>
              </w:rPr>
              <w:t>897.8</w:t>
            </w:r>
          </w:p>
        </w:tc>
        <w:tc>
          <w:tcPr>
            <w:tcW w:w="1269" w:type="dxa"/>
            <w:vAlign w:val="center"/>
          </w:tcPr>
          <w:p w14:paraId="3C328246">
            <w:pPr>
              <w:spacing w:line="240" w:lineRule="auto"/>
              <w:jc w:val="both"/>
              <w:rPr>
                <w:rFonts w:ascii="仿宋_GB2312" w:eastAsia="仿宋_GB2312"/>
                <w:kern w:val="0"/>
              </w:rPr>
            </w:pPr>
            <w:r>
              <w:rPr>
                <w:rFonts w:hint="eastAsia" w:ascii="仿宋_GB2312" w:eastAsia="仿宋_GB2312"/>
                <w:kern w:val="0"/>
                <w:lang w:val="en-US" w:eastAsia="zh-CN"/>
              </w:rPr>
              <w:t>严格按2023年预算执行</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both"/>
              <w:rPr>
                <w:rFonts w:ascii="仿宋_GB2312" w:eastAsia="仿宋_GB2312"/>
                <w:kern w:val="0"/>
              </w:rPr>
            </w:pPr>
            <w:r>
              <w:rPr>
                <w:rFonts w:hint="eastAsia" w:ascii="仿宋_GB2312" w:eastAsia="仿宋_GB2312"/>
                <w:kern w:val="0"/>
              </w:rPr>
              <w:t>项目支出对社会造成影响程度</w:t>
            </w:r>
          </w:p>
        </w:tc>
        <w:tc>
          <w:tcPr>
            <w:tcW w:w="1298" w:type="dxa"/>
            <w:vAlign w:val="center"/>
          </w:tcPr>
          <w:p w14:paraId="09361E43">
            <w:pPr>
              <w:spacing w:line="240" w:lineRule="auto"/>
              <w:jc w:val="both"/>
              <w:rPr>
                <w:rFonts w:ascii="仿宋_GB2312" w:eastAsia="仿宋_GB2312"/>
                <w:kern w:val="0"/>
              </w:rPr>
            </w:pPr>
            <w:r>
              <w:rPr>
                <w:rFonts w:hint="eastAsia" w:ascii="仿宋_GB2312" w:eastAsia="仿宋_GB2312"/>
                <w:kern w:val="0"/>
              </w:rPr>
              <w:t>群众福利、公平性和资源的合理分配</w:t>
            </w:r>
          </w:p>
        </w:tc>
        <w:tc>
          <w:tcPr>
            <w:tcW w:w="1269" w:type="dxa"/>
            <w:vAlign w:val="center"/>
          </w:tcPr>
          <w:p w14:paraId="32DCD303">
            <w:pPr>
              <w:spacing w:line="240" w:lineRule="auto"/>
              <w:jc w:val="both"/>
              <w:rPr>
                <w:rFonts w:ascii="仿宋_GB2312" w:eastAsia="仿宋_GB2312"/>
                <w:kern w:val="0"/>
              </w:rPr>
            </w:pPr>
            <w:r>
              <w:rPr>
                <w:rFonts w:hint="eastAsia" w:ascii="仿宋_GB2312" w:eastAsia="仿宋_GB2312"/>
                <w:lang w:eastAsia="zh-CN"/>
              </w:rPr>
              <w:t>群众福利和资源的合理分配</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both"/>
              <w:rPr>
                <w:rFonts w:ascii="仿宋_GB2312" w:eastAsia="仿宋_GB2312"/>
                <w:kern w:val="0"/>
              </w:rPr>
            </w:pPr>
            <w:r>
              <w:rPr>
                <w:rFonts w:hint="eastAsia" w:ascii="仿宋_GB2312" w:eastAsia="仿宋_GB2312"/>
                <w:kern w:val="0"/>
              </w:rPr>
              <w:t>生态环境可持续发展</w:t>
            </w:r>
          </w:p>
        </w:tc>
        <w:tc>
          <w:tcPr>
            <w:tcW w:w="1298" w:type="dxa"/>
            <w:vAlign w:val="center"/>
          </w:tcPr>
          <w:p w14:paraId="789CDCB9">
            <w:pPr>
              <w:spacing w:line="240" w:lineRule="auto"/>
              <w:jc w:val="both"/>
              <w:rPr>
                <w:rFonts w:ascii="仿宋_GB2312" w:eastAsia="仿宋_GB2312"/>
                <w:kern w:val="0"/>
              </w:rPr>
            </w:pPr>
            <w:r>
              <w:rPr>
                <w:rFonts w:hint="eastAsia" w:ascii="仿宋_GB2312" w:eastAsia="仿宋_GB2312"/>
                <w:kern w:val="0"/>
              </w:rPr>
              <w:t>政策对生态环境的影响造成的财务损失或财务收益</w:t>
            </w:r>
          </w:p>
        </w:tc>
        <w:tc>
          <w:tcPr>
            <w:tcW w:w="1269" w:type="dxa"/>
            <w:vAlign w:val="center"/>
          </w:tcPr>
          <w:p w14:paraId="4E354EE6">
            <w:pPr>
              <w:spacing w:line="240" w:lineRule="auto"/>
              <w:jc w:val="both"/>
              <w:rPr>
                <w:rFonts w:ascii="仿宋_GB2312" w:eastAsia="仿宋_GB2312"/>
                <w:kern w:val="0"/>
              </w:rPr>
            </w:pPr>
            <w:r>
              <w:rPr>
                <w:rFonts w:hint="eastAsia" w:ascii="仿宋_GB2312" w:eastAsia="仿宋_GB2312"/>
                <w:lang w:eastAsia="zh-CN"/>
              </w:rPr>
              <w:t>无不良影响</w:t>
            </w:r>
          </w:p>
        </w:tc>
        <w:tc>
          <w:tcPr>
            <w:tcW w:w="699"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386DFDA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8B09C3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372D68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岳峰村乡村休闲旅游</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古培镇乡村振兴办</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lang w:eastAsia="zh-CN"/>
              </w:rPr>
              <w:t>古培镇人民政府</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35</w:t>
            </w:r>
          </w:p>
        </w:tc>
        <w:tc>
          <w:tcPr>
            <w:tcW w:w="1099" w:type="dxa"/>
            <w:vAlign w:val="center"/>
          </w:tcPr>
          <w:p w14:paraId="0C9E823D">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35</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0401DF6C">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firstLineChars="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hint="default" w:ascii="仿宋_GB2312" w:hAnsi="宋体" w:eastAsia="仿宋_GB2312" w:cs="宋体"/>
                <w:kern w:val="0"/>
                <w:lang w:val="en-US" w:eastAsia="zh-CN"/>
              </w:rPr>
            </w:pPr>
          </w:p>
        </w:tc>
        <w:tc>
          <w:tcPr>
            <w:tcW w:w="1099" w:type="dxa"/>
            <w:vAlign w:val="center"/>
          </w:tcPr>
          <w:p w14:paraId="03D3AC3D">
            <w:pPr>
              <w:spacing w:line="240" w:lineRule="auto"/>
              <w:ind w:firstLine="420"/>
              <w:jc w:val="center"/>
              <w:rPr>
                <w:rFonts w:hint="default" w:ascii="仿宋_GB2312" w:hAnsi="宋体" w:eastAsia="仿宋_GB2312" w:cs="宋体"/>
                <w:kern w:val="0"/>
                <w:lang w:val="en-US" w:eastAsia="zh-CN"/>
              </w:rPr>
            </w:pPr>
          </w:p>
        </w:tc>
        <w:tc>
          <w:tcPr>
            <w:tcW w:w="1099" w:type="dxa"/>
            <w:vAlign w:val="center"/>
          </w:tcPr>
          <w:p w14:paraId="186F5ED3">
            <w:pPr>
              <w:spacing w:line="240" w:lineRule="auto"/>
              <w:ind w:firstLine="420" w:firstLineChars="0"/>
              <w:jc w:val="center"/>
              <w:rPr>
                <w:rFonts w:hint="default" w:ascii="仿宋_GB2312" w:hAnsi="宋体" w:eastAsia="仿宋_GB2312" w:cs="宋体"/>
                <w:kern w:val="0"/>
                <w:lang w:val="en-US" w:eastAsia="zh-CN"/>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430M浆砌石挡土墙护岸及配套设施的完善</w:t>
            </w:r>
          </w:p>
        </w:tc>
        <w:tc>
          <w:tcPr>
            <w:tcW w:w="4140" w:type="dxa"/>
            <w:gridSpan w:val="4"/>
            <w:vAlign w:val="center"/>
          </w:tcPr>
          <w:p w14:paraId="309F776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100%完成</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hint="default" w:ascii="仿宋_GB2312" w:hAnsi="宋体" w:eastAsia="仿宋_GB2312" w:cs="宋体"/>
                <w:kern w:val="0"/>
                <w:lang w:val="en-US"/>
              </w:rPr>
            </w:pPr>
            <w:r>
              <w:rPr>
                <w:rFonts w:hint="eastAsia" w:ascii="仿宋_GB2312" w:hAnsi="宋体" w:eastAsia="仿宋_GB2312" w:cs="宋体"/>
                <w:kern w:val="0"/>
                <w:lang w:val="en-US" w:eastAsia="zh-CN"/>
              </w:rPr>
              <w:t>道路拓宽，白改黑，美化</w:t>
            </w:r>
          </w:p>
        </w:tc>
        <w:tc>
          <w:tcPr>
            <w:tcW w:w="1099" w:type="dxa"/>
            <w:shd w:val="clear" w:color="auto" w:fill="auto"/>
            <w:vAlign w:val="center"/>
          </w:tcPr>
          <w:p w14:paraId="54B93945">
            <w:pPr>
              <w:keepNext w:val="0"/>
              <w:keepLines w:val="0"/>
              <w:widowControl/>
              <w:suppressLineNumbers w:val="0"/>
              <w:ind w:firstLine="420" w:firstLineChars="200"/>
              <w:jc w:val="left"/>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仿宋_GB2312" w:hAnsi="宋体" w:eastAsia="仿宋_GB2312" w:cs="宋体"/>
                <w:kern w:val="0"/>
                <w:lang w:val="en-US" w:eastAsia="zh-CN"/>
              </w:rPr>
              <w:t>4.38KL</w:t>
            </w:r>
          </w:p>
        </w:tc>
        <w:tc>
          <w:tcPr>
            <w:tcW w:w="1099" w:type="dxa"/>
            <w:vAlign w:val="center"/>
          </w:tcPr>
          <w:p w14:paraId="7F49710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4.38KL</w:t>
            </w:r>
          </w:p>
        </w:tc>
        <w:tc>
          <w:tcPr>
            <w:tcW w:w="809" w:type="dxa"/>
            <w:vAlign w:val="center"/>
          </w:tcPr>
          <w:p w14:paraId="450DEC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hint="default" w:ascii="仿宋_GB2312" w:hAnsi="宋体" w:eastAsia="仿宋_GB2312" w:cs="宋体"/>
                <w:kern w:val="0"/>
                <w:lang w:val="en-US"/>
              </w:rPr>
            </w:pPr>
            <w:r>
              <w:rPr>
                <w:rFonts w:hint="eastAsia" w:ascii="仿宋_GB2312" w:hAnsi="宋体" w:eastAsia="仿宋_GB2312" w:cs="宋体"/>
                <w:kern w:val="0"/>
                <w:lang w:val="en-US" w:eastAsia="zh-CN"/>
              </w:rPr>
              <w:t>白改黑</w:t>
            </w:r>
          </w:p>
        </w:tc>
        <w:tc>
          <w:tcPr>
            <w:tcW w:w="1099" w:type="dxa"/>
            <w:vAlign w:val="center"/>
          </w:tcPr>
          <w:p w14:paraId="2D69FB32">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硬度</w:t>
            </w:r>
          </w:p>
        </w:tc>
        <w:tc>
          <w:tcPr>
            <w:tcW w:w="1099" w:type="dxa"/>
            <w:vAlign w:val="center"/>
          </w:tcPr>
          <w:p w14:paraId="03BC31E1">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合格</w:t>
            </w:r>
          </w:p>
        </w:tc>
        <w:tc>
          <w:tcPr>
            <w:tcW w:w="809" w:type="dxa"/>
            <w:vAlign w:val="center"/>
          </w:tcPr>
          <w:p w14:paraId="5DC861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rPr>
              <w:t>施工时间</w:t>
            </w:r>
          </w:p>
        </w:tc>
        <w:tc>
          <w:tcPr>
            <w:tcW w:w="1099" w:type="dxa"/>
            <w:vAlign w:val="center"/>
          </w:tcPr>
          <w:p w14:paraId="015D039B">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月</w:t>
            </w:r>
          </w:p>
        </w:tc>
        <w:tc>
          <w:tcPr>
            <w:tcW w:w="1099" w:type="dxa"/>
            <w:vAlign w:val="center"/>
          </w:tcPr>
          <w:p w14:paraId="5C21687F">
            <w:pPr>
              <w:spacing w:line="240" w:lineRule="auto"/>
              <w:jc w:val="both"/>
              <w:rPr>
                <w:rFonts w:ascii="仿宋_GB2312" w:hAnsi="宋体" w:eastAsia="仿宋_GB2312" w:cs="宋体"/>
                <w:kern w:val="0"/>
              </w:rPr>
            </w:pPr>
            <w:r>
              <w:rPr>
                <w:rFonts w:hint="eastAsia" w:ascii="仿宋_GB2312" w:hAnsi="宋体" w:eastAsia="仿宋_GB2312" w:cs="宋体"/>
              </w:rPr>
              <w:t>按时完成</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ascii="仿宋_GB2312" w:hAnsi="宋体" w:eastAsia="仿宋_GB2312" w:cs="宋体"/>
                <w:kern w:val="0"/>
              </w:rPr>
            </w:pPr>
            <w:r>
              <w:rPr>
                <w:rFonts w:hint="eastAsia" w:ascii="仿宋_GB2312" w:hAnsi="宋体" w:eastAsia="仿宋_GB2312" w:cs="宋体"/>
              </w:rPr>
              <w:t>有效带动创收</w:t>
            </w:r>
          </w:p>
        </w:tc>
        <w:tc>
          <w:tcPr>
            <w:tcW w:w="1099" w:type="dxa"/>
            <w:vAlign w:val="center"/>
          </w:tcPr>
          <w:p w14:paraId="53928C31">
            <w:pPr>
              <w:spacing w:line="240" w:lineRule="auto"/>
              <w:jc w:val="both"/>
              <w:rPr>
                <w:rFonts w:ascii="仿宋_GB2312" w:hAnsi="宋体" w:eastAsia="仿宋_GB2312" w:cs="宋体"/>
                <w:kern w:val="0"/>
              </w:rPr>
            </w:pPr>
            <w:r>
              <w:rPr>
                <w:rFonts w:hint="eastAsia" w:ascii="仿宋_GB2312" w:hAnsi="宋体" w:eastAsia="仿宋_GB2312" w:cs="宋体"/>
              </w:rPr>
              <w:t>0%~100%</w:t>
            </w:r>
          </w:p>
        </w:tc>
        <w:tc>
          <w:tcPr>
            <w:tcW w:w="1099" w:type="dxa"/>
            <w:vAlign w:val="center"/>
          </w:tcPr>
          <w:p w14:paraId="6D883DDF">
            <w:pPr>
              <w:spacing w:line="240" w:lineRule="auto"/>
              <w:ind w:firstLine="420"/>
              <w:jc w:val="center"/>
              <w:rPr>
                <w:rFonts w:ascii="仿宋_GB2312" w:hAnsi="宋体" w:eastAsia="仿宋_GB2312" w:cs="宋体"/>
                <w:kern w:val="0"/>
              </w:rPr>
            </w:pPr>
            <w:r>
              <w:rPr>
                <w:rFonts w:hint="eastAsia" w:ascii="仿宋_GB2312" w:hAnsi="宋体" w:eastAsia="仿宋_GB2312" w:cs="宋体"/>
                <w:lang w:eastAsia="zh-CN"/>
              </w:rPr>
              <w:t>95%</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保障民生，保障群众安全</w:t>
            </w:r>
            <w:r>
              <w:rPr>
                <w:rFonts w:hint="eastAsia" w:ascii="仿宋_GB2312" w:eastAsia="仿宋_GB2312"/>
                <w:kern w:val="0"/>
              </w:rPr>
              <w:t>和社会和谐</w:t>
            </w:r>
          </w:p>
        </w:tc>
        <w:tc>
          <w:tcPr>
            <w:tcW w:w="1099" w:type="dxa"/>
            <w:vAlign w:val="center"/>
          </w:tcPr>
          <w:p w14:paraId="01875392">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清淤护坡，保障安全</w:t>
            </w:r>
          </w:p>
        </w:tc>
        <w:tc>
          <w:tcPr>
            <w:tcW w:w="1099" w:type="dxa"/>
            <w:vAlign w:val="center"/>
          </w:tcPr>
          <w:p w14:paraId="4101F8DE">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安智成，保障了群众安全和社会和谐</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rPr>
            </w:pPr>
            <w:r>
              <w:rPr>
                <w:rFonts w:hint="eastAsia" w:ascii="仿宋_GB2312" w:hAnsi="宋体" w:eastAsia="仿宋_GB2312" w:cs="宋体"/>
                <w:lang w:eastAsia="zh-CN"/>
              </w:rPr>
              <w:t>生态文明</w:t>
            </w:r>
          </w:p>
        </w:tc>
        <w:tc>
          <w:tcPr>
            <w:tcW w:w="1099" w:type="dxa"/>
            <w:vAlign w:val="center"/>
          </w:tcPr>
          <w:p w14:paraId="286C2197">
            <w:pPr>
              <w:spacing w:line="240" w:lineRule="auto"/>
              <w:jc w:val="both"/>
              <w:rPr>
                <w:rFonts w:ascii="仿宋_GB2312" w:hAnsi="宋体" w:eastAsia="仿宋_GB2312" w:cs="宋体"/>
                <w:kern w:val="0"/>
              </w:rPr>
            </w:pPr>
            <w:r>
              <w:rPr>
                <w:rFonts w:hint="eastAsia" w:ascii="仿宋_GB2312" w:hAnsi="宋体" w:eastAsia="仿宋_GB2312" w:cs="宋体"/>
                <w:lang w:eastAsia="zh-CN"/>
              </w:rPr>
              <w:t>维护基础建设及环境卫生</w:t>
            </w:r>
          </w:p>
        </w:tc>
        <w:tc>
          <w:tcPr>
            <w:tcW w:w="1099" w:type="dxa"/>
            <w:vAlign w:val="center"/>
          </w:tcPr>
          <w:p w14:paraId="4CA75DEB">
            <w:pPr>
              <w:spacing w:line="240" w:lineRule="auto"/>
              <w:jc w:val="both"/>
              <w:rPr>
                <w:rFonts w:ascii="仿宋_GB2312" w:hAnsi="宋体" w:eastAsia="仿宋_GB2312" w:cs="宋体"/>
                <w:kern w:val="0"/>
              </w:rPr>
            </w:pPr>
            <w:r>
              <w:rPr>
                <w:rFonts w:hint="eastAsia" w:ascii="仿宋_GB2312" w:hAnsi="宋体" w:eastAsia="仿宋_GB2312" w:cs="宋体"/>
                <w:lang w:eastAsia="zh-CN"/>
              </w:rPr>
              <w:t>基础建设和环境卫生维护良好</w:t>
            </w:r>
          </w:p>
        </w:tc>
        <w:tc>
          <w:tcPr>
            <w:tcW w:w="809" w:type="dxa"/>
            <w:vAlign w:val="center"/>
          </w:tcPr>
          <w:p w14:paraId="491BA99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BF7EB9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ascii="仿宋_GB2312" w:hAnsi="宋体" w:eastAsia="仿宋_GB2312" w:cs="宋体"/>
                <w:kern w:val="0"/>
              </w:rPr>
            </w:pPr>
            <w:r>
              <w:rPr>
                <w:rFonts w:hint="eastAsia" w:ascii="仿宋_GB2312" w:hAnsi="宋体" w:eastAsia="仿宋_GB2312" w:cs="宋体"/>
                <w:lang w:eastAsia="zh-CN"/>
              </w:rPr>
              <w:t>项目进展顺利</w:t>
            </w:r>
          </w:p>
        </w:tc>
        <w:tc>
          <w:tcPr>
            <w:tcW w:w="1099" w:type="dxa"/>
            <w:vAlign w:val="center"/>
          </w:tcPr>
          <w:p w14:paraId="48F3A1C5">
            <w:pPr>
              <w:spacing w:line="240" w:lineRule="auto"/>
              <w:jc w:val="both"/>
              <w:rPr>
                <w:rFonts w:ascii="仿宋_GB2312" w:hAnsi="宋体" w:eastAsia="仿宋_GB2312" w:cs="宋体"/>
                <w:kern w:val="0"/>
              </w:rPr>
            </w:pPr>
            <w:r>
              <w:rPr>
                <w:rFonts w:hint="eastAsia" w:ascii="仿宋_GB2312" w:hAnsi="宋体" w:eastAsia="仿宋_GB2312" w:cs="宋体"/>
                <w:lang w:eastAsia="zh-CN"/>
              </w:rPr>
              <w:t>体现政策向导，长期保障项目顺利进展</w:t>
            </w:r>
          </w:p>
        </w:tc>
        <w:tc>
          <w:tcPr>
            <w:tcW w:w="1099" w:type="dxa"/>
            <w:vAlign w:val="center"/>
          </w:tcPr>
          <w:p w14:paraId="596F13DA">
            <w:pPr>
              <w:spacing w:line="240" w:lineRule="auto"/>
              <w:jc w:val="both"/>
              <w:rPr>
                <w:rFonts w:ascii="仿宋_GB2312" w:hAnsi="宋体" w:eastAsia="仿宋_GB2312" w:cs="宋体"/>
                <w:kern w:val="0"/>
              </w:rPr>
            </w:pPr>
            <w:r>
              <w:rPr>
                <w:rFonts w:hint="eastAsia" w:ascii="仿宋_GB2312" w:hAnsi="宋体" w:eastAsia="仿宋_GB2312" w:cs="宋体"/>
                <w:lang w:eastAsia="zh-CN"/>
              </w:rPr>
              <w:t>项目进展顺利</w:t>
            </w:r>
          </w:p>
        </w:tc>
        <w:tc>
          <w:tcPr>
            <w:tcW w:w="809" w:type="dxa"/>
            <w:vAlign w:val="center"/>
          </w:tcPr>
          <w:p w14:paraId="49A57C7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4D5C8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rPr>
              <w:t>群众满意度</w:t>
            </w:r>
          </w:p>
        </w:tc>
        <w:tc>
          <w:tcPr>
            <w:tcW w:w="1099" w:type="dxa"/>
            <w:vAlign w:val="center"/>
          </w:tcPr>
          <w:p w14:paraId="10DB725A">
            <w:pPr>
              <w:spacing w:line="240" w:lineRule="auto"/>
              <w:jc w:val="both"/>
              <w:rPr>
                <w:rFonts w:ascii="仿宋_GB2312" w:hAnsi="宋体" w:eastAsia="仿宋_GB2312" w:cs="宋体"/>
                <w:kern w:val="0"/>
              </w:rPr>
            </w:pPr>
            <w:r>
              <w:rPr>
                <w:rFonts w:hint="eastAsia" w:ascii="仿宋_GB2312" w:hAnsi="宋体" w:eastAsia="仿宋_GB2312" w:cs="宋体"/>
              </w:rPr>
              <w:t>0%~100%</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lang w:eastAsia="zh-CN"/>
              </w:rPr>
              <w:t>100%</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ascii="仿宋_GB2312" w:hAnsi="宋体" w:eastAsia="仿宋_GB2312" w:cs="宋体"/>
                <w:kern w:val="0"/>
              </w:rPr>
            </w:pPr>
            <w:r>
              <w:rPr>
                <w:rFonts w:hint="eastAsia" w:ascii="仿宋_GB2312" w:hAnsi="宋体" w:eastAsia="仿宋_GB2312" w:cs="宋体"/>
              </w:rPr>
              <w:t>成本控制</w:t>
            </w:r>
          </w:p>
        </w:tc>
        <w:tc>
          <w:tcPr>
            <w:tcW w:w="1099" w:type="dxa"/>
            <w:vAlign w:val="center"/>
          </w:tcPr>
          <w:p w14:paraId="7D8FEFD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0-60万</w:t>
            </w:r>
          </w:p>
        </w:tc>
        <w:tc>
          <w:tcPr>
            <w:tcW w:w="1099" w:type="dxa"/>
            <w:vAlign w:val="center"/>
          </w:tcPr>
          <w:p w14:paraId="729BFD5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55万</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jc w:val="both"/>
              <w:rPr>
                <w:rFonts w:ascii="仿宋_GB2312" w:hAnsi="宋体" w:eastAsia="仿宋_GB2312" w:cs="宋体"/>
                <w:kern w:val="0"/>
              </w:rPr>
            </w:pPr>
            <w:r>
              <w:rPr>
                <w:rFonts w:hint="eastAsia" w:ascii="仿宋_GB2312" w:hAnsi="宋体" w:eastAsia="仿宋_GB2312" w:cs="宋体"/>
                <w:lang w:eastAsia="zh-CN"/>
              </w:rPr>
              <w:t>项目支出对社会造成影响程度</w:t>
            </w:r>
          </w:p>
        </w:tc>
        <w:tc>
          <w:tcPr>
            <w:tcW w:w="1099" w:type="dxa"/>
            <w:vAlign w:val="center"/>
          </w:tcPr>
          <w:p w14:paraId="515A6775">
            <w:pPr>
              <w:spacing w:line="240" w:lineRule="auto"/>
              <w:jc w:val="both"/>
              <w:rPr>
                <w:rFonts w:ascii="仿宋_GB2312" w:hAnsi="宋体" w:eastAsia="仿宋_GB2312" w:cs="宋体"/>
                <w:kern w:val="0"/>
              </w:rPr>
            </w:pPr>
            <w:r>
              <w:rPr>
                <w:rFonts w:hint="eastAsia" w:ascii="仿宋_GB2312" w:hAnsi="宋体" w:eastAsia="仿宋_GB2312" w:cs="宋体"/>
                <w:lang w:eastAsia="zh-CN"/>
              </w:rPr>
              <w:t>改善基础设施，降低安全隐患</w:t>
            </w:r>
          </w:p>
        </w:tc>
        <w:tc>
          <w:tcPr>
            <w:tcW w:w="1099" w:type="dxa"/>
            <w:vAlign w:val="center"/>
          </w:tcPr>
          <w:p w14:paraId="79BCBEC4">
            <w:pPr>
              <w:spacing w:line="240" w:lineRule="auto"/>
              <w:jc w:val="both"/>
              <w:rPr>
                <w:rFonts w:ascii="仿宋_GB2312" w:hAnsi="宋体" w:eastAsia="仿宋_GB2312" w:cs="宋体"/>
                <w:kern w:val="0"/>
              </w:rPr>
            </w:pPr>
            <w:r>
              <w:rPr>
                <w:rFonts w:hint="eastAsia" w:ascii="仿宋_GB2312" w:hAnsi="宋体" w:eastAsia="仿宋_GB2312" w:cs="宋体"/>
                <w:lang w:eastAsia="zh-CN"/>
              </w:rPr>
              <w:t>改善基础设施，降低安全隐患</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jc w:val="both"/>
              <w:rPr>
                <w:rFonts w:ascii="仿宋_GB2312" w:hAnsi="宋体" w:eastAsia="仿宋_GB2312" w:cs="宋体"/>
                <w:kern w:val="0"/>
              </w:rPr>
            </w:pPr>
            <w:r>
              <w:rPr>
                <w:rFonts w:hint="eastAsia" w:ascii="仿宋_GB2312" w:hAnsi="宋体" w:eastAsia="仿宋_GB2312" w:cs="宋体"/>
                <w:lang w:eastAsia="zh-CN"/>
              </w:rPr>
              <w:t>生态环境可持续发展</w:t>
            </w:r>
          </w:p>
        </w:tc>
        <w:tc>
          <w:tcPr>
            <w:tcW w:w="1099" w:type="dxa"/>
            <w:vAlign w:val="center"/>
          </w:tcPr>
          <w:p w14:paraId="52AC4F9E">
            <w:pPr>
              <w:spacing w:line="240" w:lineRule="auto"/>
              <w:jc w:val="both"/>
              <w:rPr>
                <w:rFonts w:ascii="仿宋_GB2312" w:hAnsi="宋体" w:eastAsia="仿宋_GB2312" w:cs="宋体"/>
                <w:kern w:val="0"/>
              </w:rPr>
            </w:pPr>
            <w:r>
              <w:rPr>
                <w:rFonts w:hint="eastAsia" w:ascii="仿宋_GB2312" w:hAnsi="宋体" w:eastAsia="仿宋_GB2312" w:cs="宋体"/>
                <w:lang w:eastAsia="zh-CN"/>
              </w:rPr>
              <w:t>基础建设对生态环境影响造成的损失</w:t>
            </w:r>
          </w:p>
        </w:tc>
        <w:tc>
          <w:tcPr>
            <w:tcW w:w="1099" w:type="dxa"/>
            <w:vAlign w:val="center"/>
          </w:tcPr>
          <w:p w14:paraId="0867BB9D">
            <w:pPr>
              <w:spacing w:line="240" w:lineRule="auto"/>
              <w:jc w:val="both"/>
              <w:rPr>
                <w:rFonts w:ascii="仿宋_GB2312" w:hAnsi="宋体" w:eastAsia="仿宋_GB2312" w:cs="宋体"/>
                <w:kern w:val="0"/>
              </w:rPr>
            </w:pPr>
            <w:r>
              <w:rPr>
                <w:rFonts w:hint="eastAsia" w:ascii="仿宋_GB2312" w:hAnsi="宋体" w:eastAsia="仿宋_GB2312" w:cs="宋体"/>
                <w:lang w:eastAsia="zh-CN"/>
              </w:rPr>
              <w:t>无不良影响</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3A2D1A2">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7C2907A2">
      <w:pPr>
        <w:ind w:firstLine="440" w:firstLineChars="100"/>
        <w:jc w:val="center"/>
        <w:rPr>
          <w:rFonts w:ascii="方正小标宋简体" w:eastAsia="方正小标宋简体"/>
          <w:sz w:val="44"/>
          <w:szCs w:val="44"/>
          <w:lang w:eastAsia="zh-CN"/>
        </w:rPr>
      </w:pPr>
      <w:r>
        <w:rPr>
          <w:rFonts w:hint="eastAsia" w:ascii="方正小标宋简体" w:hAnsi="宋体" w:eastAsia="方正小标宋简体"/>
          <w:bCs/>
          <w:sz w:val="44"/>
          <w:szCs w:val="44"/>
          <w:lang w:eastAsia="zh-CN"/>
        </w:rPr>
        <w:t>汨罗市古培镇</w:t>
      </w:r>
      <w:r>
        <w:rPr>
          <w:rFonts w:hint="eastAsia" w:ascii="黑体" w:hAnsi="黑体" w:eastAsia="黑体" w:cs="黑体"/>
          <w:spacing w:val="16"/>
          <w:sz w:val="40"/>
          <w:szCs w:val="40"/>
          <w:lang w:eastAsia="zh-CN"/>
        </w:rPr>
        <w:t>人民政府</w:t>
      </w:r>
      <w:r>
        <w:rPr>
          <w:rFonts w:hint="eastAsia" w:ascii="方正小标宋简体" w:hAnsi="宋体" w:eastAsia="方正小标宋简体" w:cs="宋体"/>
          <w:sz w:val="44"/>
          <w:szCs w:val="44"/>
          <w:lang w:eastAsia="zh-CN"/>
        </w:rPr>
        <w:t>部门</w:t>
      </w:r>
      <w:r>
        <w:rPr>
          <w:rFonts w:hint="eastAsia" w:ascii="方正小标宋简体" w:eastAsia="方正小标宋简体"/>
          <w:sz w:val="44"/>
          <w:szCs w:val="44"/>
          <w:lang w:eastAsia="zh-CN"/>
        </w:rPr>
        <w:t>(</w:t>
      </w:r>
      <w:r>
        <w:rPr>
          <w:rFonts w:hint="eastAsia" w:ascii="方正小标宋简体" w:hAnsi="宋体" w:eastAsia="方正小标宋简体" w:cs="宋体"/>
          <w:sz w:val="44"/>
          <w:szCs w:val="44"/>
          <w:lang w:eastAsia="zh-CN"/>
        </w:rPr>
        <w:t>单位</w:t>
      </w:r>
      <w:r>
        <w:rPr>
          <w:rFonts w:hint="eastAsia" w:ascii="方正小标宋简体" w:eastAsia="方正小标宋简体"/>
          <w:sz w:val="44"/>
          <w:szCs w:val="44"/>
          <w:lang w:eastAsia="zh-CN"/>
        </w:rPr>
        <w:t>)</w:t>
      </w:r>
    </w:p>
    <w:p w14:paraId="6956B776">
      <w:pPr>
        <w:ind w:firstLine="2200" w:firstLineChars="500"/>
        <w:jc w:val="both"/>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整体支出绩效自评报告</w:t>
      </w:r>
    </w:p>
    <w:p w14:paraId="09DE14A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5"/>
            <w:ind w:firstLine="360"/>
            <w:jc w:val="left"/>
            <w:rPr>
              <w:rFonts w:asciiTheme="minorEastAsia" w:hAnsiTheme="minorEastAsia" w:eastAsiaTheme="minorEastAsia"/>
              <w:kern w:val="0"/>
              <w:lang w:eastAsia="zh-CN"/>
            </w:rPr>
          </w:pPr>
        </w:p>
      </w:sdtContent>
    </w:sdt>
    <w:p w14:paraId="252761BF">
      <w:pPr>
        <w:spacing w:before="130" w:line="221" w:lineRule="auto"/>
        <w:jc w:val="center"/>
        <w:rPr>
          <w:rFonts w:hint="eastAsia" w:ascii="黑体" w:hAnsi="黑体" w:eastAsia="黑体" w:cs="黑体"/>
          <w:spacing w:val="16"/>
          <w:sz w:val="40"/>
          <w:szCs w:val="40"/>
          <w:lang w:val="en-US"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方正小标宋简体" w:hAnsi="宋体" w:eastAsia="方正小标宋简体"/>
          <w:bCs/>
          <w:sz w:val="44"/>
          <w:szCs w:val="44"/>
          <w:lang w:eastAsia="zh-CN"/>
        </w:rPr>
        <w:t>古培镇</w:t>
      </w:r>
      <w:r>
        <w:rPr>
          <w:rFonts w:hint="eastAsia" w:ascii="黑体" w:hAnsi="黑体" w:eastAsia="黑体" w:cs="黑体"/>
          <w:spacing w:val="16"/>
          <w:sz w:val="40"/>
          <w:szCs w:val="40"/>
          <w:lang w:eastAsia="zh-CN"/>
        </w:rPr>
        <w:t>人民政府</w:t>
      </w:r>
      <w:r>
        <w:rPr>
          <w:rFonts w:ascii="黑体" w:hAnsi="黑体" w:eastAsia="黑体" w:cs="黑体"/>
          <w:spacing w:val="16"/>
          <w:sz w:val="40"/>
          <w:szCs w:val="40"/>
        </w:rPr>
        <w:t>部门整体支出</w:t>
      </w:r>
      <w:r>
        <w:rPr>
          <w:rFonts w:hint="eastAsia" w:ascii="黑体" w:hAnsi="黑体" w:eastAsia="黑体" w:cs="黑体"/>
          <w:spacing w:val="16"/>
          <w:sz w:val="40"/>
          <w:szCs w:val="40"/>
          <w:lang w:val="en-US" w:eastAsia="zh-CN"/>
        </w:rPr>
        <w:t>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2"/>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5B4010D6">
      <w:pPr>
        <w:spacing w:before="211" w:line="224" w:lineRule="auto"/>
        <w:ind w:firstLine="672" w:firstLineChars="200"/>
        <w:jc w:val="both"/>
        <w:rPr>
          <w:rFonts w:ascii="仿宋" w:hAnsi="仿宋" w:eastAsia="仿宋" w:cs="仿宋"/>
          <w:spacing w:val="18"/>
          <w:sz w:val="30"/>
          <w:szCs w:val="30"/>
          <w:lang w:eastAsia="zh-CN"/>
        </w:rPr>
      </w:pPr>
      <w:r>
        <w:rPr>
          <w:rFonts w:hint="eastAsia" w:ascii="仿宋" w:hAnsi="仿宋" w:eastAsia="仿宋" w:cs="仿宋"/>
          <w:spacing w:val="18"/>
          <w:sz w:val="30"/>
          <w:szCs w:val="30"/>
          <w:lang w:eastAsia="zh-CN"/>
        </w:rPr>
        <w:t>（一）职能职责</w:t>
      </w:r>
    </w:p>
    <w:p w14:paraId="736DAF41">
      <w:pPr>
        <w:spacing w:before="211" w:line="224" w:lineRule="auto"/>
        <w:ind w:firstLine="638"/>
        <w:jc w:val="both"/>
        <w:rPr>
          <w:rFonts w:ascii="仿宋" w:hAnsi="仿宋" w:eastAsia="仿宋" w:cs="仿宋"/>
          <w:spacing w:val="18"/>
          <w:sz w:val="30"/>
          <w:szCs w:val="30"/>
          <w:lang w:eastAsia="zh-CN"/>
        </w:rPr>
      </w:pPr>
      <w:r>
        <w:rPr>
          <w:rFonts w:hint="eastAsia" w:ascii="仿宋" w:hAnsi="仿宋" w:eastAsia="仿宋" w:cs="仿宋"/>
          <w:spacing w:val="18"/>
          <w:sz w:val="30"/>
          <w:szCs w:val="30"/>
          <w:lang w:eastAsia="zh-CN"/>
        </w:rPr>
        <w:t>1、党委工作职责：（1）保证党的路线、方针、政策的坚决贯彻执行。（2）保证监督职能。（3）教育和管理职能。（4）服从和服务于经济建设的职能。（5）负责抓好本乡 党建工作、群团工作、精神文明建设工作、新闻宣传工作。（6）完成市委、市政府交给的其他工作任务。</w:t>
      </w:r>
    </w:p>
    <w:p w14:paraId="33268935">
      <w:pPr>
        <w:numPr>
          <w:ilvl w:val="0"/>
          <w:numId w:val="0"/>
        </w:numPr>
        <w:kinsoku w:val="0"/>
        <w:autoSpaceDE w:val="0"/>
        <w:autoSpaceDN w:val="0"/>
        <w:adjustRightInd w:val="0"/>
        <w:snapToGrid w:val="0"/>
        <w:spacing w:before="211" w:line="224" w:lineRule="auto"/>
        <w:jc w:val="left"/>
        <w:textAlignment w:val="baseline"/>
        <w:rPr>
          <w:rFonts w:hint="eastAsia" w:ascii="方正黑体_GBK" w:hAnsi="仿宋" w:eastAsia="方正黑体_GBK" w:cs="仿宋"/>
          <w:snapToGrid w:val="0"/>
          <w:color w:val="000000"/>
          <w:sz w:val="32"/>
          <w:szCs w:val="32"/>
          <w:lang w:val="en-US" w:eastAsia="zh-CN" w:bidi="ar-SA"/>
        </w:rPr>
      </w:pPr>
      <w:r>
        <w:rPr>
          <w:rFonts w:hint="eastAsia" w:ascii="仿宋" w:hAnsi="仿宋" w:eastAsia="仿宋" w:cs="仿宋"/>
          <w:spacing w:val="18"/>
          <w:sz w:val="30"/>
          <w:szCs w:val="30"/>
          <w:lang w:eastAsia="zh-CN"/>
        </w:rPr>
        <w:t>2、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                                      （二）机构设置本单位包含政府机关及5个二级机构，分别为：古培镇政务服务中心、农业综合服务中心、镇社会事务综合服务中、镇退役军人服务站、镇综合行政执法大队。</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2"/>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2481FA0">
      <w:pPr>
        <w:spacing w:before="211" w:line="224" w:lineRule="auto"/>
        <w:ind w:firstLine="638"/>
        <w:jc w:val="both"/>
        <w:rPr>
          <w:rFonts w:hint="eastAsia" w:ascii="Times New Roman" w:hAnsi="Times New Roman" w:eastAsia="仿宋_GB2312"/>
          <w:kern w:val="0"/>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年我镇一般公共预算拨款基本支出预算为</w:t>
      </w:r>
      <w:r>
        <w:rPr>
          <w:rFonts w:hint="eastAsia" w:ascii="仿宋" w:hAnsi="仿宋" w:eastAsia="仿宋" w:cs="仿宋"/>
          <w:spacing w:val="18"/>
          <w:sz w:val="32"/>
          <w:szCs w:val="32"/>
          <w:lang w:val="en-US" w:eastAsia="zh-CN"/>
        </w:rPr>
        <w:t>1344.75</w:t>
      </w:r>
      <w:r>
        <w:rPr>
          <w:rFonts w:hint="eastAsia" w:ascii="仿宋" w:hAnsi="仿宋" w:eastAsia="仿宋" w:cs="仿宋"/>
          <w:spacing w:val="18"/>
          <w:sz w:val="32"/>
          <w:szCs w:val="32"/>
          <w:lang w:eastAsia="zh-CN"/>
        </w:rPr>
        <w:t>万元，其中工资福利支出</w:t>
      </w:r>
      <w:r>
        <w:rPr>
          <w:rFonts w:hint="eastAsia" w:ascii="仿宋" w:hAnsi="仿宋" w:eastAsia="仿宋" w:cs="仿宋"/>
          <w:spacing w:val="18"/>
          <w:sz w:val="32"/>
          <w:szCs w:val="32"/>
          <w:lang w:val="en-US" w:eastAsia="zh-CN"/>
        </w:rPr>
        <w:t>839.86</w:t>
      </w:r>
      <w:r>
        <w:rPr>
          <w:rFonts w:hint="eastAsia" w:ascii="仿宋" w:hAnsi="仿宋" w:eastAsia="仿宋" w:cs="仿宋"/>
          <w:spacing w:val="18"/>
          <w:sz w:val="32"/>
          <w:szCs w:val="32"/>
          <w:lang w:eastAsia="zh-CN"/>
        </w:rPr>
        <w:t>万元占基本支出年初预算</w:t>
      </w:r>
      <w:r>
        <w:rPr>
          <w:rFonts w:hint="eastAsia" w:ascii="仿宋" w:hAnsi="仿宋" w:eastAsia="仿宋" w:cs="仿宋"/>
          <w:spacing w:val="18"/>
          <w:sz w:val="32"/>
          <w:szCs w:val="32"/>
          <w:lang w:val="en-US" w:eastAsia="zh-CN"/>
        </w:rPr>
        <w:t>62.45</w:t>
      </w:r>
      <w:r>
        <w:rPr>
          <w:rFonts w:hint="eastAsia" w:ascii="仿宋" w:hAnsi="仿宋" w:eastAsia="仿宋" w:cs="仿宋"/>
          <w:spacing w:val="18"/>
          <w:sz w:val="32"/>
          <w:szCs w:val="32"/>
          <w:lang w:eastAsia="zh-CN"/>
        </w:rPr>
        <w:t>%，商品和服务支出</w:t>
      </w:r>
      <w:r>
        <w:rPr>
          <w:rFonts w:hint="eastAsia" w:ascii="仿宋" w:hAnsi="仿宋" w:eastAsia="仿宋" w:cs="仿宋"/>
          <w:spacing w:val="18"/>
          <w:sz w:val="32"/>
          <w:szCs w:val="32"/>
          <w:lang w:val="en-US" w:eastAsia="zh-CN"/>
        </w:rPr>
        <w:t>307.39</w:t>
      </w:r>
      <w:r>
        <w:rPr>
          <w:rFonts w:hint="eastAsia" w:ascii="仿宋" w:hAnsi="仿宋" w:eastAsia="仿宋" w:cs="仿宋"/>
          <w:spacing w:val="18"/>
          <w:sz w:val="32"/>
          <w:szCs w:val="32"/>
          <w:lang w:eastAsia="zh-CN"/>
        </w:rPr>
        <w:t>万元占基本支出年初预算</w:t>
      </w:r>
      <w:r>
        <w:rPr>
          <w:rFonts w:hint="eastAsia" w:ascii="仿宋" w:hAnsi="仿宋" w:eastAsia="仿宋" w:cs="仿宋"/>
          <w:spacing w:val="18"/>
          <w:sz w:val="32"/>
          <w:szCs w:val="32"/>
          <w:lang w:val="en-US" w:eastAsia="zh-CN"/>
        </w:rPr>
        <w:t>22.86</w:t>
      </w:r>
      <w:r>
        <w:rPr>
          <w:rFonts w:hint="eastAsia" w:ascii="仿宋" w:hAnsi="仿宋" w:eastAsia="仿宋" w:cs="仿宋"/>
          <w:spacing w:val="18"/>
          <w:sz w:val="32"/>
          <w:szCs w:val="32"/>
          <w:lang w:eastAsia="zh-CN"/>
        </w:rPr>
        <w:t>%，对个人和家庭的补助支出</w:t>
      </w:r>
      <w:r>
        <w:rPr>
          <w:rFonts w:hint="eastAsia" w:ascii="仿宋" w:hAnsi="仿宋" w:eastAsia="仿宋" w:cs="仿宋"/>
          <w:spacing w:val="18"/>
          <w:sz w:val="32"/>
          <w:szCs w:val="32"/>
          <w:lang w:val="en-US" w:eastAsia="zh-CN"/>
        </w:rPr>
        <w:t>197.5</w:t>
      </w:r>
      <w:r>
        <w:rPr>
          <w:rFonts w:hint="eastAsia" w:ascii="仿宋" w:hAnsi="仿宋" w:eastAsia="仿宋" w:cs="仿宋"/>
          <w:spacing w:val="18"/>
          <w:sz w:val="32"/>
          <w:szCs w:val="32"/>
          <w:lang w:eastAsia="zh-CN"/>
        </w:rPr>
        <w:t>万元占基本支出年初预算</w:t>
      </w:r>
      <w:r>
        <w:rPr>
          <w:rFonts w:hint="eastAsia" w:ascii="仿宋" w:hAnsi="仿宋" w:eastAsia="仿宋" w:cs="仿宋"/>
          <w:spacing w:val="18"/>
          <w:sz w:val="32"/>
          <w:szCs w:val="32"/>
          <w:lang w:val="en-US" w:eastAsia="zh-CN"/>
        </w:rPr>
        <w:t>14.69</w:t>
      </w:r>
      <w:r>
        <w:rPr>
          <w:rFonts w:hint="eastAsia" w:ascii="仿宋" w:hAnsi="仿宋" w:eastAsia="仿宋" w:cs="仿宋"/>
          <w:spacing w:val="18"/>
          <w:sz w:val="32"/>
          <w:szCs w:val="32"/>
          <w:lang w:eastAsia="zh-CN"/>
        </w:rPr>
        <w:t>%，比202</w:t>
      </w:r>
      <w:r>
        <w:rPr>
          <w:rFonts w:hint="eastAsia" w:ascii="仿宋" w:hAnsi="仿宋" w:eastAsia="仿宋" w:cs="仿宋"/>
          <w:spacing w:val="18"/>
          <w:sz w:val="32"/>
          <w:szCs w:val="32"/>
          <w:lang w:val="en-US" w:eastAsia="zh-CN"/>
        </w:rPr>
        <w:t>2</w:t>
      </w:r>
      <w:r>
        <w:rPr>
          <w:rFonts w:hint="eastAsia" w:ascii="仿宋" w:hAnsi="仿宋" w:eastAsia="仿宋" w:cs="仿宋"/>
          <w:spacing w:val="18"/>
          <w:sz w:val="32"/>
          <w:szCs w:val="32"/>
          <w:lang w:eastAsia="zh-CN"/>
        </w:rPr>
        <w:t>年一般公共预算拨款基本预算支出</w:t>
      </w:r>
      <w:r>
        <w:rPr>
          <w:rFonts w:hint="eastAsia" w:ascii="仿宋" w:hAnsi="仿宋" w:eastAsia="仿宋" w:cs="仿宋"/>
          <w:spacing w:val="18"/>
          <w:sz w:val="32"/>
          <w:szCs w:val="32"/>
          <w:lang w:val="en-US" w:eastAsia="zh-CN"/>
        </w:rPr>
        <w:t>1207.54</w:t>
      </w:r>
      <w:r>
        <w:rPr>
          <w:rFonts w:hint="eastAsia" w:ascii="仿宋" w:hAnsi="仿宋" w:eastAsia="仿宋" w:cs="仿宋"/>
          <w:spacing w:val="18"/>
          <w:sz w:val="32"/>
          <w:szCs w:val="32"/>
          <w:lang w:eastAsia="zh-CN"/>
        </w:rPr>
        <w:t>万元比较增加</w:t>
      </w:r>
      <w:r>
        <w:rPr>
          <w:rFonts w:hint="eastAsia" w:ascii="仿宋" w:hAnsi="仿宋" w:eastAsia="仿宋" w:cs="仿宋"/>
          <w:spacing w:val="18"/>
          <w:sz w:val="32"/>
          <w:szCs w:val="32"/>
          <w:lang w:val="en-US" w:eastAsia="zh-CN"/>
        </w:rPr>
        <w:t>137.21</w:t>
      </w:r>
      <w:r>
        <w:rPr>
          <w:rFonts w:hint="eastAsia" w:ascii="仿宋" w:hAnsi="仿宋" w:eastAsia="仿宋" w:cs="仿宋"/>
          <w:spacing w:val="18"/>
          <w:sz w:val="32"/>
          <w:szCs w:val="32"/>
          <w:lang w:eastAsia="zh-CN"/>
        </w:rPr>
        <w:t>万元，同比增加</w:t>
      </w:r>
      <w:r>
        <w:rPr>
          <w:rFonts w:hint="eastAsia" w:ascii="仿宋" w:hAnsi="仿宋" w:eastAsia="仿宋" w:cs="仿宋"/>
          <w:spacing w:val="18"/>
          <w:sz w:val="32"/>
          <w:szCs w:val="32"/>
          <w:lang w:val="en-US" w:eastAsia="zh-CN"/>
        </w:rPr>
        <w:t>11.36</w:t>
      </w:r>
      <w:r>
        <w:rPr>
          <w:rFonts w:hint="eastAsia" w:ascii="仿宋" w:hAnsi="仿宋" w:eastAsia="仿宋" w:cs="仿宋"/>
          <w:spacing w:val="18"/>
          <w:sz w:val="32"/>
          <w:szCs w:val="32"/>
          <w:lang w:eastAsia="zh-CN"/>
        </w:rPr>
        <w:t>%，其增加的主要原因是人员新增，工资的调资、晋级与人员经费的增加。</w:t>
      </w:r>
    </w:p>
    <w:p w14:paraId="00657FCB">
      <w:pPr>
        <w:pStyle w:val="12"/>
        <w:numPr>
          <w:ilvl w:val="0"/>
          <w:numId w:val="3"/>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2541E0C7">
      <w:pPr>
        <w:spacing w:before="211" w:line="224" w:lineRule="auto"/>
        <w:ind w:firstLine="638"/>
        <w:jc w:val="both"/>
        <w:rPr>
          <w:rFonts w:hint="eastAsia" w:ascii="Times New Roman" w:hAnsi="Times New Roman" w:eastAsia="仿宋_GB2312"/>
          <w:kern w:val="0"/>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年我部门项目支</w:t>
      </w:r>
      <w:r>
        <w:rPr>
          <w:rFonts w:hint="eastAsia" w:ascii="仿宋" w:hAnsi="仿宋" w:eastAsia="仿宋" w:cs="仿宋"/>
          <w:spacing w:val="18"/>
          <w:sz w:val="32"/>
          <w:szCs w:val="32"/>
          <w:lang w:val="en-US" w:eastAsia="zh-CN"/>
        </w:rPr>
        <w:t>1009.87</w:t>
      </w:r>
      <w:r>
        <w:rPr>
          <w:rFonts w:hint="eastAsia" w:ascii="仿宋" w:hAnsi="仿宋" w:eastAsia="仿宋" w:cs="仿宋"/>
          <w:spacing w:val="18"/>
          <w:sz w:val="32"/>
          <w:szCs w:val="32"/>
          <w:lang w:eastAsia="zh-CN"/>
        </w:rPr>
        <w:t>万元。</w:t>
      </w:r>
    </w:p>
    <w:p w14:paraId="516D3C52">
      <w:pPr>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058E75DB">
      <w:pPr>
        <w:spacing w:before="211" w:line="224" w:lineRule="auto"/>
        <w:ind w:firstLine="638"/>
        <w:jc w:val="both"/>
        <w:rPr>
          <w:rFonts w:ascii="仿宋" w:hAnsi="仿宋" w:eastAsia="仿宋" w:cs="仿宋"/>
          <w:spacing w:val="18"/>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年度政府性基金预算财政拨款收入</w:t>
      </w:r>
      <w:r>
        <w:rPr>
          <w:rFonts w:hint="eastAsia" w:ascii="仿宋" w:hAnsi="仿宋" w:eastAsia="仿宋" w:cs="仿宋"/>
          <w:spacing w:val="18"/>
          <w:sz w:val="32"/>
          <w:szCs w:val="32"/>
          <w:lang w:val="en-US" w:eastAsia="zh-CN"/>
        </w:rPr>
        <w:t>225.38</w:t>
      </w:r>
      <w:r>
        <w:rPr>
          <w:rFonts w:hint="eastAsia" w:ascii="仿宋" w:hAnsi="仿宋" w:eastAsia="仿宋" w:cs="仿宋"/>
          <w:spacing w:val="18"/>
          <w:sz w:val="32"/>
          <w:szCs w:val="32"/>
          <w:lang w:eastAsia="zh-CN"/>
        </w:rPr>
        <w:t>万元；年初结转和结余0万元；支出</w:t>
      </w:r>
      <w:r>
        <w:rPr>
          <w:rFonts w:hint="eastAsia" w:ascii="仿宋" w:hAnsi="仿宋" w:eastAsia="仿宋" w:cs="仿宋"/>
          <w:spacing w:val="18"/>
          <w:sz w:val="32"/>
          <w:szCs w:val="32"/>
          <w:lang w:val="en-US" w:eastAsia="zh-CN"/>
        </w:rPr>
        <w:t>225.38</w:t>
      </w:r>
      <w:r>
        <w:rPr>
          <w:rFonts w:hint="eastAsia" w:ascii="仿宋" w:hAnsi="仿宋" w:eastAsia="仿宋" w:cs="仿宋"/>
          <w:spacing w:val="18"/>
          <w:sz w:val="32"/>
          <w:szCs w:val="32"/>
          <w:lang w:eastAsia="zh-CN"/>
        </w:rPr>
        <w:t>万元，其中基本支出0万元，项目支出</w:t>
      </w:r>
      <w:r>
        <w:rPr>
          <w:rFonts w:hint="eastAsia" w:ascii="仿宋" w:hAnsi="仿宋" w:eastAsia="仿宋" w:cs="仿宋"/>
          <w:spacing w:val="18"/>
          <w:sz w:val="32"/>
          <w:szCs w:val="32"/>
          <w:lang w:val="en-US" w:eastAsia="zh-CN"/>
        </w:rPr>
        <w:t>225.38</w:t>
      </w:r>
      <w:r>
        <w:rPr>
          <w:rFonts w:hint="eastAsia" w:ascii="仿宋" w:hAnsi="仿宋" w:eastAsia="仿宋" w:cs="仿宋"/>
          <w:spacing w:val="18"/>
          <w:sz w:val="32"/>
          <w:szCs w:val="32"/>
          <w:lang w:eastAsia="zh-CN"/>
        </w:rPr>
        <w:t>万元；年末结转和结余0万元。具体情况如下：</w:t>
      </w:r>
    </w:p>
    <w:p w14:paraId="05737F7D">
      <w:pPr>
        <w:spacing w:before="211" w:line="224" w:lineRule="auto"/>
        <w:ind w:firstLine="638"/>
        <w:jc w:val="both"/>
        <w:rPr>
          <w:rFonts w:ascii="仿宋" w:hAnsi="仿宋" w:eastAsia="仿宋" w:cs="仿宋"/>
          <w:spacing w:val="18"/>
          <w:sz w:val="32"/>
          <w:szCs w:val="32"/>
          <w:lang w:eastAsia="zh-CN"/>
        </w:rPr>
      </w:pPr>
      <w:r>
        <w:rPr>
          <w:rFonts w:hint="eastAsia" w:ascii="仿宋" w:hAnsi="仿宋" w:eastAsia="仿宋" w:cs="仿宋"/>
          <w:spacing w:val="18"/>
          <w:sz w:val="32"/>
          <w:szCs w:val="32"/>
          <w:lang w:eastAsia="zh-CN"/>
        </w:rPr>
        <w:t>1、城乡社区支出（类）国有土地使用权出让收入安排的支出（款）农村基础设施建设支出（项）。</w:t>
      </w:r>
    </w:p>
    <w:p w14:paraId="324960A9">
      <w:pPr>
        <w:spacing w:before="211" w:line="224" w:lineRule="auto"/>
        <w:ind w:firstLine="638"/>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年初预算为0万元，支出决算为</w:t>
      </w:r>
      <w:r>
        <w:rPr>
          <w:rFonts w:hint="eastAsia" w:ascii="仿宋" w:hAnsi="仿宋" w:eastAsia="仿宋" w:cs="仿宋"/>
          <w:spacing w:val="18"/>
          <w:sz w:val="32"/>
          <w:szCs w:val="32"/>
          <w:lang w:val="en-US" w:eastAsia="zh-CN"/>
        </w:rPr>
        <w:t>200.38</w:t>
      </w:r>
      <w:r>
        <w:rPr>
          <w:rFonts w:hint="eastAsia" w:ascii="仿宋" w:hAnsi="仿宋" w:eastAsia="仿宋" w:cs="仿宋"/>
          <w:spacing w:val="18"/>
          <w:sz w:val="32"/>
          <w:szCs w:val="32"/>
          <w:lang w:eastAsia="zh-CN"/>
        </w:rPr>
        <w:t>万元，决算数大于年初预算数的主要原因是：项目资金转移支付安排相应增加。</w:t>
      </w:r>
    </w:p>
    <w:p w14:paraId="144E9325">
      <w:pPr>
        <w:spacing w:before="211" w:line="224" w:lineRule="auto"/>
        <w:ind w:firstLine="638"/>
        <w:jc w:val="both"/>
        <w:rPr>
          <w:rFonts w:ascii="仿宋" w:hAnsi="仿宋" w:eastAsia="仿宋" w:cs="仿宋"/>
          <w:spacing w:val="18"/>
          <w:sz w:val="32"/>
          <w:szCs w:val="32"/>
          <w:lang w:eastAsia="zh-CN"/>
        </w:rPr>
      </w:pPr>
      <w:r>
        <w:rPr>
          <w:rFonts w:hint="eastAsia" w:ascii="仿宋" w:hAnsi="仿宋" w:eastAsia="仿宋" w:cs="仿宋"/>
          <w:spacing w:val="18"/>
          <w:sz w:val="32"/>
          <w:szCs w:val="32"/>
          <w:lang w:val="en-US" w:eastAsia="zh-CN"/>
        </w:rPr>
        <w:t>2</w:t>
      </w:r>
      <w:r>
        <w:rPr>
          <w:rFonts w:hint="eastAsia" w:ascii="仿宋" w:hAnsi="仿宋" w:eastAsia="仿宋" w:cs="仿宋"/>
          <w:spacing w:val="18"/>
          <w:sz w:val="32"/>
          <w:szCs w:val="32"/>
          <w:lang w:eastAsia="zh-CN"/>
        </w:rPr>
        <w:t>、城乡社区支出（类）国有土地使用权出让收入安排的支出（款）其他国有土地使用权出让收入安排的支出（项）。</w:t>
      </w:r>
    </w:p>
    <w:p w14:paraId="41D6D973">
      <w:pPr>
        <w:spacing w:before="211" w:line="224" w:lineRule="auto"/>
        <w:ind w:firstLine="638"/>
        <w:jc w:val="both"/>
        <w:rPr>
          <w:rFonts w:hint="eastAsia" w:ascii="方正黑体_GBK" w:eastAsia="方正黑体_GBK"/>
          <w:kern w:val="0"/>
          <w:sz w:val="32"/>
          <w:szCs w:val="32"/>
          <w:lang w:eastAsia="zh-CN"/>
        </w:rPr>
      </w:pPr>
      <w:r>
        <w:rPr>
          <w:rFonts w:hint="eastAsia" w:ascii="仿宋" w:hAnsi="仿宋" w:eastAsia="仿宋" w:cs="仿宋"/>
          <w:spacing w:val="18"/>
          <w:sz w:val="32"/>
          <w:szCs w:val="32"/>
          <w:lang w:eastAsia="zh-CN"/>
        </w:rPr>
        <w:t>年初预算为0万元，支出决算为</w:t>
      </w:r>
      <w:r>
        <w:rPr>
          <w:rFonts w:hint="eastAsia" w:ascii="仿宋" w:hAnsi="仿宋" w:eastAsia="仿宋" w:cs="仿宋"/>
          <w:spacing w:val="18"/>
          <w:sz w:val="32"/>
          <w:szCs w:val="32"/>
          <w:lang w:val="en-US" w:eastAsia="zh-CN"/>
        </w:rPr>
        <w:t>25</w:t>
      </w:r>
      <w:r>
        <w:rPr>
          <w:rFonts w:hint="eastAsia" w:ascii="仿宋" w:hAnsi="仿宋" w:eastAsia="仿宋" w:cs="仿宋"/>
          <w:spacing w:val="18"/>
          <w:sz w:val="32"/>
          <w:szCs w:val="32"/>
          <w:lang w:eastAsia="zh-CN"/>
        </w:rPr>
        <w:t>万元，决算数大于年初预算数的主要原因是：项目资金转移支付安排相应增加。</w:t>
      </w:r>
    </w:p>
    <w:p w14:paraId="2A755169">
      <w:pPr>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1D3F8D75">
      <w:pPr>
        <w:spacing w:before="211" w:line="224" w:lineRule="auto"/>
        <w:ind w:firstLine="638"/>
        <w:jc w:val="both"/>
        <w:rPr>
          <w:rFonts w:hint="eastAsia" w:ascii="方正黑体_GBK" w:eastAsia="方正黑体_GBK"/>
          <w:kern w:val="0"/>
          <w:sz w:val="32"/>
          <w:szCs w:val="32"/>
          <w:lang w:eastAsia="zh-CN"/>
        </w:rPr>
      </w:pPr>
      <w:r>
        <w:rPr>
          <w:rFonts w:hint="eastAsia" w:ascii="仿宋" w:hAnsi="仿宋" w:eastAsia="仿宋" w:cs="仿宋"/>
          <w:spacing w:val="18"/>
          <w:sz w:val="32"/>
          <w:szCs w:val="32"/>
          <w:lang w:eastAsia="zh-CN"/>
        </w:rPr>
        <w:t>我单位无202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年度国有资本经营预算财政拨款收支。</w:t>
      </w:r>
    </w:p>
    <w:p w14:paraId="07F1EBC0">
      <w:pPr>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bookmarkStart w:id="0" w:name="_GoBack"/>
      <w:bookmarkEnd w:id="0"/>
    </w:p>
    <w:p w14:paraId="4A0D1AC4">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仿宋" w:hAnsi="仿宋" w:eastAsia="仿宋" w:cs="仿宋"/>
          <w:spacing w:val="18"/>
          <w:sz w:val="32"/>
          <w:szCs w:val="32"/>
          <w:lang w:eastAsia="zh-CN"/>
        </w:rPr>
        <w:t>我单位无202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 xml:space="preserve">年度社会保险基金预算财政拨款收支。 </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61E9913D">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（一）绩效自评目的</w:t>
      </w:r>
    </w:p>
    <w:p w14:paraId="7EA61269">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为了更加有利于合理配置资源，正确引导和规范财政资金监督与管理，提高财政资金使用效益，也有利于重点项目建设，对项目的运行及效率情况提供及时、有价值的信息，促进项目管理，增强项目管理者对项目的责任感。</w:t>
      </w:r>
    </w:p>
    <w:p w14:paraId="2B4F2E51">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（二）自评组织过程</w:t>
      </w:r>
    </w:p>
    <w:p w14:paraId="166C8608">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1.前期准备：根据绩效自评的范围和对象，确定纳入绩效自评的年度预算项目。拟定组织实施方案，明确开展绩效自评的指标体系、工作流程、工作时限、自评结果应用等，认真开展绩效自评工作。</w:t>
      </w:r>
    </w:p>
    <w:p w14:paraId="7A13851E">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2.组织实施：结合年初预算批复的部门整体支出和项目支出绩效指标、部门职责及项目特点、项目预算执行情况等要素，补充设计个性指标，按规定填报相关表格，通过集中讨论，总结经验和问题，对项目绩效情况进行总体评价后，形成绩效自评报告。</w:t>
      </w:r>
    </w:p>
    <w:p w14:paraId="4E05A590">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（三）评价情况分析及综合评价结论</w:t>
      </w:r>
    </w:p>
    <w:p w14:paraId="07310216">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1、投入情况分析</w:t>
      </w:r>
    </w:p>
    <w:p w14:paraId="75CC4A61">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年我镇共投入资金</w:t>
      </w:r>
      <w:r>
        <w:rPr>
          <w:rFonts w:hint="eastAsia" w:ascii="仿宋" w:hAnsi="仿宋" w:eastAsia="仿宋" w:cs="仿宋"/>
          <w:spacing w:val="18"/>
          <w:sz w:val="32"/>
          <w:szCs w:val="32"/>
          <w:lang w:val="en-US" w:eastAsia="zh-CN"/>
        </w:rPr>
        <w:t>2580</w:t>
      </w:r>
      <w:r>
        <w:rPr>
          <w:rFonts w:hint="eastAsia" w:ascii="仿宋" w:hAnsi="仿宋" w:eastAsia="仿宋" w:cs="仿宋"/>
          <w:spacing w:val="18"/>
          <w:sz w:val="32"/>
          <w:szCs w:val="32"/>
          <w:lang w:eastAsia="zh-CN"/>
        </w:rPr>
        <w:t>万元，其中：工资福利支出</w:t>
      </w:r>
      <w:r>
        <w:rPr>
          <w:rFonts w:hint="eastAsia" w:ascii="仿宋" w:hAnsi="仿宋" w:eastAsia="仿宋" w:cs="仿宋"/>
          <w:spacing w:val="18"/>
          <w:sz w:val="32"/>
          <w:szCs w:val="32"/>
          <w:lang w:val="en-US" w:eastAsia="zh-CN"/>
        </w:rPr>
        <w:t>839.86</w:t>
      </w:r>
      <w:r>
        <w:rPr>
          <w:rFonts w:hint="eastAsia" w:ascii="仿宋" w:hAnsi="仿宋" w:eastAsia="仿宋" w:cs="仿宋"/>
          <w:spacing w:val="18"/>
          <w:sz w:val="32"/>
          <w:szCs w:val="32"/>
          <w:lang w:eastAsia="zh-CN"/>
        </w:rPr>
        <w:t>万元，占总支出的</w:t>
      </w:r>
      <w:r>
        <w:rPr>
          <w:rFonts w:hint="eastAsia" w:ascii="仿宋" w:hAnsi="仿宋" w:eastAsia="仿宋" w:cs="仿宋"/>
          <w:spacing w:val="18"/>
          <w:sz w:val="32"/>
          <w:szCs w:val="32"/>
          <w:lang w:val="en-US" w:eastAsia="zh-CN"/>
        </w:rPr>
        <w:t>32.55</w:t>
      </w:r>
      <w:r>
        <w:rPr>
          <w:rFonts w:hint="eastAsia" w:ascii="仿宋" w:hAnsi="仿宋" w:eastAsia="仿宋" w:cs="仿宋"/>
          <w:spacing w:val="18"/>
          <w:sz w:val="32"/>
          <w:szCs w:val="32"/>
          <w:lang w:eastAsia="zh-CN"/>
        </w:rPr>
        <w:t>%；商品服务支出</w:t>
      </w:r>
      <w:r>
        <w:rPr>
          <w:rFonts w:hint="eastAsia" w:ascii="仿宋" w:hAnsi="仿宋" w:eastAsia="仿宋" w:cs="仿宋"/>
          <w:spacing w:val="18"/>
          <w:sz w:val="32"/>
          <w:szCs w:val="32"/>
          <w:lang w:val="en-US" w:eastAsia="zh-CN"/>
        </w:rPr>
        <w:t>307.39</w:t>
      </w:r>
      <w:r>
        <w:rPr>
          <w:rFonts w:hint="eastAsia" w:ascii="仿宋" w:hAnsi="仿宋" w:eastAsia="仿宋" w:cs="仿宋"/>
          <w:spacing w:val="18"/>
          <w:sz w:val="32"/>
          <w:szCs w:val="32"/>
          <w:lang w:eastAsia="zh-CN"/>
        </w:rPr>
        <w:t>万元，占总支出的</w:t>
      </w:r>
      <w:r>
        <w:rPr>
          <w:rFonts w:hint="eastAsia" w:ascii="仿宋" w:hAnsi="仿宋" w:eastAsia="仿宋" w:cs="仿宋"/>
          <w:spacing w:val="18"/>
          <w:sz w:val="32"/>
          <w:szCs w:val="32"/>
          <w:lang w:val="en-US" w:eastAsia="zh-CN"/>
        </w:rPr>
        <w:t>11.91</w:t>
      </w:r>
      <w:r>
        <w:rPr>
          <w:rFonts w:hint="eastAsia" w:ascii="仿宋" w:hAnsi="仿宋" w:eastAsia="仿宋" w:cs="仿宋"/>
          <w:spacing w:val="18"/>
          <w:sz w:val="32"/>
          <w:szCs w:val="32"/>
          <w:lang w:eastAsia="zh-CN"/>
        </w:rPr>
        <w:t>%；对个人和家庭的补助</w:t>
      </w:r>
      <w:r>
        <w:rPr>
          <w:rFonts w:hint="eastAsia" w:ascii="仿宋" w:hAnsi="仿宋" w:eastAsia="仿宋" w:cs="仿宋"/>
          <w:spacing w:val="18"/>
          <w:sz w:val="32"/>
          <w:szCs w:val="32"/>
          <w:lang w:val="en-US" w:eastAsia="zh-CN"/>
        </w:rPr>
        <w:t>197.5</w:t>
      </w:r>
      <w:r>
        <w:rPr>
          <w:rFonts w:hint="eastAsia" w:ascii="仿宋" w:hAnsi="仿宋" w:eastAsia="仿宋" w:cs="仿宋"/>
          <w:spacing w:val="18"/>
          <w:sz w:val="32"/>
          <w:szCs w:val="32"/>
          <w:lang w:eastAsia="zh-CN"/>
        </w:rPr>
        <w:t>万元，占总支出的</w:t>
      </w:r>
      <w:r>
        <w:rPr>
          <w:rFonts w:hint="eastAsia" w:ascii="仿宋" w:hAnsi="仿宋" w:eastAsia="仿宋" w:cs="仿宋"/>
          <w:spacing w:val="18"/>
          <w:sz w:val="32"/>
          <w:szCs w:val="32"/>
          <w:lang w:val="en-US" w:eastAsia="zh-CN"/>
        </w:rPr>
        <w:t>7.66</w:t>
      </w:r>
      <w:r>
        <w:rPr>
          <w:rFonts w:hint="eastAsia" w:ascii="仿宋" w:hAnsi="仿宋" w:eastAsia="仿宋" w:cs="仿宋"/>
          <w:spacing w:val="18"/>
          <w:sz w:val="32"/>
          <w:szCs w:val="32"/>
          <w:lang w:eastAsia="zh-CN"/>
        </w:rPr>
        <w:t>%；资本性支出</w:t>
      </w:r>
      <w:r>
        <w:rPr>
          <w:rFonts w:hint="eastAsia" w:ascii="仿宋" w:hAnsi="仿宋" w:eastAsia="仿宋" w:cs="仿宋"/>
          <w:spacing w:val="18"/>
          <w:sz w:val="32"/>
          <w:szCs w:val="32"/>
          <w:lang w:val="en-US" w:eastAsia="zh-CN"/>
        </w:rPr>
        <w:t>1235.25</w:t>
      </w:r>
      <w:r>
        <w:rPr>
          <w:rFonts w:hint="eastAsia" w:ascii="仿宋" w:hAnsi="仿宋" w:eastAsia="仿宋" w:cs="仿宋"/>
          <w:spacing w:val="18"/>
          <w:sz w:val="32"/>
          <w:szCs w:val="32"/>
          <w:lang w:eastAsia="zh-CN"/>
        </w:rPr>
        <w:t>万元，占总支出的</w:t>
      </w:r>
      <w:r>
        <w:rPr>
          <w:rFonts w:hint="eastAsia" w:ascii="仿宋" w:hAnsi="仿宋" w:eastAsia="仿宋" w:cs="仿宋"/>
          <w:spacing w:val="18"/>
          <w:sz w:val="32"/>
          <w:szCs w:val="32"/>
          <w:lang w:val="en-US" w:eastAsia="zh-CN"/>
        </w:rPr>
        <w:t>39.14</w:t>
      </w:r>
      <w:r>
        <w:rPr>
          <w:rFonts w:hint="eastAsia" w:ascii="仿宋" w:hAnsi="仿宋" w:eastAsia="仿宋" w:cs="仿宋"/>
          <w:spacing w:val="18"/>
          <w:sz w:val="32"/>
          <w:szCs w:val="32"/>
          <w:lang w:eastAsia="zh-CN"/>
        </w:rPr>
        <w:t>%。基本支出</w:t>
      </w:r>
      <w:r>
        <w:rPr>
          <w:rFonts w:hint="eastAsia" w:ascii="仿宋" w:hAnsi="仿宋" w:eastAsia="仿宋" w:cs="仿宋"/>
          <w:spacing w:val="18"/>
          <w:sz w:val="32"/>
          <w:szCs w:val="32"/>
          <w:lang w:val="en-US" w:eastAsia="zh-CN"/>
        </w:rPr>
        <w:t>1344.75</w:t>
      </w:r>
      <w:r>
        <w:rPr>
          <w:rFonts w:hint="eastAsia" w:ascii="仿宋" w:hAnsi="仿宋" w:eastAsia="仿宋" w:cs="仿宋"/>
          <w:spacing w:val="18"/>
          <w:sz w:val="32"/>
          <w:szCs w:val="32"/>
          <w:lang w:eastAsia="zh-CN"/>
        </w:rPr>
        <w:t>万元（人员经费支出</w:t>
      </w:r>
      <w:r>
        <w:rPr>
          <w:rFonts w:hint="eastAsia" w:ascii="仿宋" w:hAnsi="仿宋" w:eastAsia="仿宋" w:cs="仿宋"/>
          <w:spacing w:val="18"/>
          <w:sz w:val="32"/>
          <w:szCs w:val="32"/>
          <w:lang w:val="en-US" w:eastAsia="zh-CN"/>
        </w:rPr>
        <w:t>1037.36</w:t>
      </w:r>
      <w:r>
        <w:rPr>
          <w:rFonts w:hint="eastAsia" w:ascii="仿宋" w:hAnsi="仿宋" w:eastAsia="仿宋" w:cs="仿宋"/>
          <w:spacing w:val="18"/>
          <w:sz w:val="32"/>
          <w:szCs w:val="32"/>
          <w:lang w:eastAsia="zh-CN"/>
        </w:rPr>
        <w:t>，公用经费</w:t>
      </w:r>
      <w:r>
        <w:rPr>
          <w:rFonts w:hint="eastAsia" w:ascii="仿宋" w:hAnsi="仿宋" w:eastAsia="仿宋" w:cs="仿宋"/>
          <w:spacing w:val="18"/>
          <w:sz w:val="32"/>
          <w:szCs w:val="32"/>
          <w:lang w:val="en-US" w:eastAsia="zh-CN"/>
        </w:rPr>
        <w:t>307.39</w:t>
      </w:r>
      <w:r>
        <w:rPr>
          <w:rFonts w:hint="eastAsia" w:ascii="仿宋" w:hAnsi="仿宋" w:eastAsia="仿宋" w:cs="仿宋"/>
          <w:spacing w:val="18"/>
          <w:sz w:val="32"/>
          <w:szCs w:val="32"/>
          <w:lang w:eastAsia="zh-CN"/>
        </w:rPr>
        <w:t>万元），项目支出</w:t>
      </w:r>
      <w:r>
        <w:rPr>
          <w:rFonts w:hint="eastAsia" w:ascii="仿宋" w:hAnsi="仿宋" w:eastAsia="仿宋" w:cs="仿宋"/>
          <w:spacing w:val="18"/>
          <w:sz w:val="32"/>
          <w:szCs w:val="32"/>
          <w:lang w:val="en-US" w:eastAsia="zh-CN"/>
        </w:rPr>
        <w:t>1235.25</w:t>
      </w:r>
      <w:r>
        <w:rPr>
          <w:rFonts w:hint="eastAsia" w:ascii="仿宋" w:hAnsi="仿宋" w:eastAsia="仿宋" w:cs="仿宋"/>
          <w:spacing w:val="18"/>
          <w:sz w:val="32"/>
          <w:szCs w:val="32"/>
          <w:lang w:eastAsia="zh-CN"/>
        </w:rPr>
        <w:t>万元。</w:t>
      </w:r>
    </w:p>
    <w:p w14:paraId="621CC2B3">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2、过程情况分析</w:t>
      </w:r>
    </w:p>
    <w:p w14:paraId="209E367D">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项目事业性计划下达后，镇党委、政府指定专人具体负责，分解落实目标任务，明确项目落地，监督项目实施，项目完工后认真组织项目验收及审计；通过收集整理评价基础数据资料（项目总体情况、各类资金投入支出等信息、立项实施管理验收等信息，绩效目标及完成情况等信息），撰写自评报告反映资金使用效果。</w:t>
      </w:r>
    </w:p>
    <w:p w14:paraId="74861BC3">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3、产出情况分析</w:t>
      </w:r>
    </w:p>
    <w:p w14:paraId="3607A45F">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绩效观念和责任意识不断增强，项目管理和资金绩效不断优化，自评质量和工作水平不断提升。通过贯彻落实各级政府坚持过紧日子的原则，统筹保障人员工资、日常公用经费等,基本支出得到足额保障，年末全部预算执行完成，支出效益明显。</w:t>
      </w:r>
    </w:p>
    <w:p w14:paraId="16480F6F">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4、效果情况分析</w:t>
      </w:r>
    </w:p>
    <w:p w14:paraId="137FCBA9">
      <w:pPr>
        <w:numPr>
          <w:ilvl w:val="0"/>
          <w:numId w:val="0"/>
        </w:numPr>
        <w:spacing w:line="600" w:lineRule="exact"/>
        <w:ind w:left="640" w:leftChars="0"/>
        <w:jc w:val="both"/>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202</w:t>
      </w:r>
      <w:r>
        <w:rPr>
          <w:rFonts w:hint="eastAsia" w:ascii="仿宋" w:hAnsi="仿宋" w:eastAsia="仿宋" w:cs="仿宋"/>
          <w:spacing w:val="18"/>
          <w:sz w:val="32"/>
          <w:szCs w:val="32"/>
          <w:lang w:val="en-US" w:eastAsia="zh-CN"/>
        </w:rPr>
        <w:t>3</w:t>
      </w:r>
      <w:r>
        <w:rPr>
          <w:rFonts w:hint="eastAsia" w:ascii="仿宋" w:hAnsi="仿宋" w:eastAsia="仿宋" w:cs="仿宋"/>
          <w:spacing w:val="18"/>
          <w:sz w:val="32"/>
          <w:szCs w:val="32"/>
          <w:lang w:eastAsia="zh-CN"/>
        </w:rPr>
        <w:t>年按照“保工资、保基本民生、保运转”的总基调，坚持节约，反对铺张浪费，保证了全镇的工资发放和机构的正常运转，保证了必要的民生支出，我镇经济社会稳步发展，社会治安稳定，无重大群体性事件发生；对下达到本镇的上级专项补助项目的建设前、建设中、建设后进行跟踪问效，严格招投标，工程严格按批复建设，保证质量和工期。项目建成后注重管护，建成后丰富了人民群众的文化生活，方便了人民群众的出行，改善了村容村貌，提升了人居环境，为乡村振兴奠定了坚实的基础。</w:t>
      </w:r>
    </w:p>
    <w:p w14:paraId="7D59A845">
      <w:pPr>
        <w:spacing w:line="600" w:lineRule="exact"/>
        <w:ind w:left="420" w:leftChars="200"/>
        <w:jc w:val="both"/>
        <w:rPr>
          <w:rFonts w:ascii="方正黑体_GBK" w:eastAsia="方正黑体_GBK"/>
          <w:sz w:val="32"/>
          <w:szCs w:val="32"/>
          <w:lang w:eastAsia="zh-CN"/>
        </w:rPr>
      </w:pP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7544B38">
      <w:pPr>
        <w:numPr>
          <w:ilvl w:val="0"/>
          <w:numId w:val="0"/>
        </w:numPr>
        <w:spacing w:line="600" w:lineRule="exact"/>
        <w:ind w:firstLine="1068" w:firstLineChars="300"/>
        <w:jc w:val="both"/>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无</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69F97F79">
      <w:pPr>
        <w:numPr>
          <w:ilvl w:val="0"/>
          <w:numId w:val="0"/>
        </w:numPr>
        <w:spacing w:line="600" w:lineRule="exact"/>
        <w:ind w:firstLine="1068" w:firstLineChars="300"/>
        <w:jc w:val="both"/>
        <w:rPr>
          <w:rFonts w:hint="eastAsia" w:ascii="方正黑体_GBK" w:eastAsia="方正黑体_GBK"/>
          <w:kern w:val="0"/>
          <w:sz w:val="32"/>
          <w:szCs w:val="32"/>
          <w:lang w:eastAsia="zh-CN"/>
        </w:rPr>
      </w:pPr>
      <w:r>
        <w:rPr>
          <w:rFonts w:hint="eastAsia" w:ascii="仿宋" w:hAnsi="仿宋" w:eastAsia="仿宋" w:cs="仿宋"/>
          <w:spacing w:val="18"/>
          <w:sz w:val="32"/>
          <w:szCs w:val="32"/>
          <w:lang w:eastAsia="zh-CN"/>
        </w:rPr>
        <w:t>进一步健全和完善财务管理制度及内部控制制度，创新管理手段，用新思路、新方法，改进完善财务管理方法，用制度管项目，用制度管资金，杜绝一切腐败现象。</w:t>
      </w:r>
    </w:p>
    <w:p w14:paraId="37ACA1CA">
      <w:pPr>
        <w:numPr>
          <w:ilvl w:val="0"/>
          <w:numId w:val="4"/>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5FDC30E9">
      <w:pPr>
        <w:pStyle w:val="7"/>
        <w:shd w:val="clear" w:color="auto" w:fill="FFFFFF"/>
        <w:spacing w:beforeAutospacing="0" w:afterAutospacing="0" w:line="504" w:lineRule="atLeast"/>
        <w:ind w:firstLine="1280" w:firstLineChars="400"/>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仿宋"/>
          <w:snapToGrid w:val="0"/>
          <w:color w:val="000000"/>
          <w:spacing w:val="18"/>
          <w:kern w:val="0"/>
          <w:sz w:val="32"/>
          <w:szCs w:val="32"/>
          <w:lang w:val="en-US" w:eastAsia="zh-CN" w:bidi="ar-SA"/>
        </w:rPr>
        <w:t>无</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1FEF983F">
      <w:pPr>
        <w:spacing w:line="600" w:lineRule="exact"/>
        <w:ind w:firstLine="1424" w:firstLineChars="400"/>
        <w:jc w:val="both"/>
        <w:rPr>
          <w:rFonts w:eastAsia="仿宋_GB2312"/>
          <w:kern w:val="0"/>
          <w:sz w:val="32"/>
          <w:szCs w:val="32"/>
          <w:lang w:eastAsia="zh-CN"/>
        </w:rPr>
      </w:pPr>
      <w:r>
        <w:rPr>
          <w:rFonts w:hint="eastAsia" w:ascii="仿宋" w:hAnsi="仿宋" w:eastAsia="仿宋" w:cs="仿宋"/>
          <w:snapToGrid w:val="0"/>
          <w:color w:val="000000"/>
          <w:spacing w:val="18"/>
          <w:kern w:val="0"/>
          <w:sz w:val="32"/>
          <w:szCs w:val="32"/>
          <w:lang w:val="en-US" w:eastAsia="zh-CN" w:bidi="ar-SA"/>
        </w:rPr>
        <w:t>无</w:t>
      </w: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4EC8C4B6">
      <w:pPr>
        <w:spacing w:line="600" w:lineRule="exact"/>
        <w:ind w:firstLine="640" w:firstLineChars="200"/>
        <w:jc w:val="both"/>
        <w:rPr>
          <w:rFonts w:hint="eastAsia" w:ascii="宋体" w:hAnsi="宋体" w:eastAsia="宋体" w:cs="宋体"/>
          <w:bCs/>
          <w:spacing w:val="-4"/>
          <w:kern w:val="0"/>
          <w:sz w:val="28"/>
          <w:szCs w:val="28"/>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pStyle w:val="2"/>
        <w:bidi w:val="0"/>
        <w:jc w:val="center"/>
      </w:pPr>
      <w:r>
        <w:t>202</w:t>
      </w:r>
      <w:r>
        <w:rPr>
          <w:rFonts w:hint="eastAsia"/>
          <w:lang w:val="en-US" w:eastAsia="zh-CN"/>
        </w:rPr>
        <w:t>3</w:t>
      </w:r>
      <w:r>
        <w:t>年度</w:t>
      </w:r>
      <w:r>
        <w:rPr>
          <w:rFonts w:hint="eastAsia"/>
          <w:lang w:val="en-US" w:eastAsia="zh-CN"/>
        </w:rPr>
        <w:t>岳峰村乡村休闲旅游</w:t>
      </w:r>
      <w:r>
        <w:t>项目支出</w:t>
      </w:r>
    </w:p>
    <w:p w14:paraId="5035F9FC">
      <w:pPr>
        <w:pStyle w:val="2"/>
        <w:bidi w:val="0"/>
        <w:jc w:val="center"/>
      </w:pPr>
      <w: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4"/>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4"/>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4"/>
        <w:spacing w:before="1" w:line="223" w:lineRule="auto"/>
        <w:ind w:left="3560"/>
        <w:rPr>
          <w:sz w:val="24"/>
          <w:szCs w:val="24"/>
        </w:rPr>
      </w:pPr>
      <w:r>
        <w:rPr>
          <w:spacing w:val="7"/>
          <w:sz w:val="24"/>
          <w:szCs w:val="24"/>
        </w:rPr>
        <w:t>(此面为封面)</w:t>
      </w:r>
    </w:p>
    <w:p w14:paraId="481DCC6A">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7444719B">
      <w:pPr>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古培镇位于汨罗市南郊，现辖8个村，总面积83.6平方公里，总人口3.4万。</w:t>
      </w:r>
      <w:r>
        <w:rPr>
          <w:rFonts w:hint="eastAsia" w:ascii="仿宋" w:hAnsi="仿宋" w:eastAsia="仿宋" w:cs="仿宋"/>
          <w:b/>
          <w:bCs/>
          <w:kern w:val="2"/>
          <w:sz w:val="32"/>
          <w:szCs w:val="32"/>
          <w:lang w:val="en-US" w:eastAsia="zh-CN" w:bidi="ar-SA"/>
        </w:rPr>
        <w:t>古培历史悠久，人文鼎盛。</w:t>
      </w:r>
      <w:r>
        <w:rPr>
          <w:rFonts w:hint="eastAsia" w:ascii="仿宋" w:hAnsi="仿宋" w:eastAsia="仿宋" w:cs="仿宋"/>
          <w:kern w:val="2"/>
          <w:sz w:val="32"/>
          <w:szCs w:val="32"/>
          <w:lang w:val="en-US" w:eastAsia="zh-CN" w:bidi="ar-SA"/>
        </w:rPr>
        <w:t>晚清文化名人彭峨，民国时期著名革命进步人士仇亮、仇鳌均诞生于此，留有省级文物保护单位仇鳌墓。</w:t>
      </w:r>
      <w:r>
        <w:rPr>
          <w:rFonts w:hint="eastAsia" w:ascii="仿宋" w:hAnsi="仿宋" w:eastAsia="仿宋" w:cs="仿宋"/>
          <w:b/>
          <w:bCs/>
          <w:kern w:val="2"/>
          <w:sz w:val="32"/>
          <w:szCs w:val="32"/>
          <w:lang w:val="en-US" w:eastAsia="zh-CN" w:bidi="ar-SA"/>
        </w:rPr>
        <w:t>古培交通便捷，区位优越。</w:t>
      </w:r>
      <w:r>
        <w:rPr>
          <w:rFonts w:hint="eastAsia" w:ascii="仿宋" w:hAnsi="仿宋" w:eastAsia="仿宋" w:cs="仿宋"/>
          <w:kern w:val="2"/>
          <w:sz w:val="32"/>
          <w:szCs w:val="32"/>
          <w:lang w:val="en-US" w:eastAsia="zh-CN" w:bidi="ar-SA"/>
        </w:rPr>
        <w:t>向东连接107国道，向西以G240连通湘阴，向北骆驼大道贯通城区，向南以汨杨公路直接对接长沙，平益高速贯穿全境，是汨罗对接高速的最快入口，共有5条国省干道途经境内。</w:t>
      </w:r>
      <w:r>
        <w:rPr>
          <w:rFonts w:hint="eastAsia" w:ascii="仿宋" w:hAnsi="仿宋" w:eastAsia="仿宋" w:cs="仿宋"/>
          <w:b/>
          <w:bCs/>
          <w:kern w:val="2"/>
          <w:sz w:val="32"/>
          <w:szCs w:val="32"/>
          <w:lang w:val="en-US" w:eastAsia="zh-CN" w:bidi="ar-SA"/>
        </w:rPr>
        <w:t>古培环境优美，生态宜居。</w:t>
      </w:r>
      <w:r>
        <w:rPr>
          <w:rFonts w:hint="eastAsia" w:ascii="仿宋" w:hAnsi="仿宋" w:eastAsia="仿宋" w:cs="仿宋"/>
          <w:kern w:val="2"/>
          <w:sz w:val="32"/>
          <w:szCs w:val="32"/>
          <w:lang w:val="en-US" w:eastAsia="zh-CN" w:bidi="ar-SA"/>
        </w:rPr>
        <w:t>建有秀美屋场17个，森林覆盖率达70%，境内东侧岳峰山电视塔如巨臂擎天，与镇中汨罗水库旅游风景区遥遥相望，相映生辉。</w:t>
      </w:r>
      <w:r>
        <w:rPr>
          <w:rFonts w:hint="eastAsia" w:ascii="仿宋" w:hAnsi="仿宋" w:eastAsia="仿宋" w:cs="仿宋"/>
          <w:b/>
          <w:bCs/>
          <w:kern w:val="2"/>
          <w:sz w:val="32"/>
          <w:szCs w:val="32"/>
          <w:lang w:val="en-US" w:eastAsia="zh-CN" w:bidi="ar-SA"/>
        </w:rPr>
        <w:t>古培农业发达、资源丰富。</w:t>
      </w:r>
      <w:r>
        <w:rPr>
          <w:rFonts w:hint="eastAsia" w:ascii="仿宋" w:hAnsi="仿宋" w:eastAsia="仿宋" w:cs="仿宋"/>
          <w:color w:val="000000"/>
          <w:sz w:val="32"/>
          <w:szCs w:val="32"/>
          <w:lang w:val="en-US" w:eastAsia="zh-CN" w:bidi="ar"/>
        </w:rPr>
        <w:t>耕地面积3</w:t>
      </w:r>
      <w:r>
        <w:rPr>
          <w:rFonts w:hint="eastAsia" w:ascii="仿宋" w:hAnsi="仿宋" w:eastAsia="仿宋" w:cs="仿宋"/>
          <w:kern w:val="2"/>
          <w:sz w:val="32"/>
          <w:szCs w:val="32"/>
          <w:lang w:val="en-US" w:eastAsia="zh-CN" w:bidi="ar-SA"/>
        </w:rPr>
        <w:t>7214亩，其中水田36159亩，旱地1055亩，土地有效流转28774亩，占全镇耕地比例77%，完成“小田改大田”高标准农田建设5050亩。山林面积68367亩，水面8064亩，境内有中型水库1座（汨罗水库），小一型水库2座（关山水库、金鸡水库），小二型水库17座，渠道累计长27公里，高标准山塘420余口。</w:t>
      </w:r>
      <w:r>
        <w:rPr>
          <w:rFonts w:hint="eastAsia" w:ascii="仿宋" w:hAnsi="仿宋" w:eastAsia="仿宋" w:cs="仿宋"/>
          <w:b/>
          <w:bCs/>
          <w:kern w:val="2"/>
          <w:sz w:val="32"/>
          <w:szCs w:val="32"/>
          <w:lang w:val="en-US" w:eastAsia="zh-CN" w:bidi="ar-SA"/>
        </w:rPr>
        <w:t>古培企业众多，产业蓬勃。</w:t>
      </w:r>
      <w:r>
        <w:rPr>
          <w:rFonts w:hint="eastAsia" w:ascii="仿宋" w:hAnsi="仿宋" w:eastAsia="仿宋" w:cs="仿宋"/>
          <w:kern w:val="2"/>
          <w:sz w:val="32"/>
          <w:szCs w:val="32"/>
          <w:lang w:val="en-US" w:eastAsia="zh-CN" w:bidi="ar-SA"/>
        </w:rPr>
        <w:t>贯彻“双引双带”模式，狠抓闲置资产盘活，带动群众就业增收，2022年盘活闲置村小5处、荒地1557亩，引进企业、项目13个，新增家门口就业317人，雨坛村集体经济突破40万元，其余村全部突破10万元。今年，又通过盘活闲置小学2处、荒地390亩，引进企业、项目5个，其中3家已落地，2家正在建设中。盘活闲置石牛小学，引回大学生乡友邹谦创办“情忆农”农庄；利用荒地230亩，打造“情怀谷”生态研学基地，改造荒地20亩，引回乡友投资80万元建设水蛭养殖基地；盘活闲置三港小学，引进膏药制药厂，盘活闲置杨柳砖厂地块，引进无动力游乐园建设项目，预计共可新增“家门口”就业250人。</w:t>
      </w:r>
      <w:r>
        <w:rPr>
          <w:rFonts w:hint="eastAsia" w:ascii="仿宋" w:hAnsi="仿宋" w:eastAsia="仿宋" w:cs="仿宋"/>
          <w:b/>
          <w:bCs/>
          <w:kern w:val="2"/>
          <w:sz w:val="32"/>
          <w:szCs w:val="32"/>
          <w:lang w:val="en-US" w:eastAsia="zh-CN" w:bidi="ar-SA"/>
        </w:rPr>
        <w:t>古培创新模式，智慧治理。</w:t>
      </w:r>
      <w:r>
        <w:rPr>
          <w:rFonts w:hint="eastAsia" w:ascii="仿宋" w:hAnsi="仿宋" w:eastAsia="仿宋" w:cs="仿宋"/>
          <w:sz w:val="32"/>
          <w:szCs w:val="32"/>
          <w:highlight w:val="none"/>
          <w:lang w:val="en-US" w:eastAsia="zh-CN"/>
        </w:rPr>
        <w:t>探索“智慧乡村”建设，选拔“智慧管家”119名，完成9640户家庭信息录入，完成率99%，推送信息1026条，解决网上反馈问题462个。通过常态化开展村民代表联系服务群众工作，</w:t>
      </w:r>
      <w:r>
        <w:rPr>
          <w:rFonts w:hint="eastAsia" w:ascii="仿宋" w:hAnsi="仿宋" w:eastAsia="仿宋" w:cs="仿宋"/>
          <w:sz w:val="32"/>
          <w:szCs w:val="32"/>
          <w:lang w:val="en-US" w:eastAsia="zh-CN"/>
        </w:rPr>
        <w:t>每季度开展“民情恳谈”户主会，面对面扎实解决问题，线上线下合力化解矛盾。</w:t>
      </w:r>
      <w:r>
        <w:rPr>
          <w:rFonts w:hint="eastAsia" w:ascii="仿宋" w:hAnsi="仿宋" w:eastAsia="仿宋" w:cs="仿宋"/>
          <w:b/>
          <w:bCs/>
          <w:kern w:val="2"/>
          <w:sz w:val="32"/>
          <w:szCs w:val="32"/>
          <w:lang w:val="en-US" w:eastAsia="zh-CN" w:bidi="ar-SA"/>
        </w:rPr>
        <w:t>古培教育强劲，发展迅速。</w:t>
      </w:r>
      <w:r>
        <w:rPr>
          <w:rFonts w:hint="eastAsia" w:ascii="仿宋" w:hAnsi="仿宋" w:eastAsia="仿宋" w:cs="仿宋"/>
          <w:color w:val="000000"/>
          <w:kern w:val="2"/>
          <w:sz w:val="32"/>
          <w:szCs w:val="32"/>
          <w:lang w:val="en-US" w:eastAsia="zh-CN" w:bidi="ar"/>
        </w:rPr>
        <w:t>完成全镇教育布局调整，8所学校调整为3所，县管校聘试点取得成功，教育队伍更具活力。教育基金扩充到420万元，尊师重教氛围逐渐浓厚。</w:t>
      </w:r>
      <w:r>
        <w:rPr>
          <w:rFonts w:hint="eastAsia" w:ascii="仿宋" w:hAnsi="仿宋" w:eastAsia="仿宋" w:cs="仿宋"/>
          <w:sz w:val="32"/>
          <w:szCs w:val="32"/>
          <w:lang w:val="en-US" w:eastAsia="zh-CN"/>
        </w:rPr>
        <w:t>投入590万元，完成2所学校的基建提质和运动场改造。</w:t>
      </w:r>
      <w:r>
        <w:rPr>
          <w:rFonts w:hint="eastAsia" w:ascii="仿宋" w:hAnsi="仿宋" w:eastAsia="仿宋" w:cs="仿宋"/>
          <w:sz w:val="32"/>
          <w:szCs w:val="32"/>
        </w:rPr>
        <w:t>古培镇学校连续18年评为汨罗市初中教学质量评价先进单位，2022年中考一、二中录取总人数达46人，录取率超45%，高出全市农村学校平均录取率20%。</w:t>
      </w:r>
    </w:p>
    <w:p w14:paraId="7C14F4ED">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专项资金为202</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年度，是由移民局拨付古培镇岳峰村</w:t>
      </w:r>
      <w:r>
        <w:rPr>
          <w:rFonts w:hint="eastAsia" w:ascii="仿宋" w:hAnsi="仿宋" w:eastAsia="仿宋" w:cs="仿宋"/>
          <w:bCs/>
          <w:sz w:val="32"/>
          <w:szCs w:val="32"/>
          <w:lang w:val="en-US" w:eastAsia="zh-CN"/>
        </w:rPr>
        <w:t>乡村休闲旅游建设</w:t>
      </w:r>
      <w:r>
        <w:rPr>
          <w:rFonts w:hint="eastAsia" w:ascii="仿宋" w:hAnsi="仿宋" w:eastAsia="仿宋" w:cs="仿宋"/>
          <w:bCs/>
          <w:sz w:val="32"/>
          <w:szCs w:val="32"/>
          <w:lang w:eastAsia="zh-CN"/>
        </w:rPr>
        <w:t>资金</w:t>
      </w:r>
      <w:r>
        <w:rPr>
          <w:rFonts w:hint="eastAsia" w:ascii="仿宋" w:hAnsi="仿宋" w:eastAsia="仿宋" w:cs="仿宋"/>
          <w:bCs/>
          <w:sz w:val="32"/>
          <w:szCs w:val="32"/>
          <w:lang w:val="en-US" w:eastAsia="zh-CN"/>
        </w:rPr>
        <w:t>35</w:t>
      </w:r>
      <w:r>
        <w:rPr>
          <w:rFonts w:hint="eastAsia" w:ascii="仿宋" w:hAnsi="仿宋" w:eastAsia="仿宋" w:cs="仿宋"/>
          <w:bCs/>
          <w:sz w:val="32"/>
          <w:szCs w:val="32"/>
          <w:lang w:eastAsia="zh-CN"/>
        </w:rPr>
        <w:t>万元，</w:t>
      </w:r>
      <w:r>
        <w:rPr>
          <w:rFonts w:hint="eastAsia" w:ascii="仿宋" w:hAnsi="仿宋" w:eastAsia="仿宋" w:cs="仿宋"/>
          <w:bCs/>
          <w:sz w:val="32"/>
          <w:szCs w:val="32"/>
          <w:lang w:val="en-US" w:eastAsia="zh-CN"/>
        </w:rPr>
        <w:t>自筹资金20万元</w:t>
      </w:r>
      <w:r>
        <w:rPr>
          <w:rFonts w:hint="eastAsia" w:ascii="仿宋" w:hAnsi="仿宋" w:eastAsia="仿宋" w:cs="仿宋"/>
          <w:bCs/>
          <w:sz w:val="32"/>
          <w:szCs w:val="32"/>
          <w:lang w:eastAsia="zh-CN"/>
        </w:rPr>
        <w:t>。</w:t>
      </w:r>
    </w:p>
    <w:p w14:paraId="3065A3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p>
    <w:p w14:paraId="093A6928">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p>
    <w:p w14:paraId="6732EB45">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AF8D993">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资金使用管理情况,主要包括预算资金及项目管理制度建设、日常检查监督管理等情况。</w:t>
      </w:r>
    </w:p>
    <w:p w14:paraId="32B23B2C">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1、定期或不定期对专项项目实施和资金管理使用情况进行监督检查和绩效评价，及时发现问题、总结经验，提升项目管理水平，充分发挥财政资金效益。对项目单位不按规定使用资金的，财政部门或主管部门可停拨项目资金或中止项目执行。</w:t>
      </w:r>
    </w:p>
    <w:p w14:paraId="1809442F">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2、专项资金必须专款专用，严禁虚报、冒领、截留、挤占、挪用。按照“谁使用谁负责”的原则，建立责任追究制度</w:t>
      </w:r>
    </w:p>
    <w:p w14:paraId="323C2470">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3、将建设工作纳入古培镇年度目标绩效考核中，签订目标责任书，将工作任务层层分解，责任到人。</w:t>
      </w:r>
    </w:p>
    <w:p w14:paraId="6AD4E0CE">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4、严格按照工作进展和完成情况兑现奖惩，形成激励先进、鞭策后进的工作机制。对于完成较好、效果明显的进行表彰奖励；对于重视不够、质量不达标的进行通报批评；对造成严重影响的，进行经济处罚。确保奖优罚劣，奖惩兑现。督促及时整改，确保各项任务措施落到实处、取得实效。</w:t>
      </w:r>
    </w:p>
    <w:p w14:paraId="1FE836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ascii="黑体" w:hAnsi="黑体" w:eastAsia="黑体" w:cs="黑体"/>
          <w:b/>
          <w:bCs/>
          <w:spacing w:val="-15"/>
          <w:sz w:val="31"/>
          <w:szCs w:val="31"/>
        </w:rPr>
      </w:pP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DBFA80F">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（一）专项资金决策情况。</w:t>
      </w:r>
    </w:p>
    <w:p w14:paraId="380FA44B">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通过古培寺镇党政专题会议研究确定专项资金使用方向。</w:t>
      </w:r>
    </w:p>
    <w:p w14:paraId="632D3FB8">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（二）资金投入情况分析。</w:t>
      </w:r>
    </w:p>
    <w:p w14:paraId="69DA2769">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1．项目资金到位情况分析。</w:t>
      </w:r>
    </w:p>
    <w:p w14:paraId="4B5985E1">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lang w:eastAsia="zh-CN"/>
        </w:rPr>
        <w:t>月，移民局</w:t>
      </w:r>
      <w:r>
        <w:rPr>
          <w:rFonts w:hint="eastAsia" w:ascii="仿宋" w:hAnsi="仿宋" w:eastAsia="仿宋" w:cs="仿宋"/>
          <w:bCs/>
          <w:sz w:val="32"/>
          <w:szCs w:val="32"/>
          <w:lang w:val="en-US" w:eastAsia="zh-CN"/>
        </w:rPr>
        <w:t>33</w:t>
      </w:r>
      <w:r>
        <w:rPr>
          <w:rFonts w:hint="eastAsia" w:ascii="仿宋" w:hAnsi="仿宋" w:eastAsia="仿宋" w:cs="仿宋"/>
          <w:bCs/>
          <w:sz w:val="32"/>
          <w:szCs w:val="32"/>
          <w:lang w:eastAsia="zh-CN"/>
        </w:rPr>
        <w:t>万元预算计划安排下达我镇</w:t>
      </w:r>
      <w:r>
        <w:rPr>
          <w:rFonts w:hint="eastAsia" w:ascii="仿宋" w:hAnsi="仿宋" w:eastAsia="仿宋" w:cs="仿宋"/>
          <w:bCs/>
          <w:sz w:val="32"/>
          <w:szCs w:val="32"/>
          <w:lang w:val="en-US" w:eastAsia="zh-CN"/>
        </w:rPr>
        <w:t>乡村休闲旅游</w:t>
      </w:r>
      <w:r>
        <w:rPr>
          <w:rFonts w:hint="eastAsia" w:ascii="仿宋" w:hAnsi="仿宋" w:eastAsia="仿宋" w:cs="仿宋"/>
          <w:bCs/>
          <w:sz w:val="32"/>
          <w:szCs w:val="32"/>
          <w:lang w:eastAsia="zh-CN"/>
        </w:rPr>
        <w:t>资金</w:t>
      </w:r>
      <w:r>
        <w:rPr>
          <w:rFonts w:hint="eastAsia" w:ascii="仿宋" w:hAnsi="仿宋" w:eastAsia="仿宋" w:cs="仿宋"/>
          <w:bCs/>
          <w:sz w:val="32"/>
          <w:szCs w:val="32"/>
          <w:lang w:val="en-US" w:eastAsia="zh-CN"/>
        </w:rPr>
        <w:t>35</w:t>
      </w:r>
      <w:r>
        <w:rPr>
          <w:rFonts w:hint="eastAsia" w:ascii="仿宋" w:hAnsi="仿宋" w:eastAsia="仿宋" w:cs="仿宋"/>
          <w:bCs/>
          <w:sz w:val="32"/>
          <w:szCs w:val="32"/>
          <w:lang w:eastAsia="zh-CN"/>
        </w:rPr>
        <w:t>万元，</w:t>
      </w:r>
      <w:r>
        <w:rPr>
          <w:rFonts w:hint="eastAsia" w:ascii="仿宋" w:hAnsi="仿宋" w:eastAsia="仿宋" w:cs="仿宋"/>
          <w:bCs/>
          <w:sz w:val="32"/>
          <w:szCs w:val="32"/>
          <w:lang w:val="en-US" w:eastAsia="zh-CN"/>
        </w:rPr>
        <w:t>自筹资金20万元</w:t>
      </w:r>
      <w:r>
        <w:rPr>
          <w:rFonts w:hint="eastAsia" w:ascii="仿宋" w:hAnsi="仿宋" w:eastAsia="仿宋" w:cs="仿宋"/>
          <w:bCs/>
          <w:sz w:val="32"/>
          <w:szCs w:val="32"/>
          <w:lang w:eastAsia="zh-CN"/>
        </w:rPr>
        <w:t>已经拨付到</w:t>
      </w:r>
      <w:r>
        <w:rPr>
          <w:rFonts w:hint="eastAsia" w:ascii="仿宋" w:hAnsi="仿宋" w:eastAsia="仿宋" w:cs="仿宋"/>
          <w:bCs/>
          <w:sz w:val="32"/>
          <w:szCs w:val="32"/>
          <w:lang w:val="en-US" w:eastAsia="zh-CN"/>
        </w:rPr>
        <w:t>位</w:t>
      </w:r>
      <w:r>
        <w:rPr>
          <w:rFonts w:hint="eastAsia" w:ascii="仿宋" w:hAnsi="仿宋" w:eastAsia="仿宋" w:cs="仿宋"/>
          <w:bCs/>
          <w:sz w:val="32"/>
          <w:szCs w:val="32"/>
          <w:lang w:eastAsia="zh-CN"/>
        </w:rPr>
        <w:t>。</w:t>
      </w:r>
    </w:p>
    <w:p w14:paraId="7713DF81">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2．项目资金执行情况分析。</w:t>
      </w:r>
    </w:p>
    <w:p w14:paraId="0BDFAB38">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市乡村振兴局预算安排下达后，并按项目建设要求和进度全部落实到位。截止目前实际总支出为</w:t>
      </w:r>
      <w:r>
        <w:rPr>
          <w:rFonts w:hint="eastAsia" w:ascii="仿宋" w:hAnsi="仿宋" w:eastAsia="仿宋" w:cs="仿宋"/>
          <w:bCs/>
          <w:sz w:val="32"/>
          <w:szCs w:val="32"/>
          <w:lang w:val="en-US" w:eastAsia="zh-CN"/>
        </w:rPr>
        <w:t>55</w:t>
      </w:r>
      <w:r>
        <w:rPr>
          <w:rFonts w:hint="eastAsia" w:ascii="仿宋" w:hAnsi="仿宋" w:eastAsia="仿宋" w:cs="仿宋"/>
          <w:bCs/>
          <w:sz w:val="32"/>
          <w:szCs w:val="32"/>
          <w:lang w:eastAsia="zh-CN"/>
        </w:rPr>
        <w:t>万元。</w:t>
      </w:r>
    </w:p>
    <w:p w14:paraId="7AF472B9">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3．项目资金管理情况分析。</w:t>
      </w:r>
    </w:p>
    <w:p w14:paraId="0EEB1173">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14:paraId="70DACDB3">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（三）绩效目标完成情况分析。</w:t>
      </w:r>
    </w:p>
    <w:p w14:paraId="3E8B1CE4">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1．效益指标完成情况分析。</w:t>
      </w:r>
    </w:p>
    <w:p w14:paraId="35022ED1">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该村较好地完成了202</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年初设定的工作任务，各项项目得到有序开展。到</w:t>
      </w:r>
      <w:r>
        <w:rPr>
          <w:rFonts w:hint="eastAsia" w:ascii="仿宋" w:hAnsi="仿宋" w:eastAsia="仿宋" w:cs="仿宋"/>
          <w:bCs/>
          <w:sz w:val="32"/>
          <w:szCs w:val="32"/>
          <w:lang w:val="en-US" w:eastAsia="zh-CN"/>
        </w:rPr>
        <w:t>9</w:t>
      </w:r>
      <w:r>
        <w:rPr>
          <w:rFonts w:hint="eastAsia" w:ascii="仿宋" w:hAnsi="仿宋" w:eastAsia="仿宋" w:cs="仿宋"/>
          <w:bCs/>
          <w:sz w:val="32"/>
          <w:szCs w:val="32"/>
          <w:lang w:eastAsia="zh-CN"/>
        </w:rPr>
        <w:t>月底完成全部项目的100%，预算资金安排达到100%，完成项目验收率达到100%。</w:t>
      </w:r>
    </w:p>
    <w:p w14:paraId="43ACE0BE">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2．满意度指标完成情况分析。</w:t>
      </w:r>
    </w:p>
    <w:p w14:paraId="7286BD8D">
      <w:pPr>
        <w:widowControl w:val="0"/>
        <w:tabs>
          <w:tab w:val="left" w:pos="0"/>
        </w:tabs>
        <w:overflowPunct w:val="0"/>
        <w:spacing w:line="360" w:lineRule="auto"/>
        <w:ind w:left="17" w:leftChars="8" w:firstLine="707" w:firstLineChars="221"/>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自202</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年以来，我镇对该项目实施和整体社会效益及满意度等各项指标调查，基本情况是群众对项目实施满意度达100%。项目社会效益和经济效益明显，达到了预期效果。</w:t>
      </w:r>
    </w:p>
    <w:p w14:paraId="269828A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D9A793F">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1、我单位根据专项绩效评定指标对各项目量化评价，自评指标得分</w:t>
      </w:r>
      <w:r>
        <w:rPr>
          <w:rFonts w:hint="eastAsia" w:ascii="仿宋" w:hAnsi="仿宋" w:eastAsia="仿宋" w:cs="仿宋"/>
          <w:bCs/>
          <w:sz w:val="32"/>
          <w:szCs w:val="32"/>
          <w:lang w:val="en-US" w:eastAsia="zh-CN"/>
        </w:rPr>
        <w:t>100</w:t>
      </w:r>
      <w:r>
        <w:rPr>
          <w:rFonts w:hint="eastAsia" w:ascii="仿宋" w:hAnsi="仿宋" w:eastAsia="仿宋" w:cs="仿宋"/>
          <w:bCs/>
          <w:sz w:val="32"/>
          <w:szCs w:val="32"/>
          <w:lang w:eastAsia="zh-CN"/>
        </w:rPr>
        <w:t>分。</w:t>
      </w:r>
    </w:p>
    <w:p w14:paraId="4024BC90">
      <w:pPr>
        <w:spacing w:line="560" w:lineRule="exact"/>
        <w:ind w:firstLine="640" w:firstLineChars="200"/>
        <w:outlineLvl w:val="0"/>
        <w:rPr>
          <w:rFonts w:ascii="仿宋" w:hAnsi="仿宋" w:eastAsia="仿宋" w:cs="仿宋"/>
          <w:bCs/>
          <w:sz w:val="32"/>
          <w:szCs w:val="32"/>
          <w:lang w:eastAsia="zh-CN"/>
        </w:rPr>
      </w:pPr>
      <w:r>
        <w:rPr>
          <w:rFonts w:hint="eastAsia" w:ascii="仿宋" w:hAnsi="仿宋" w:eastAsia="仿宋" w:cs="仿宋"/>
          <w:bCs/>
          <w:sz w:val="32"/>
          <w:szCs w:val="32"/>
          <w:lang w:eastAsia="zh-CN"/>
        </w:rPr>
        <w:t>2、将项目支出后的实际状况与项目申报的绩效目标进行对比分析。按项目实际支出和项目申报绩效目标进行对比分析自评得分</w:t>
      </w:r>
      <w:r>
        <w:rPr>
          <w:rFonts w:hint="eastAsia" w:ascii="仿宋" w:hAnsi="仿宋" w:eastAsia="仿宋" w:cs="仿宋"/>
          <w:bCs/>
          <w:sz w:val="32"/>
          <w:szCs w:val="32"/>
          <w:lang w:val="en-US" w:eastAsia="zh-CN"/>
        </w:rPr>
        <w:t>100</w:t>
      </w:r>
      <w:r>
        <w:rPr>
          <w:rFonts w:hint="eastAsia" w:ascii="仿宋" w:hAnsi="仿宋" w:eastAsia="仿宋" w:cs="仿宋"/>
          <w:bCs/>
          <w:sz w:val="32"/>
          <w:szCs w:val="32"/>
          <w:lang w:eastAsia="zh-CN"/>
        </w:rPr>
        <w:t>分，所有项目均与批复下达相符。</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31542DCD">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6BBCD639">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firstLine="640" w:firstLineChars="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3CD5D003">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6A403FBD">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right="0" w:rightChars="0"/>
        <w:jc w:val="both"/>
        <w:textAlignment w:val="baseline"/>
        <w:rPr>
          <w:rFonts w:hint="eastAsia" w:ascii="黑体" w:hAnsi="黑体" w:eastAsia="黑体" w:cs="黑体"/>
          <w:b/>
          <w:bCs/>
          <w:spacing w:val="-15"/>
          <w:sz w:val="31"/>
          <w:szCs w:val="31"/>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5"/>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5"/>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5"/>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8F5B2"/>
    <w:multiLevelType w:val="singleLevel"/>
    <w:tmpl w:val="84A8F5B2"/>
    <w:lvl w:ilvl="0" w:tentative="0">
      <w:start w:val="1"/>
      <w:numFmt w:val="decimal"/>
      <w:suff w:val="nothing"/>
      <w:lvlText w:val="%1、"/>
      <w:lvlJc w:val="left"/>
    </w:lvl>
  </w:abstractNum>
  <w:abstractNum w:abstractNumId="1">
    <w:nsid w:val="E292D1F2"/>
    <w:multiLevelType w:val="singleLevel"/>
    <w:tmpl w:val="E292D1F2"/>
    <w:lvl w:ilvl="0" w:tentative="0">
      <w:start w:val="8"/>
      <w:numFmt w:val="chineseCounting"/>
      <w:suff w:val="nothing"/>
      <w:lvlText w:val="%1、"/>
      <w:lvlJc w:val="left"/>
      <w:rPr>
        <w:rFonts w:hint="eastAsia"/>
      </w:rPr>
    </w:lvl>
  </w:abstractNum>
  <w:abstractNum w:abstractNumId="2">
    <w:nsid w:val="E4E690E8"/>
    <w:multiLevelType w:val="singleLevel"/>
    <w:tmpl w:val="E4E690E8"/>
    <w:lvl w:ilvl="0" w:tentative="0">
      <w:start w:val="2"/>
      <w:numFmt w:val="chineseCounting"/>
      <w:suff w:val="nothing"/>
      <w:lvlText w:val="（%1）"/>
      <w:lvlJc w:val="left"/>
      <w:rPr>
        <w:rFonts w:hint="eastAsia"/>
      </w:rPr>
    </w:lvl>
  </w:abstractNum>
  <w:abstractNum w:abstractNumId="3">
    <w:nsid w:val="6066B079"/>
    <w:multiLevelType w:val="singleLevel"/>
    <w:tmpl w:val="6066B079"/>
    <w:lvl w:ilvl="0" w:tentative="0">
      <w:start w:val="1"/>
      <w:numFmt w:val="chineseCounting"/>
      <w:suff w:val="nothing"/>
      <w:lvlText w:val="%1、"/>
      <w:lvlJc w:val="left"/>
      <w:rPr>
        <w:rFonts w:hint="eastAsia"/>
      </w:rPr>
    </w:lvl>
  </w:abstractNum>
  <w:abstractNum w:abstractNumId="4">
    <w:nsid w:val="682F446C"/>
    <w:multiLevelType w:val="singleLevel"/>
    <w:tmpl w:val="682F446C"/>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Y3ZGQ2MTliZDYwZTg1MmI2NTZhMmE4ZjVlOTI1MzcifQ=="/>
  </w:docVars>
  <w:rsids>
    <w:rsidRoot w:val="00000000"/>
    <w:rsid w:val="00C322FE"/>
    <w:rsid w:val="01AF3811"/>
    <w:rsid w:val="01B87E80"/>
    <w:rsid w:val="03092820"/>
    <w:rsid w:val="03795BF7"/>
    <w:rsid w:val="04B719DC"/>
    <w:rsid w:val="0560105C"/>
    <w:rsid w:val="06022AFF"/>
    <w:rsid w:val="06F932A6"/>
    <w:rsid w:val="086E756B"/>
    <w:rsid w:val="096E0A5E"/>
    <w:rsid w:val="09DF6B75"/>
    <w:rsid w:val="0ABD3D58"/>
    <w:rsid w:val="0ACF37E5"/>
    <w:rsid w:val="0B400BC6"/>
    <w:rsid w:val="0C4F459D"/>
    <w:rsid w:val="0C656D19"/>
    <w:rsid w:val="0E056B7C"/>
    <w:rsid w:val="0E68228D"/>
    <w:rsid w:val="0EA31D7A"/>
    <w:rsid w:val="0EA6787F"/>
    <w:rsid w:val="0F274759"/>
    <w:rsid w:val="0F5578F2"/>
    <w:rsid w:val="119C3837"/>
    <w:rsid w:val="12F223CA"/>
    <w:rsid w:val="13592921"/>
    <w:rsid w:val="1413478D"/>
    <w:rsid w:val="144679F0"/>
    <w:rsid w:val="146B158C"/>
    <w:rsid w:val="15276E52"/>
    <w:rsid w:val="165247B2"/>
    <w:rsid w:val="17AD4076"/>
    <w:rsid w:val="19D32FBC"/>
    <w:rsid w:val="19DE635C"/>
    <w:rsid w:val="1A74124A"/>
    <w:rsid w:val="1D014681"/>
    <w:rsid w:val="1E6A4395"/>
    <w:rsid w:val="1E9D67E6"/>
    <w:rsid w:val="1F3F164B"/>
    <w:rsid w:val="22720CF2"/>
    <w:rsid w:val="25557A3D"/>
    <w:rsid w:val="26EA5ED7"/>
    <w:rsid w:val="277F4CDB"/>
    <w:rsid w:val="27A93B82"/>
    <w:rsid w:val="2A8B7E3A"/>
    <w:rsid w:val="2A9C4169"/>
    <w:rsid w:val="2AE00186"/>
    <w:rsid w:val="2C2C73FB"/>
    <w:rsid w:val="2DE175C3"/>
    <w:rsid w:val="2FA01C92"/>
    <w:rsid w:val="302C20AC"/>
    <w:rsid w:val="308216BE"/>
    <w:rsid w:val="33B57CD6"/>
    <w:rsid w:val="340070FA"/>
    <w:rsid w:val="34FE1149"/>
    <w:rsid w:val="353335A8"/>
    <w:rsid w:val="35993C93"/>
    <w:rsid w:val="37A429AC"/>
    <w:rsid w:val="37B82AD9"/>
    <w:rsid w:val="38A80EC6"/>
    <w:rsid w:val="38CA5594"/>
    <w:rsid w:val="39A607D8"/>
    <w:rsid w:val="3A550786"/>
    <w:rsid w:val="3AAD502A"/>
    <w:rsid w:val="3B7A130F"/>
    <w:rsid w:val="3DDF4B52"/>
    <w:rsid w:val="3F03148F"/>
    <w:rsid w:val="411501C1"/>
    <w:rsid w:val="422721C5"/>
    <w:rsid w:val="425D60CB"/>
    <w:rsid w:val="436F5993"/>
    <w:rsid w:val="48AA0EB3"/>
    <w:rsid w:val="48F12E0E"/>
    <w:rsid w:val="494A1329"/>
    <w:rsid w:val="4A2C0A63"/>
    <w:rsid w:val="4B4C4EC4"/>
    <w:rsid w:val="4BC52D55"/>
    <w:rsid w:val="4D8C1650"/>
    <w:rsid w:val="4F1973EC"/>
    <w:rsid w:val="4F587A3C"/>
    <w:rsid w:val="4F8B6063"/>
    <w:rsid w:val="4FBA6C02"/>
    <w:rsid w:val="502B5150"/>
    <w:rsid w:val="51015523"/>
    <w:rsid w:val="510F35C3"/>
    <w:rsid w:val="52894ED8"/>
    <w:rsid w:val="52AC27E6"/>
    <w:rsid w:val="52FA3F96"/>
    <w:rsid w:val="534E29D6"/>
    <w:rsid w:val="53582700"/>
    <w:rsid w:val="53BB6AE4"/>
    <w:rsid w:val="55242A1A"/>
    <w:rsid w:val="55850F17"/>
    <w:rsid w:val="57AE6D93"/>
    <w:rsid w:val="591F1435"/>
    <w:rsid w:val="598F49A2"/>
    <w:rsid w:val="5B0D2022"/>
    <w:rsid w:val="5B422372"/>
    <w:rsid w:val="5BD13050"/>
    <w:rsid w:val="5C1B251D"/>
    <w:rsid w:val="5E6A1E03"/>
    <w:rsid w:val="5E897C12"/>
    <w:rsid w:val="5FB623A7"/>
    <w:rsid w:val="60330543"/>
    <w:rsid w:val="638C40BF"/>
    <w:rsid w:val="63901A42"/>
    <w:rsid w:val="63E458E8"/>
    <w:rsid w:val="64560642"/>
    <w:rsid w:val="694E1A8A"/>
    <w:rsid w:val="6A372C18"/>
    <w:rsid w:val="6C987344"/>
    <w:rsid w:val="6D3B39ED"/>
    <w:rsid w:val="6E3851B0"/>
    <w:rsid w:val="6EFF7A7C"/>
    <w:rsid w:val="6FA7614A"/>
    <w:rsid w:val="71F752D4"/>
    <w:rsid w:val="72E476B5"/>
    <w:rsid w:val="730613D9"/>
    <w:rsid w:val="731800F6"/>
    <w:rsid w:val="73A42065"/>
    <w:rsid w:val="761E630B"/>
    <w:rsid w:val="784167CA"/>
    <w:rsid w:val="79BE2434"/>
    <w:rsid w:val="7B1A0118"/>
    <w:rsid w:val="7C6508C5"/>
    <w:rsid w:val="7DB139A6"/>
    <w:rsid w:val="7ED67756"/>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34"/>
      <w:szCs w:val="34"/>
      <w:lang w:val="en-US" w:eastAsia="en-US" w:bidi="ar-SA"/>
    </w:rPr>
  </w:style>
  <w:style w:type="paragraph" w:styleId="5">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pPr>
    <w:rPr>
      <w:rFonts w:cs="Times New Roman"/>
      <w:sz w:val="24"/>
      <w:lang w:eastAsia="zh-CN"/>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paragraph" w:styleId="12">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6528</Words>
  <Characters>7100</Characters>
  <TotalTime>3</TotalTime>
  <ScaleCrop>false</ScaleCrop>
  <LinksUpToDate>false</LinksUpToDate>
  <CharactersWithSpaces>7310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杨超</cp:lastModifiedBy>
  <cp:lastPrinted>2024-10-21T08:35:00Z</cp:lastPrinted>
  <dcterms:modified xsi:type="dcterms:W3CDTF">2024-10-22T08:31:38Z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