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4"/>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9"/>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109</w:t>
            </w: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91</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83.49%</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shd w:val="clear" w:color="auto" w:fill="auto"/>
            <w:vAlign w:val="center"/>
          </w:tcPr>
          <w:p w14:paraId="1C1EF02E">
            <w:pPr>
              <w:ind w:firstLine="590" w:firstLineChars="0"/>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eastAsia="zh-CN"/>
              </w:rPr>
              <w:t>21.2</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10.7</w:t>
            </w:r>
          </w:p>
        </w:tc>
        <w:tc>
          <w:tcPr>
            <w:tcW w:w="1983" w:type="dxa"/>
            <w:gridSpan w:val="2"/>
            <w:vAlign w:val="center"/>
          </w:tcPr>
          <w:p w14:paraId="7DFA64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10.7</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shd w:val="clear" w:color="auto" w:fill="auto"/>
            <w:vAlign w:val="center"/>
          </w:tcPr>
          <w:p w14:paraId="2BB3E60E">
            <w:pPr>
              <w:ind w:firstLine="452" w:firstLineChars="0"/>
              <w:jc w:val="center"/>
              <w:rPr>
                <w:rFonts w:hint="eastAsia" w:ascii="仿宋_GB2312" w:hAnsi="仿宋_GB2312" w:eastAsia="仿宋_GB2312" w:cs="仿宋_GB2312"/>
                <w:snapToGrid w:val="0"/>
                <w:color w:val="000000"/>
                <w:kern w:val="0"/>
                <w:sz w:val="21"/>
                <w:szCs w:val="21"/>
                <w:lang w:val="en-US" w:eastAsia="zh-CN" w:bidi="ar-SA"/>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shd w:val="clear" w:color="auto" w:fill="auto"/>
            <w:vAlign w:val="center"/>
          </w:tcPr>
          <w:p w14:paraId="31BDC46A">
            <w:pPr>
              <w:ind w:firstLine="590" w:firstLineChars="0"/>
              <w:jc w:val="center"/>
              <w:rPr>
                <w:rFonts w:hint="eastAsia" w:ascii="仿宋_GB2312" w:hAnsi="仿宋_GB2312" w:eastAsia="仿宋_GB2312" w:cs="仿宋_GB2312"/>
                <w:snapToGrid w:val="0"/>
                <w:color w:val="000000"/>
                <w:kern w:val="0"/>
                <w:sz w:val="21"/>
                <w:szCs w:val="21"/>
                <w:lang w:val="en-US" w:eastAsia="en-US" w:bidi="ar-SA"/>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shd w:val="clear" w:color="auto" w:fill="auto"/>
            <w:vAlign w:val="center"/>
          </w:tcPr>
          <w:p w14:paraId="6581D34A">
            <w:pPr>
              <w:ind w:firstLine="590" w:firstLineChars="0"/>
              <w:jc w:val="center"/>
              <w:rPr>
                <w:rFonts w:hint="eastAsia" w:ascii="仿宋_GB2312" w:hAnsi="仿宋_GB2312" w:eastAsia="仿宋_GB2312" w:cs="仿宋_GB2312"/>
                <w:snapToGrid w:val="0"/>
                <w:color w:val="000000"/>
                <w:kern w:val="0"/>
                <w:sz w:val="21"/>
                <w:szCs w:val="21"/>
                <w:lang w:val="en-US" w:eastAsia="en-US" w:bidi="ar-SA"/>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shd w:val="clear" w:color="auto" w:fill="auto"/>
            <w:vAlign w:val="center"/>
          </w:tcPr>
          <w:p w14:paraId="6F82C849">
            <w:pPr>
              <w:ind w:firstLine="590" w:firstLineChars="0"/>
              <w:jc w:val="center"/>
              <w:rPr>
                <w:rFonts w:hint="eastAsia" w:ascii="仿宋_GB2312" w:hAnsi="仿宋_GB2312" w:eastAsia="仿宋_GB2312" w:cs="仿宋_GB2312"/>
                <w:snapToGrid w:val="0"/>
                <w:color w:val="000000"/>
                <w:kern w:val="0"/>
                <w:sz w:val="21"/>
                <w:szCs w:val="21"/>
                <w:lang w:val="en-US" w:eastAsia="en-US" w:bidi="ar-SA"/>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shd w:val="clear" w:color="auto" w:fill="auto"/>
            <w:vAlign w:val="center"/>
          </w:tcPr>
          <w:p w14:paraId="23AA2EC5">
            <w:pPr>
              <w:ind w:firstLine="452" w:firstLineChars="0"/>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z w:val="21"/>
                <w:szCs w:val="21"/>
              </w:rPr>
              <w:t>21.2</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10.7</w:t>
            </w:r>
          </w:p>
        </w:tc>
        <w:tc>
          <w:tcPr>
            <w:tcW w:w="1983" w:type="dxa"/>
            <w:gridSpan w:val="2"/>
            <w:vAlign w:val="center"/>
          </w:tcPr>
          <w:p w14:paraId="7985B4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10.7</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shd w:val="clear" w:color="auto" w:fill="auto"/>
            <w:vAlign w:val="center"/>
          </w:tcPr>
          <w:p w14:paraId="6B7C6FFA">
            <w:pPr>
              <w:ind w:firstLine="590" w:firstLineChars="0"/>
              <w:jc w:val="center"/>
              <w:rPr>
                <w:rFonts w:hint="eastAsia" w:ascii="仿宋_GB2312" w:hAnsi="仿宋_GB2312" w:eastAsia="仿宋_GB2312" w:cs="仿宋_GB2312"/>
                <w:snapToGrid w:val="0"/>
                <w:color w:val="000000"/>
                <w:kern w:val="0"/>
                <w:sz w:val="21"/>
                <w:szCs w:val="21"/>
                <w:lang w:val="en-US" w:eastAsia="en-US" w:bidi="ar-SA"/>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1983"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shd w:val="clear" w:color="auto" w:fill="auto"/>
            <w:vAlign w:val="center"/>
          </w:tcPr>
          <w:p w14:paraId="5C6C607C">
            <w:pPr>
              <w:ind w:firstLine="590" w:firstLineChars="0"/>
              <w:jc w:val="center"/>
              <w:rPr>
                <w:rFonts w:hint="eastAsia" w:ascii="仿宋_GB2312" w:hAnsi="仿宋_GB2312" w:eastAsia="仿宋_GB2312" w:cs="仿宋_GB2312"/>
                <w:snapToGrid w:val="0"/>
                <w:color w:val="000000"/>
                <w:kern w:val="0"/>
                <w:sz w:val="21"/>
                <w:szCs w:val="21"/>
                <w:lang w:val="en-US" w:eastAsia="en-US" w:bidi="ar-SA"/>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shd w:val="clear" w:color="auto" w:fill="auto"/>
            <w:vAlign w:val="center"/>
          </w:tcPr>
          <w:p w14:paraId="7757DF50">
            <w:pPr>
              <w:ind w:firstLine="590" w:firstLineChars="0"/>
              <w:jc w:val="center"/>
              <w:rPr>
                <w:rFonts w:hint="eastAsia" w:ascii="仿宋_GB2312" w:hAnsi="仿宋_GB2312" w:eastAsia="仿宋_GB2312" w:cs="仿宋_GB2312"/>
                <w:snapToGrid w:val="0"/>
                <w:color w:val="000000"/>
                <w:kern w:val="0"/>
                <w:sz w:val="21"/>
                <w:szCs w:val="21"/>
                <w:lang w:val="en-US" w:eastAsia="en-US" w:bidi="ar-SA"/>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shd w:val="clear" w:color="auto" w:fill="auto"/>
            <w:vAlign w:val="center"/>
          </w:tcPr>
          <w:p w14:paraId="482AEA10">
            <w:pPr>
              <w:ind w:firstLine="590" w:firstLineChars="0"/>
              <w:jc w:val="center"/>
              <w:rPr>
                <w:rFonts w:hint="eastAsia" w:ascii="仿宋_GB2312" w:hAnsi="仿宋_GB2312" w:eastAsia="仿宋_GB2312" w:cs="仿宋_GB2312"/>
                <w:snapToGrid w:val="0"/>
                <w:color w:val="000000"/>
                <w:kern w:val="0"/>
                <w:sz w:val="21"/>
                <w:szCs w:val="21"/>
                <w:lang w:val="en-US" w:eastAsia="zh-CN" w:bidi="ar-SA"/>
              </w:rPr>
            </w:pPr>
          </w:p>
        </w:tc>
        <w:tc>
          <w:tcPr>
            <w:tcW w:w="2039" w:type="dxa"/>
            <w:gridSpan w:val="2"/>
            <w:vAlign w:val="center"/>
          </w:tcPr>
          <w:p w14:paraId="18F75CDE">
            <w:pPr>
              <w:spacing w:line="240" w:lineRule="auto"/>
              <w:ind w:firstLine="420"/>
              <w:jc w:val="center"/>
              <w:rPr>
                <w:rFonts w:ascii="仿宋_GB2312" w:eastAsia="仿宋_GB2312"/>
                <w:kern w:val="0"/>
                <w:lang w:eastAsia="zh-CN"/>
              </w:rPr>
            </w:pPr>
          </w:p>
        </w:tc>
        <w:tc>
          <w:tcPr>
            <w:tcW w:w="1983" w:type="dxa"/>
            <w:gridSpan w:val="2"/>
            <w:vAlign w:val="center"/>
          </w:tcPr>
          <w:p w14:paraId="4D19413F">
            <w:pPr>
              <w:spacing w:line="240" w:lineRule="auto"/>
              <w:ind w:firstLine="420"/>
              <w:jc w:val="center"/>
              <w:rPr>
                <w:rFonts w:ascii="仿宋_GB2312" w:eastAsia="仿宋_GB2312"/>
                <w:kern w:val="0"/>
                <w:lang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shd w:val="clear" w:color="auto" w:fill="auto"/>
            <w:vAlign w:val="center"/>
          </w:tcPr>
          <w:p w14:paraId="4A5B86CE">
            <w:pPr>
              <w:ind w:firstLine="590" w:firstLineChars="0"/>
              <w:jc w:val="center"/>
              <w:rPr>
                <w:rFonts w:hint="eastAsia" w:ascii="仿宋_GB2312" w:hAnsi="仿宋_GB2312" w:eastAsia="仿宋_GB2312" w:cs="仿宋_GB2312"/>
                <w:snapToGrid w:val="0"/>
                <w:color w:val="000000"/>
                <w:kern w:val="0"/>
                <w:sz w:val="21"/>
                <w:szCs w:val="21"/>
                <w:lang w:val="en-US" w:eastAsia="en-US" w:bidi="ar-SA"/>
              </w:rPr>
            </w:pPr>
          </w:p>
        </w:tc>
        <w:tc>
          <w:tcPr>
            <w:tcW w:w="2039" w:type="dxa"/>
            <w:gridSpan w:val="2"/>
            <w:vAlign w:val="center"/>
          </w:tcPr>
          <w:p w14:paraId="050E075D">
            <w:pPr>
              <w:spacing w:line="240" w:lineRule="auto"/>
              <w:ind w:firstLine="420"/>
              <w:jc w:val="center"/>
              <w:rPr>
                <w:rFonts w:ascii="仿宋_GB2312" w:eastAsia="仿宋_GB2312"/>
                <w:kern w:val="0"/>
              </w:rPr>
            </w:pPr>
          </w:p>
        </w:tc>
        <w:tc>
          <w:tcPr>
            <w:tcW w:w="1983" w:type="dxa"/>
            <w:gridSpan w:val="2"/>
            <w:vAlign w:val="center"/>
          </w:tcPr>
          <w:p w14:paraId="7357305D">
            <w:pPr>
              <w:spacing w:line="240" w:lineRule="auto"/>
              <w:ind w:firstLine="420"/>
              <w:jc w:val="center"/>
              <w:rPr>
                <w:rFonts w:ascii="仿宋_GB2312" w:eastAsia="仿宋_GB2312"/>
                <w:kern w:val="0"/>
              </w:rPr>
            </w:pP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shd w:val="clear" w:color="auto" w:fill="auto"/>
            <w:vAlign w:val="center"/>
          </w:tcPr>
          <w:p w14:paraId="2C631A9B">
            <w:pPr>
              <w:ind w:firstLine="592" w:firstLineChars="0"/>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z w:val="21"/>
                <w:szCs w:val="21"/>
              </w:rPr>
              <w:t>518.52</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12.84</w:t>
            </w:r>
          </w:p>
        </w:tc>
        <w:tc>
          <w:tcPr>
            <w:tcW w:w="1983" w:type="dxa"/>
            <w:gridSpan w:val="2"/>
            <w:vAlign w:val="center"/>
          </w:tcPr>
          <w:p w14:paraId="087A35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17.31</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shd w:val="clear" w:color="auto" w:fill="auto"/>
            <w:vAlign w:val="center"/>
          </w:tcPr>
          <w:p w14:paraId="7BF1871E">
            <w:pPr>
              <w:ind w:firstLine="590" w:firstLineChars="0"/>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eastAsia="zh-CN"/>
              </w:rPr>
              <w:t>26.5</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29.96</w:t>
            </w:r>
          </w:p>
        </w:tc>
        <w:tc>
          <w:tcPr>
            <w:tcW w:w="1983"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30.52</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shd w:val="clear" w:color="auto" w:fill="auto"/>
            <w:vAlign w:val="center"/>
          </w:tcPr>
          <w:p w14:paraId="228A6C55">
            <w:pPr>
              <w:ind w:firstLine="590" w:firstLineChars="0"/>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eastAsia="zh-CN"/>
              </w:rPr>
              <w:t>10.6</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10.7</w:t>
            </w:r>
          </w:p>
        </w:tc>
        <w:tc>
          <w:tcPr>
            <w:tcW w:w="1983"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13.48</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shd w:val="clear" w:color="auto" w:fill="auto"/>
            <w:vAlign w:val="center"/>
          </w:tcPr>
          <w:p w14:paraId="0BB04A1B">
            <w:pPr>
              <w:ind w:firstLine="590" w:firstLineChars="0"/>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eastAsia="zh-CN"/>
              </w:rPr>
              <w:t>1068</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600</w:t>
            </w:r>
          </w:p>
        </w:tc>
        <w:tc>
          <w:tcPr>
            <w:tcW w:w="1983" w:type="dxa"/>
            <w:gridSpan w:val="2"/>
            <w:vAlign w:val="center"/>
          </w:tcPr>
          <w:p w14:paraId="4363E711">
            <w:pPr>
              <w:spacing w:line="240" w:lineRule="auto"/>
              <w:ind w:firstLine="420"/>
              <w:jc w:val="center"/>
              <w:rPr>
                <w:rFonts w:hint="default" w:ascii="仿宋_GB2312" w:eastAsia="仿宋_GB2312"/>
                <w:kern w:val="0"/>
                <w:lang w:val="en-US" w:eastAsia="zh-CN"/>
              </w:rPr>
            </w:pP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jc w:val="both"/>
              <w:textAlignment w:val="baseline"/>
              <w:rPr>
                <w:rFonts w:ascii="Arial" w:hAnsi="Arial" w:eastAsia="Arial" w:cs="Arial"/>
                <w:snapToGrid w:val="0"/>
                <w:color w:val="000000"/>
                <w:sz w:val="21"/>
                <w:szCs w:val="21"/>
                <w:lang w:val="en-US" w:eastAsia="en-US" w:bidi="ar-SA"/>
              </w:rPr>
            </w:pPr>
            <w:r>
              <w:rPr>
                <w:rFonts w:hint="eastAsia" w:ascii="仿宋_GB2312" w:hAnsi="仿宋_GB2312" w:eastAsia="仿宋_GB2312" w:cs="仿宋_GB2312"/>
                <w:lang w:eastAsia="zh-CN"/>
              </w:rPr>
              <w:t>严格执行“过紧日子”的要求，持续从严从紧控制三公经费管理。</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78C88808">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9"/>
        <w:tblW w:w="10317"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2"/>
        <w:gridCol w:w="1200"/>
        <w:gridCol w:w="1290"/>
        <w:gridCol w:w="1140"/>
        <w:gridCol w:w="1575"/>
        <w:gridCol w:w="1635"/>
        <w:gridCol w:w="585"/>
        <w:gridCol w:w="780"/>
        <w:gridCol w:w="1320"/>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92" w:type="dxa"/>
            <w:vAlign w:val="center"/>
          </w:tcPr>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预算部门名称</w:t>
            </w:r>
          </w:p>
        </w:tc>
        <w:tc>
          <w:tcPr>
            <w:tcW w:w="952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lang w:eastAsia="zh-CN"/>
              </w:rPr>
              <w:t>罗江镇人民政府</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792" w:type="dxa"/>
            <w:vMerge w:val="restart"/>
            <w:tcBorders>
              <w:bottom w:val="nil"/>
            </w:tcBorders>
            <w:vAlign w:val="center"/>
          </w:tcPr>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490" w:type="dxa"/>
            <w:gridSpan w:val="2"/>
            <w:vAlign w:val="center"/>
          </w:tcPr>
          <w:p w14:paraId="7293EDF7">
            <w:pPr>
              <w:spacing w:line="240" w:lineRule="auto"/>
              <w:ind w:firstLine="420"/>
              <w:jc w:val="center"/>
              <w:rPr>
                <w:rFonts w:ascii="仿宋_GB2312" w:eastAsia="仿宋_GB2312"/>
                <w:kern w:val="0"/>
              </w:rPr>
            </w:pPr>
          </w:p>
        </w:tc>
        <w:tc>
          <w:tcPr>
            <w:tcW w:w="1140"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575"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635"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585"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780"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320" w:type="dxa"/>
            <w:vAlign w:val="center"/>
          </w:tcPr>
          <w:p w14:paraId="73CABA4F">
            <w:pPr>
              <w:spacing w:line="240" w:lineRule="auto"/>
              <w:ind w:left="0" w:leftChars="0" w:firstLine="0" w:firstLineChars="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92"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490"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140" w:type="dxa"/>
            <w:vAlign w:val="center"/>
          </w:tcPr>
          <w:p w14:paraId="40867B6B">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1217.09</w:t>
            </w:r>
          </w:p>
        </w:tc>
        <w:tc>
          <w:tcPr>
            <w:tcW w:w="1575" w:type="dxa"/>
            <w:vAlign w:val="center"/>
          </w:tcPr>
          <w:p w14:paraId="78350D2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1217.09</w:t>
            </w:r>
          </w:p>
        </w:tc>
        <w:tc>
          <w:tcPr>
            <w:tcW w:w="1635" w:type="dxa"/>
            <w:vAlign w:val="center"/>
          </w:tcPr>
          <w:p w14:paraId="5FDA3D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3108.22</w:t>
            </w:r>
          </w:p>
        </w:tc>
        <w:tc>
          <w:tcPr>
            <w:tcW w:w="585"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780" w:type="dxa"/>
            <w:vAlign w:val="center"/>
          </w:tcPr>
          <w:p w14:paraId="0424998F">
            <w:pPr>
              <w:spacing w:line="240" w:lineRule="auto"/>
              <w:ind w:firstLine="210" w:firstLineChars="100"/>
              <w:jc w:val="both"/>
              <w:rPr>
                <w:rFonts w:hint="default" w:ascii="仿宋_GB2312" w:eastAsia="仿宋_GB2312"/>
                <w:kern w:val="0"/>
                <w:lang w:val="en-US" w:eastAsia="zh-CN"/>
              </w:rPr>
            </w:pPr>
            <w:r>
              <w:rPr>
                <w:rFonts w:hint="eastAsia" w:ascii="仿宋_GB2312" w:eastAsia="仿宋_GB2312"/>
                <w:kern w:val="0"/>
                <w:lang w:val="en-US" w:eastAsia="zh-CN"/>
              </w:rPr>
              <w:t>100%</w:t>
            </w:r>
          </w:p>
        </w:tc>
        <w:tc>
          <w:tcPr>
            <w:tcW w:w="1320" w:type="dxa"/>
            <w:vAlign w:val="center"/>
          </w:tcPr>
          <w:p w14:paraId="4BE68CE2">
            <w:pPr>
              <w:spacing w:line="240" w:lineRule="auto"/>
              <w:ind w:left="0" w:leftChars="0" w:firstLine="0" w:firstLineChars="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92"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520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32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792"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520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3078.22</w:t>
            </w:r>
          </w:p>
        </w:tc>
        <w:tc>
          <w:tcPr>
            <w:tcW w:w="432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1887.79</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92"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5205" w:type="dxa"/>
            <w:gridSpan w:val="4"/>
            <w:vAlign w:val="center"/>
          </w:tcPr>
          <w:p w14:paraId="1BF65C8A">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30</w:t>
            </w:r>
          </w:p>
        </w:tc>
        <w:tc>
          <w:tcPr>
            <w:tcW w:w="4320" w:type="dxa"/>
            <w:gridSpan w:val="4"/>
            <w:vAlign w:val="center"/>
          </w:tcPr>
          <w:p w14:paraId="55BECDEE">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1220.43</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92"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520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32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92"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520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32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792"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年度总体目标</w:t>
            </w:r>
          </w:p>
        </w:tc>
        <w:tc>
          <w:tcPr>
            <w:tcW w:w="520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32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792"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5205" w:type="dxa"/>
            <w:gridSpan w:val="4"/>
            <w:shd w:val="clear" w:color="auto" w:fill="auto"/>
            <w:vAlign w:val="center"/>
          </w:tcPr>
          <w:p w14:paraId="5630C8FD">
            <w:pPr>
              <w:ind w:firstLine="190" w:firstLineChars="0"/>
              <w:rPr>
                <w:rFonts w:ascii="仿宋_GB2312" w:hAnsi="Arial" w:eastAsia="仿宋_GB2312" w:cs="Arial"/>
                <w:snapToGrid w:val="0"/>
                <w:color w:val="000000"/>
                <w:kern w:val="0"/>
                <w:sz w:val="11"/>
                <w:szCs w:val="11"/>
                <w:lang w:val="en-US" w:eastAsia="zh-CN" w:bidi="ar-SA"/>
              </w:rPr>
            </w:pPr>
            <w:r>
              <w:rPr>
                <w:rFonts w:hint="eastAsia" w:ascii="仿宋_GB2312" w:eastAsia="仿宋_GB2312"/>
                <w:sz w:val="11"/>
                <w:szCs w:val="11"/>
                <w:lang w:eastAsia="zh-CN"/>
              </w:rPr>
              <w:t>以习近平新时代中国特色社会主义思想和党的二十大精神为指导，以大力实施“乡村振兴”战略为统领，狠抓地方项目建设，践行绿色发展理念，打赢脱贫攻坚战，保障便民服务中心、城乡环境综合治理、信访、安全维稳、安全生产、党代会、人代会、纪检监察、党建、服务群众等各项工作正常开展，按时、按质、按量完成各项工作任务，及时保障政府机关人员、村组干部补助经费的发放，按时兑付村民的地力补偿、退耕还林补助、五保、低保、民政优抚、扶贫工作领域的各项资金，共同建设富饶美丽幸福新罗江，向着更高品质的生态文化活力汨罗坚实迈进。</w:t>
            </w:r>
          </w:p>
        </w:tc>
        <w:tc>
          <w:tcPr>
            <w:tcW w:w="4320" w:type="dxa"/>
            <w:gridSpan w:val="4"/>
            <w:shd w:val="clear" w:color="auto" w:fill="auto"/>
            <w:vAlign w:val="center"/>
          </w:tcPr>
          <w:p w14:paraId="156E0DC0">
            <w:pPr>
              <w:ind w:firstLine="190" w:firstLineChars="0"/>
              <w:rPr>
                <w:rFonts w:ascii="仿宋_GB2312" w:hAnsi="Arial" w:eastAsia="仿宋_GB2312" w:cs="Arial"/>
                <w:snapToGrid w:val="0"/>
                <w:color w:val="000000"/>
                <w:kern w:val="0"/>
                <w:sz w:val="11"/>
                <w:szCs w:val="11"/>
                <w:lang w:val="en-US" w:eastAsia="zh-CN" w:bidi="ar-SA"/>
              </w:rPr>
            </w:pPr>
            <w:r>
              <w:rPr>
                <w:rFonts w:hint="eastAsia" w:ascii="仿宋_GB2312" w:eastAsia="仿宋_GB2312"/>
                <w:sz w:val="11"/>
                <w:szCs w:val="11"/>
                <w:lang w:eastAsia="zh-CN"/>
              </w:rPr>
              <w:t>以习近平新时代中国特色社会主义思想和党的二十大精神为指导，以大力实施“乡村振兴”战略为统领，狠抓地方项目建设，践行绿色发展理念，打赢脱贫攻坚战，保障便民服务中心、城乡环境综合治理、信访、安全维稳、安全生产、党代会、人代会、纪检监察、党建、服务群众等各项工作正常开展，按时、按质、按量完成各项工作任务，及时保障政府机关人员、村组干部补助经费的发放，按时兑付村民的地力补偿、退耕还林补助、五保、低保、民政优抚、扶贫工作领域的各项资金，共同建设富饶美丽幸福新罗江，向着更高品质的生态文化活力汨罗坚实迈进。</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92"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58206D1C">
            <w:pPr>
              <w:spacing w:line="240" w:lineRule="auto"/>
              <w:ind w:firstLine="420"/>
              <w:jc w:val="center"/>
              <w:rPr>
                <w:rFonts w:ascii="仿宋_GB2312" w:eastAsia="仿宋_GB2312"/>
                <w:kern w:val="0"/>
              </w:rPr>
            </w:pPr>
          </w:p>
        </w:tc>
        <w:tc>
          <w:tcPr>
            <w:tcW w:w="1200"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290"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140"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575"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635"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585"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780"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320" w:type="dxa"/>
            <w:vAlign w:val="center"/>
          </w:tcPr>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偏差原因分析及改进措施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92"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200"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290" w:type="dxa"/>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140" w:type="dxa"/>
            <w:shd w:val="clear" w:color="auto" w:fill="auto"/>
            <w:vAlign w:val="center"/>
          </w:tcPr>
          <w:p w14:paraId="785EE4BB">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保障工资及时足额发放</w:t>
            </w:r>
          </w:p>
        </w:tc>
        <w:tc>
          <w:tcPr>
            <w:tcW w:w="1575" w:type="dxa"/>
            <w:shd w:val="clear" w:color="auto" w:fill="auto"/>
            <w:vAlign w:val="center"/>
          </w:tcPr>
          <w:p w14:paraId="2A374824">
            <w:pPr>
              <w:ind w:left="0" w:leftChars="0" w:firstLine="0" w:firstLineChars="0"/>
              <w:jc w:val="center"/>
              <w:rPr>
                <w:rFonts w:ascii="仿宋_GB2312" w:hAnsi="Arial" w:eastAsia="仿宋_GB2312" w:cs="Arial"/>
                <w:snapToGrid w:val="0"/>
                <w:color w:val="000000"/>
                <w:kern w:val="0"/>
                <w:sz w:val="16"/>
                <w:szCs w:val="16"/>
                <w:lang w:val="en-US" w:eastAsia="en-US" w:bidi="ar-SA"/>
              </w:rPr>
            </w:pPr>
            <w:r>
              <w:rPr>
                <w:rFonts w:hint="eastAsia" w:ascii="仿宋_GB2312" w:eastAsia="仿宋_GB2312"/>
                <w:sz w:val="16"/>
                <w:szCs w:val="16"/>
              </w:rPr>
              <w:t>工资发放及时</w:t>
            </w:r>
          </w:p>
        </w:tc>
        <w:tc>
          <w:tcPr>
            <w:tcW w:w="1635" w:type="dxa"/>
            <w:shd w:val="clear" w:color="auto" w:fill="auto"/>
            <w:vAlign w:val="center"/>
          </w:tcPr>
          <w:p w14:paraId="708D788A">
            <w:pPr>
              <w:ind w:left="0" w:leftChars="0" w:firstLine="0" w:firstLineChars="0"/>
              <w:jc w:val="center"/>
              <w:rPr>
                <w:rFonts w:ascii="仿宋_GB2312" w:hAnsi="Arial" w:eastAsia="仿宋_GB2312" w:cs="Arial"/>
                <w:snapToGrid w:val="0"/>
                <w:color w:val="000000"/>
                <w:kern w:val="0"/>
                <w:sz w:val="16"/>
                <w:szCs w:val="16"/>
                <w:lang w:val="en-US" w:eastAsia="en-US" w:bidi="ar-SA"/>
              </w:rPr>
            </w:pPr>
            <w:r>
              <w:rPr>
                <w:rFonts w:hint="eastAsia" w:ascii="仿宋_GB2312" w:eastAsia="仿宋_GB2312"/>
                <w:sz w:val="16"/>
                <w:szCs w:val="16"/>
              </w:rPr>
              <w:t>工资发放及时</w:t>
            </w:r>
          </w:p>
        </w:tc>
        <w:tc>
          <w:tcPr>
            <w:tcW w:w="585" w:type="dxa"/>
            <w:shd w:val="clear" w:color="auto" w:fill="auto"/>
            <w:vAlign w:val="center"/>
          </w:tcPr>
          <w:p w14:paraId="567F5E54">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10</w:t>
            </w:r>
          </w:p>
        </w:tc>
        <w:tc>
          <w:tcPr>
            <w:tcW w:w="780" w:type="dxa"/>
            <w:shd w:val="clear" w:color="auto" w:fill="auto"/>
            <w:vAlign w:val="center"/>
          </w:tcPr>
          <w:p w14:paraId="2717B7C4">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10</w:t>
            </w:r>
          </w:p>
        </w:tc>
        <w:tc>
          <w:tcPr>
            <w:tcW w:w="1320" w:type="dxa"/>
            <w:vAlign w:val="center"/>
          </w:tcPr>
          <w:p w14:paraId="7CF9B186">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92" w:type="dxa"/>
            <w:vMerge w:val="continue"/>
            <w:textDirection w:val="tbRlV"/>
            <w:vAlign w:val="center"/>
          </w:tcPr>
          <w:p w14:paraId="22631020">
            <w:pPr>
              <w:spacing w:line="240" w:lineRule="auto"/>
              <w:ind w:firstLine="420"/>
              <w:jc w:val="center"/>
              <w:rPr>
                <w:rFonts w:ascii="仿宋_GB2312" w:eastAsia="仿宋_GB2312"/>
                <w:kern w:val="0"/>
              </w:rPr>
            </w:pPr>
          </w:p>
        </w:tc>
        <w:tc>
          <w:tcPr>
            <w:tcW w:w="1200"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290" w:type="dxa"/>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140" w:type="dxa"/>
            <w:shd w:val="clear" w:color="auto" w:fill="auto"/>
            <w:vAlign w:val="center"/>
          </w:tcPr>
          <w:p w14:paraId="10423A41">
            <w:pPr>
              <w:ind w:left="0" w:leftChars="0" w:firstLine="0" w:firstLineChars="0"/>
              <w:jc w:val="center"/>
              <w:rPr>
                <w:rFonts w:ascii="仿宋_GB2312" w:hAnsi="Arial" w:eastAsia="仿宋_GB2312" w:cs="Arial"/>
                <w:snapToGrid w:val="0"/>
                <w:color w:val="000000"/>
                <w:kern w:val="0"/>
                <w:sz w:val="16"/>
                <w:szCs w:val="16"/>
                <w:lang w:val="en-US" w:eastAsia="en-US" w:bidi="ar-SA"/>
              </w:rPr>
            </w:pPr>
            <w:r>
              <w:rPr>
                <w:rFonts w:hint="eastAsia" w:ascii="仿宋_GB2312" w:eastAsia="仿宋_GB2312"/>
                <w:sz w:val="16"/>
                <w:szCs w:val="16"/>
              </w:rPr>
              <w:t>公共财政支出进度</w:t>
            </w:r>
          </w:p>
        </w:tc>
        <w:tc>
          <w:tcPr>
            <w:tcW w:w="1575" w:type="dxa"/>
            <w:shd w:val="clear" w:color="auto" w:fill="auto"/>
            <w:vAlign w:val="center"/>
          </w:tcPr>
          <w:p w14:paraId="1A5ADA3A">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95%</w:t>
            </w:r>
          </w:p>
        </w:tc>
        <w:tc>
          <w:tcPr>
            <w:tcW w:w="1635" w:type="dxa"/>
            <w:shd w:val="clear" w:color="auto" w:fill="auto"/>
            <w:vAlign w:val="center"/>
          </w:tcPr>
          <w:p w14:paraId="54075F02">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100%</w:t>
            </w:r>
          </w:p>
        </w:tc>
        <w:tc>
          <w:tcPr>
            <w:tcW w:w="585" w:type="dxa"/>
            <w:shd w:val="clear" w:color="auto" w:fill="auto"/>
            <w:vAlign w:val="center"/>
          </w:tcPr>
          <w:p w14:paraId="5580FC82">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10</w:t>
            </w:r>
          </w:p>
        </w:tc>
        <w:tc>
          <w:tcPr>
            <w:tcW w:w="780" w:type="dxa"/>
            <w:shd w:val="clear" w:color="auto" w:fill="auto"/>
            <w:vAlign w:val="center"/>
          </w:tcPr>
          <w:p w14:paraId="0982B111">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10</w:t>
            </w:r>
          </w:p>
        </w:tc>
        <w:tc>
          <w:tcPr>
            <w:tcW w:w="1320" w:type="dxa"/>
            <w:vAlign w:val="center"/>
          </w:tcPr>
          <w:p w14:paraId="09E0DC5F">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2" w:type="dxa"/>
            <w:vMerge w:val="continue"/>
            <w:textDirection w:val="tbRlV"/>
            <w:vAlign w:val="center"/>
          </w:tcPr>
          <w:p w14:paraId="03AF4DA0">
            <w:pPr>
              <w:spacing w:line="240" w:lineRule="auto"/>
              <w:ind w:firstLine="420"/>
              <w:jc w:val="center"/>
              <w:rPr>
                <w:rFonts w:ascii="仿宋_GB2312" w:eastAsia="仿宋_GB2312"/>
                <w:kern w:val="0"/>
              </w:rPr>
            </w:pPr>
          </w:p>
        </w:tc>
        <w:tc>
          <w:tcPr>
            <w:tcW w:w="1200"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290" w:type="dxa"/>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140" w:type="dxa"/>
            <w:shd w:val="clear" w:color="auto" w:fill="auto"/>
            <w:vAlign w:val="center"/>
          </w:tcPr>
          <w:p w14:paraId="5323318C">
            <w:pPr>
              <w:ind w:left="0" w:leftChars="0" w:firstLine="0" w:firstLineChars="0"/>
              <w:jc w:val="center"/>
              <w:rPr>
                <w:rFonts w:ascii="仿宋_GB2312" w:hAnsi="Arial" w:eastAsia="仿宋_GB2312" w:cs="Arial"/>
                <w:snapToGrid w:val="0"/>
                <w:color w:val="000000"/>
                <w:kern w:val="0"/>
                <w:sz w:val="16"/>
                <w:szCs w:val="16"/>
                <w:lang w:val="en-US" w:eastAsia="en-US" w:bidi="ar-SA"/>
              </w:rPr>
            </w:pPr>
            <w:r>
              <w:rPr>
                <w:rFonts w:hint="eastAsia" w:ascii="仿宋_GB2312" w:eastAsia="仿宋_GB2312"/>
                <w:sz w:val="16"/>
                <w:szCs w:val="16"/>
              </w:rPr>
              <w:t>行政效能</w:t>
            </w:r>
          </w:p>
        </w:tc>
        <w:tc>
          <w:tcPr>
            <w:tcW w:w="1575" w:type="dxa"/>
            <w:shd w:val="clear" w:color="auto" w:fill="auto"/>
            <w:vAlign w:val="center"/>
          </w:tcPr>
          <w:p w14:paraId="479FA5D5">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各项服务工作按时完成</w:t>
            </w:r>
          </w:p>
        </w:tc>
        <w:tc>
          <w:tcPr>
            <w:tcW w:w="1635" w:type="dxa"/>
            <w:shd w:val="clear" w:color="auto" w:fill="auto"/>
            <w:vAlign w:val="center"/>
          </w:tcPr>
          <w:p w14:paraId="5C1B3402">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各项服务工作按时完成</w:t>
            </w:r>
          </w:p>
        </w:tc>
        <w:tc>
          <w:tcPr>
            <w:tcW w:w="585" w:type="dxa"/>
            <w:shd w:val="clear" w:color="auto" w:fill="auto"/>
            <w:vAlign w:val="center"/>
          </w:tcPr>
          <w:p w14:paraId="4C56B99F">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10</w:t>
            </w:r>
          </w:p>
        </w:tc>
        <w:tc>
          <w:tcPr>
            <w:tcW w:w="780" w:type="dxa"/>
            <w:shd w:val="clear" w:color="auto" w:fill="auto"/>
            <w:vAlign w:val="center"/>
          </w:tcPr>
          <w:p w14:paraId="5DA34835">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10</w:t>
            </w:r>
          </w:p>
        </w:tc>
        <w:tc>
          <w:tcPr>
            <w:tcW w:w="1320" w:type="dxa"/>
            <w:vAlign w:val="center"/>
          </w:tcPr>
          <w:p w14:paraId="7BF8C6A4">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92" w:type="dxa"/>
            <w:vMerge w:val="continue"/>
            <w:textDirection w:val="tbRlV"/>
            <w:vAlign w:val="center"/>
          </w:tcPr>
          <w:p w14:paraId="275BB657">
            <w:pPr>
              <w:spacing w:line="240" w:lineRule="auto"/>
              <w:ind w:firstLine="420"/>
              <w:jc w:val="center"/>
              <w:rPr>
                <w:rFonts w:ascii="仿宋_GB2312" w:eastAsia="仿宋_GB2312"/>
                <w:kern w:val="0"/>
              </w:rPr>
            </w:pPr>
          </w:p>
        </w:tc>
        <w:tc>
          <w:tcPr>
            <w:tcW w:w="1200"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290" w:type="dxa"/>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140" w:type="dxa"/>
            <w:shd w:val="clear" w:color="auto" w:fill="auto"/>
            <w:vAlign w:val="center"/>
          </w:tcPr>
          <w:p w14:paraId="32611957">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财政收入总量</w:t>
            </w:r>
          </w:p>
        </w:tc>
        <w:tc>
          <w:tcPr>
            <w:tcW w:w="1575" w:type="dxa"/>
            <w:shd w:val="clear" w:color="auto" w:fill="auto"/>
            <w:vAlign w:val="center"/>
          </w:tcPr>
          <w:p w14:paraId="078289F3">
            <w:pPr>
              <w:ind w:left="0" w:leftChars="0" w:firstLine="0" w:firstLineChars="0"/>
              <w:jc w:val="center"/>
              <w:rPr>
                <w:rFonts w:hint="default" w:ascii="仿宋_GB2312" w:hAnsi="Arial" w:eastAsia="仿宋_GB2312" w:cs="Arial"/>
                <w:snapToGrid w:val="0"/>
                <w:color w:val="000000"/>
                <w:kern w:val="0"/>
                <w:sz w:val="16"/>
                <w:szCs w:val="16"/>
                <w:lang w:val="en-US" w:eastAsia="zh-CN" w:bidi="ar-SA"/>
              </w:rPr>
            </w:pPr>
            <w:r>
              <w:rPr>
                <w:rFonts w:hint="eastAsia" w:ascii="仿宋_GB2312" w:eastAsia="仿宋_GB2312" w:cs="Arial"/>
                <w:snapToGrid w:val="0"/>
                <w:color w:val="000000"/>
                <w:kern w:val="0"/>
                <w:sz w:val="16"/>
                <w:szCs w:val="16"/>
                <w:lang w:val="en-US" w:eastAsia="zh-CN" w:bidi="ar-SA"/>
              </w:rPr>
              <w:t>1217.09</w:t>
            </w:r>
          </w:p>
        </w:tc>
        <w:tc>
          <w:tcPr>
            <w:tcW w:w="1635" w:type="dxa"/>
            <w:shd w:val="clear" w:color="auto" w:fill="auto"/>
            <w:vAlign w:val="center"/>
          </w:tcPr>
          <w:p w14:paraId="7A453B87">
            <w:pPr>
              <w:ind w:left="0" w:leftChars="0" w:firstLine="0" w:firstLineChars="0"/>
              <w:jc w:val="center"/>
              <w:rPr>
                <w:rFonts w:hint="default" w:ascii="仿宋_GB2312" w:hAnsi="Arial" w:eastAsia="仿宋_GB2312" w:cs="Arial"/>
                <w:snapToGrid w:val="0"/>
                <w:color w:val="000000"/>
                <w:kern w:val="0"/>
                <w:sz w:val="16"/>
                <w:szCs w:val="16"/>
                <w:lang w:val="en-US" w:eastAsia="zh-CN" w:bidi="ar-SA"/>
              </w:rPr>
            </w:pPr>
            <w:r>
              <w:rPr>
                <w:rFonts w:hint="eastAsia" w:ascii="仿宋_GB2312" w:eastAsia="仿宋_GB2312" w:cs="Arial"/>
                <w:snapToGrid w:val="0"/>
                <w:color w:val="000000"/>
                <w:kern w:val="0"/>
                <w:sz w:val="16"/>
                <w:szCs w:val="16"/>
                <w:lang w:val="en-US" w:eastAsia="zh-CN" w:bidi="ar-SA"/>
              </w:rPr>
              <w:t>3108.22</w:t>
            </w:r>
          </w:p>
        </w:tc>
        <w:tc>
          <w:tcPr>
            <w:tcW w:w="585" w:type="dxa"/>
            <w:shd w:val="clear" w:color="auto" w:fill="auto"/>
            <w:vAlign w:val="center"/>
          </w:tcPr>
          <w:p w14:paraId="415A3F60">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10</w:t>
            </w:r>
          </w:p>
        </w:tc>
        <w:tc>
          <w:tcPr>
            <w:tcW w:w="780" w:type="dxa"/>
            <w:shd w:val="clear" w:color="auto" w:fill="auto"/>
            <w:vAlign w:val="center"/>
          </w:tcPr>
          <w:p w14:paraId="2AC58B95">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10</w:t>
            </w:r>
          </w:p>
        </w:tc>
        <w:tc>
          <w:tcPr>
            <w:tcW w:w="1320" w:type="dxa"/>
            <w:vAlign w:val="center"/>
          </w:tcPr>
          <w:p w14:paraId="63D43995">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792" w:type="dxa"/>
            <w:vMerge w:val="continue"/>
            <w:textDirection w:val="tbRlV"/>
            <w:vAlign w:val="center"/>
          </w:tcPr>
          <w:p w14:paraId="077C0973">
            <w:pPr>
              <w:spacing w:line="240" w:lineRule="auto"/>
              <w:ind w:firstLine="420"/>
              <w:jc w:val="center"/>
              <w:rPr>
                <w:rFonts w:ascii="仿宋_GB2312" w:eastAsia="仿宋_GB2312"/>
                <w:kern w:val="0"/>
              </w:rPr>
            </w:pPr>
          </w:p>
        </w:tc>
        <w:tc>
          <w:tcPr>
            <w:tcW w:w="1200"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290" w:type="dxa"/>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140" w:type="dxa"/>
            <w:shd w:val="clear" w:color="auto" w:fill="auto"/>
            <w:vAlign w:val="center"/>
          </w:tcPr>
          <w:p w14:paraId="30F7FC8B">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基本民生保障，道路基础设施，安全保障和社会和谐</w:t>
            </w:r>
          </w:p>
        </w:tc>
        <w:tc>
          <w:tcPr>
            <w:tcW w:w="1575" w:type="dxa"/>
            <w:shd w:val="clear" w:color="auto" w:fill="auto"/>
            <w:vAlign w:val="center"/>
          </w:tcPr>
          <w:p w14:paraId="2E51E7D4">
            <w:pPr>
              <w:ind w:left="0" w:leftChars="0" w:firstLine="0" w:firstLineChars="0"/>
              <w:jc w:val="center"/>
              <w:rPr>
                <w:rFonts w:ascii="仿宋_GB2312" w:hAnsi="Arial" w:eastAsia="仿宋_GB2312" w:cs="Arial"/>
                <w:snapToGrid w:val="0"/>
                <w:color w:val="000000"/>
                <w:kern w:val="0"/>
                <w:sz w:val="13"/>
                <w:szCs w:val="13"/>
                <w:lang w:val="en-US" w:eastAsia="zh-CN" w:bidi="ar-SA"/>
              </w:rPr>
            </w:pPr>
            <w:r>
              <w:rPr>
                <w:rFonts w:hint="eastAsia" w:ascii="仿宋_GB2312" w:eastAsia="仿宋_GB2312"/>
                <w:sz w:val="13"/>
                <w:szCs w:val="13"/>
                <w:lang w:eastAsia="zh-CN"/>
              </w:rPr>
              <w:t>确保社会特殊困难人群的基本生活保障，如五保、孤儿等。改善农村道路基础设施建设，保障村组公路运行。通过排查化解安全隐患、矛盾纠纷，确保社会安定和谐</w:t>
            </w:r>
          </w:p>
        </w:tc>
        <w:tc>
          <w:tcPr>
            <w:tcW w:w="1635" w:type="dxa"/>
            <w:shd w:val="clear" w:color="auto" w:fill="auto"/>
            <w:vAlign w:val="center"/>
          </w:tcPr>
          <w:p w14:paraId="5424EAF5">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保障了重点困难人群基本生活，维护好基础设施，维持了社会安定和谐</w:t>
            </w:r>
          </w:p>
        </w:tc>
        <w:tc>
          <w:tcPr>
            <w:tcW w:w="585" w:type="dxa"/>
            <w:shd w:val="clear" w:color="auto" w:fill="auto"/>
            <w:vAlign w:val="center"/>
          </w:tcPr>
          <w:p w14:paraId="208FE0F1">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10</w:t>
            </w:r>
          </w:p>
        </w:tc>
        <w:tc>
          <w:tcPr>
            <w:tcW w:w="780" w:type="dxa"/>
            <w:shd w:val="clear" w:color="auto" w:fill="auto"/>
            <w:vAlign w:val="center"/>
          </w:tcPr>
          <w:p w14:paraId="35040CE8">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10</w:t>
            </w:r>
          </w:p>
        </w:tc>
        <w:tc>
          <w:tcPr>
            <w:tcW w:w="1320" w:type="dxa"/>
            <w:vAlign w:val="center"/>
          </w:tcPr>
          <w:p w14:paraId="4D65F265">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92" w:type="dxa"/>
            <w:vMerge w:val="continue"/>
            <w:textDirection w:val="tbRlV"/>
            <w:vAlign w:val="center"/>
          </w:tcPr>
          <w:p w14:paraId="58F613F5">
            <w:pPr>
              <w:spacing w:line="240" w:lineRule="auto"/>
              <w:ind w:firstLine="420"/>
              <w:jc w:val="center"/>
              <w:rPr>
                <w:rFonts w:ascii="仿宋_GB2312" w:eastAsia="仿宋_GB2312"/>
                <w:kern w:val="0"/>
              </w:rPr>
            </w:pPr>
          </w:p>
        </w:tc>
        <w:tc>
          <w:tcPr>
            <w:tcW w:w="1200"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290" w:type="dxa"/>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140" w:type="dxa"/>
            <w:shd w:val="clear" w:color="auto" w:fill="auto"/>
            <w:vAlign w:val="center"/>
          </w:tcPr>
          <w:p w14:paraId="4DC60689">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生态文明</w:t>
            </w:r>
          </w:p>
        </w:tc>
        <w:tc>
          <w:tcPr>
            <w:tcW w:w="1575" w:type="dxa"/>
            <w:shd w:val="clear" w:color="auto" w:fill="auto"/>
            <w:vAlign w:val="center"/>
          </w:tcPr>
          <w:p w14:paraId="45B96CBB">
            <w:pPr>
              <w:ind w:left="0" w:leftChars="0" w:firstLine="0" w:firstLineChars="0"/>
              <w:jc w:val="center"/>
              <w:rPr>
                <w:rFonts w:ascii="仿宋_GB2312" w:hAnsi="Arial" w:eastAsia="仿宋_GB2312" w:cs="Arial"/>
                <w:snapToGrid w:val="0"/>
                <w:color w:val="000000"/>
                <w:kern w:val="0"/>
                <w:sz w:val="13"/>
                <w:szCs w:val="13"/>
                <w:lang w:val="en-US" w:eastAsia="zh-CN" w:bidi="ar-SA"/>
              </w:rPr>
            </w:pPr>
            <w:r>
              <w:rPr>
                <w:rFonts w:hint="eastAsia" w:ascii="仿宋_GB2312" w:eastAsia="仿宋_GB2312"/>
                <w:sz w:val="13"/>
                <w:szCs w:val="13"/>
                <w:lang w:eastAsia="zh-CN"/>
              </w:rPr>
              <w:t>将卫生环境保护贯穿到辖区村（社区）、丰富文化生活，加强乡风文明建设着力建设生态环保、节能高效的社会环境</w:t>
            </w:r>
          </w:p>
        </w:tc>
        <w:tc>
          <w:tcPr>
            <w:tcW w:w="1635" w:type="dxa"/>
            <w:shd w:val="clear" w:color="auto" w:fill="auto"/>
            <w:vAlign w:val="center"/>
          </w:tcPr>
          <w:p w14:paraId="35C3564D">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环境卫生维持良好，乡风文明建设得到良好提升</w:t>
            </w:r>
          </w:p>
        </w:tc>
        <w:tc>
          <w:tcPr>
            <w:tcW w:w="585" w:type="dxa"/>
            <w:shd w:val="clear" w:color="auto" w:fill="auto"/>
            <w:vAlign w:val="center"/>
          </w:tcPr>
          <w:p w14:paraId="6A822248">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5</w:t>
            </w:r>
          </w:p>
        </w:tc>
        <w:tc>
          <w:tcPr>
            <w:tcW w:w="780" w:type="dxa"/>
            <w:shd w:val="clear" w:color="auto" w:fill="auto"/>
            <w:vAlign w:val="center"/>
          </w:tcPr>
          <w:p w14:paraId="73C931F8">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5</w:t>
            </w:r>
          </w:p>
        </w:tc>
        <w:tc>
          <w:tcPr>
            <w:tcW w:w="1320" w:type="dxa"/>
            <w:vAlign w:val="center"/>
          </w:tcPr>
          <w:p w14:paraId="0E6767B7">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92" w:type="dxa"/>
            <w:vMerge w:val="continue"/>
            <w:textDirection w:val="tbRlV"/>
            <w:vAlign w:val="center"/>
          </w:tcPr>
          <w:p w14:paraId="19698FF5">
            <w:pPr>
              <w:spacing w:line="240" w:lineRule="auto"/>
              <w:ind w:firstLine="420"/>
              <w:jc w:val="center"/>
              <w:rPr>
                <w:rFonts w:ascii="仿宋_GB2312" w:eastAsia="仿宋_GB2312"/>
                <w:kern w:val="0"/>
              </w:rPr>
            </w:pPr>
          </w:p>
        </w:tc>
        <w:tc>
          <w:tcPr>
            <w:tcW w:w="1200" w:type="dxa"/>
            <w:vMerge w:val="continue"/>
            <w:tcBorders>
              <w:top w:val="nil"/>
              <w:bottom w:val="single" w:color="auto" w:sz="4" w:space="0"/>
            </w:tcBorders>
            <w:vAlign w:val="center"/>
          </w:tcPr>
          <w:p w14:paraId="03791089">
            <w:pPr>
              <w:spacing w:line="240" w:lineRule="auto"/>
              <w:ind w:firstLine="420"/>
              <w:jc w:val="center"/>
              <w:rPr>
                <w:rFonts w:ascii="仿宋_GB2312" w:eastAsia="仿宋_GB2312"/>
                <w:kern w:val="0"/>
              </w:rPr>
            </w:pPr>
          </w:p>
        </w:tc>
        <w:tc>
          <w:tcPr>
            <w:tcW w:w="1290" w:type="dxa"/>
            <w:tcBorders>
              <w:bottom w:val="single" w:color="auto" w:sz="4" w:space="0"/>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140" w:type="dxa"/>
            <w:shd w:val="clear" w:color="auto" w:fill="auto"/>
            <w:vAlign w:val="center"/>
          </w:tcPr>
          <w:p w14:paraId="1B548B4C">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项目进展顺利</w:t>
            </w:r>
          </w:p>
        </w:tc>
        <w:tc>
          <w:tcPr>
            <w:tcW w:w="1575" w:type="dxa"/>
            <w:shd w:val="clear" w:color="auto" w:fill="auto"/>
            <w:vAlign w:val="center"/>
          </w:tcPr>
          <w:p w14:paraId="055B34ED">
            <w:pPr>
              <w:ind w:left="0" w:leftChars="0" w:firstLine="0" w:firstLineChars="0"/>
              <w:jc w:val="center"/>
              <w:rPr>
                <w:rFonts w:ascii="仿宋_GB2312" w:hAnsi="Arial" w:eastAsia="仿宋_GB2312" w:cs="Arial"/>
                <w:snapToGrid w:val="0"/>
                <w:color w:val="000000"/>
                <w:kern w:val="0"/>
                <w:sz w:val="13"/>
                <w:szCs w:val="13"/>
                <w:lang w:val="en-US" w:eastAsia="zh-CN" w:bidi="ar-SA"/>
              </w:rPr>
            </w:pPr>
            <w:r>
              <w:rPr>
                <w:rFonts w:hint="eastAsia" w:ascii="仿宋_GB2312" w:eastAsia="仿宋_GB2312"/>
                <w:sz w:val="13"/>
                <w:szCs w:val="13"/>
                <w:lang w:eastAsia="zh-CN"/>
              </w:rPr>
              <w:t>体现政策导向，长期保障工作和项目平稳进行，经济持续增长</w:t>
            </w:r>
          </w:p>
        </w:tc>
        <w:tc>
          <w:tcPr>
            <w:tcW w:w="1635" w:type="dxa"/>
            <w:shd w:val="clear" w:color="auto" w:fill="auto"/>
            <w:vAlign w:val="center"/>
          </w:tcPr>
          <w:p w14:paraId="46B41467">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各项目按期施工验收，资金支出及时</w:t>
            </w:r>
          </w:p>
        </w:tc>
        <w:tc>
          <w:tcPr>
            <w:tcW w:w="585" w:type="dxa"/>
            <w:shd w:val="clear" w:color="auto" w:fill="auto"/>
            <w:vAlign w:val="center"/>
          </w:tcPr>
          <w:p w14:paraId="447C4D99">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5</w:t>
            </w:r>
          </w:p>
        </w:tc>
        <w:tc>
          <w:tcPr>
            <w:tcW w:w="780" w:type="dxa"/>
            <w:shd w:val="clear" w:color="auto" w:fill="auto"/>
            <w:vAlign w:val="center"/>
          </w:tcPr>
          <w:p w14:paraId="71C7C72F">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5</w:t>
            </w:r>
          </w:p>
        </w:tc>
        <w:tc>
          <w:tcPr>
            <w:tcW w:w="1320" w:type="dxa"/>
            <w:vAlign w:val="center"/>
          </w:tcPr>
          <w:p w14:paraId="04D49FFC">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92" w:type="dxa"/>
            <w:vMerge w:val="continue"/>
            <w:tcBorders>
              <w:right w:val="single" w:color="auto" w:sz="4" w:space="0"/>
            </w:tcBorders>
            <w:textDirection w:val="tbRlV"/>
            <w:vAlign w:val="center"/>
          </w:tcPr>
          <w:p w14:paraId="42AFB0D6">
            <w:pPr>
              <w:spacing w:line="240" w:lineRule="auto"/>
              <w:ind w:firstLine="420"/>
              <w:jc w:val="center"/>
              <w:rPr>
                <w:rFonts w:ascii="仿宋_GB2312" w:eastAsia="仿宋_GB2312"/>
                <w:kern w:val="0"/>
              </w:rPr>
            </w:pPr>
          </w:p>
        </w:tc>
        <w:tc>
          <w:tcPr>
            <w:tcW w:w="1200" w:type="dxa"/>
            <w:tcBorders>
              <w:top w:val="single" w:color="auto" w:sz="4" w:space="0"/>
              <w:left w:val="single" w:color="auto" w:sz="4" w:space="0"/>
              <w:bottom w:val="single" w:color="auto" w:sz="4" w:space="0"/>
              <w:right w:val="single" w:color="auto" w:sz="4" w:space="0"/>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290" w:type="dxa"/>
            <w:tcBorders>
              <w:top w:val="single" w:color="auto" w:sz="4" w:space="0"/>
              <w:left w:val="single" w:color="auto" w:sz="4" w:space="0"/>
              <w:bottom w:val="single" w:color="auto" w:sz="4" w:space="0"/>
              <w:right w:val="single" w:color="auto" w:sz="4" w:space="0"/>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140" w:type="dxa"/>
            <w:tcBorders>
              <w:left w:val="single" w:color="auto" w:sz="4" w:space="0"/>
            </w:tcBorders>
            <w:shd w:val="clear" w:color="auto" w:fill="auto"/>
            <w:vAlign w:val="center"/>
          </w:tcPr>
          <w:p w14:paraId="395D9354">
            <w:pPr>
              <w:ind w:left="0" w:leftChars="0" w:firstLine="0" w:firstLineChars="0"/>
              <w:jc w:val="center"/>
              <w:rPr>
                <w:rFonts w:ascii="仿宋_GB2312" w:hAnsi="Arial" w:eastAsia="仿宋_GB2312" w:cs="Arial"/>
                <w:snapToGrid w:val="0"/>
                <w:color w:val="000000"/>
                <w:kern w:val="0"/>
                <w:sz w:val="16"/>
                <w:szCs w:val="16"/>
                <w:lang w:val="en-US" w:eastAsia="en-US" w:bidi="ar-SA"/>
              </w:rPr>
            </w:pPr>
            <w:r>
              <w:rPr>
                <w:rFonts w:hint="eastAsia" w:ascii="仿宋_GB2312" w:eastAsia="仿宋_GB2312"/>
                <w:sz w:val="16"/>
                <w:szCs w:val="16"/>
                <w:lang w:eastAsia="zh-CN"/>
              </w:rPr>
              <w:t>相关部门和单位及群众满意度</w:t>
            </w:r>
          </w:p>
        </w:tc>
        <w:tc>
          <w:tcPr>
            <w:tcW w:w="1575" w:type="dxa"/>
            <w:shd w:val="clear" w:color="auto" w:fill="auto"/>
            <w:vAlign w:val="center"/>
          </w:tcPr>
          <w:p w14:paraId="52C36B70">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95%</w:t>
            </w:r>
          </w:p>
        </w:tc>
        <w:tc>
          <w:tcPr>
            <w:tcW w:w="1635" w:type="dxa"/>
            <w:shd w:val="clear" w:color="auto" w:fill="auto"/>
            <w:vAlign w:val="center"/>
          </w:tcPr>
          <w:p w14:paraId="4406A910">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95%</w:t>
            </w:r>
          </w:p>
        </w:tc>
        <w:tc>
          <w:tcPr>
            <w:tcW w:w="585" w:type="dxa"/>
            <w:shd w:val="clear" w:color="auto" w:fill="auto"/>
            <w:vAlign w:val="center"/>
          </w:tcPr>
          <w:p w14:paraId="6D424A44">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10</w:t>
            </w:r>
          </w:p>
        </w:tc>
        <w:tc>
          <w:tcPr>
            <w:tcW w:w="780" w:type="dxa"/>
            <w:shd w:val="clear" w:color="auto" w:fill="auto"/>
            <w:vAlign w:val="center"/>
          </w:tcPr>
          <w:p w14:paraId="7965904C">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10</w:t>
            </w:r>
          </w:p>
        </w:tc>
        <w:tc>
          <w:tcPr>
            <w:tcW w:w="1320" w:type="dxa"/>
            <w:vAlign w:val="center"/>
          </w:tcPr>
          <w:p w14:paraId="025B7D41">
            <w:pPr>
              <w:ind w:firstLine="290" w:firstLineChars="0"/>
              <w:jc w:val="center"/>
              <w:rPr>
                <w:rFonts w:ascii="仿宋_GB2312" w:hAnsi="Arial" w:eastAsia="仿宋_GB2312" w:cs="Arial"/>
                <w:snapToGrid w:val="0"/>
                <w:color w:val="000000"/>
                <w:kern w:val="0"/>
                <w:sz w:val="16"/>
                <w:szCs w:val="16"/>
                <w:lang w:val="en-US" w:eastAsia="zh-CN" w:bidi="ar-SA"/>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92" w:type="dxa"/>
            <w:vMerge w:val="continue"/>
            <w:textDirection w:val="tbRlV"/>
            <w:vAlign w:val="center"/>
          </w:tcPr>
          <w:p w14:paraId="1B343DAD">
            <w:pPr>
              <w:spacing w:line="240" w:lineRule="auto"/>
              <w:ind w:firstLine="420"/>
              <w:jc w:val="center"/>
              <w:rPr>
                <w:rFonts w:ascii="仿宋_GB2312" w:eastAsia="仿宋_GB2312"/>
                <w:kern w:val="0"/>
              </w:rPr>
            </w:pPr>
          </w:p>
        </w:tc>
        <w:tc>
          <w:tcPr>
            <w:tcW w:w="1200" w:type="dxa"/>
            <w:vMerge w:val="restart"/>
            <w:tcBorders>
              <w:top w:val="single" w:color="auto" w:sz="4" w:space="0"/>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290" w:type="dxa"/>
            <w:tcBorders>
              <w:top w:val="single" w:color="auto" w:sz="4" w:space="0"/>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140" w:type="dxa"/>
            <w:shd w:val="clear" w:color="auto" w:fill="auto"/>
            <w:vAlign w:val="center"/>
          </w:tcPr>
          <w:p w14:paraId="63B7EC90">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基本支出</w:t>
            </w:r>
          </w:p>
        </w:tc>
        <w:tc>
          <w:tcPr>
            <w:tcW w:w="1575" w:type="dxa"/>
            <w:shd w:val="clear" w:color="auto" w:fill="auto"/>
            <w:vAlign w:val="center"/>
          </w:tcPr>
          <w:p w14:paraId="15ECA8D3">
            <w:pPr>
              <w:ind w:left="0" w:leftChars="0" w:firstLine="0" w:firstLineChars="0"/>
              <w:jc w:val="center"/>
              <w:rPr>
                <w:rFonts w:hint="default" w:ascii="仿宋_GB2312" w:hAnsi="Arial" w:eastAsia="仿宋_GB2312" w:cs="Arial"/>
                <w:snapToGrid w:val="0"/>
                <w:color w:val="000000"/>
                <w:kern w:val="0"/>
                <w:sz w:val="16"/>
                <w:szCs w:val="16"/>
                <w:lang w:val="en-US" w:eastAsia="zh-CN" w:bidi="ar-SA"/>
              </w:rPr>
            </w:pPr>
            <w:r>
              <w:rPr>
                <w:rFonts w:hint="eastAsia" w:ascii="仿宋_GB2312" w:eastAsia="仿宋_GB2312" w:cs="Arial"/>
                <w:snapToGrid w:val="0"/>
                <w:color w:val="000000"/>
                <w:kern w:val="0"/>
                <w:sz w:val="16"/>
                <w:szCs w:val="16"/>
                <w:lang w:val="en-US" w:eastAsia="zh-CN" w:bidi="ar-SA"/>
              </w:rPr>
              <w:t>1217.09</w:t>
            </w:r>
          </w:p>
        </w:tc>
        <w:tc>
          <w:tcPr>
            <w:tcW w:w="1635" w:type="dxa"/>
            <w:shd w:val="clear" w:color="auto" w:fill="auto"/>
            <w:vAlign w:val="center"/>
          </w:tcPr>
          <w:p w14:paraId="3C328246">
            <w:pPr>
              <w:ind w:left="0" w:leftChars="0" w:firstLine="0" w:firstLineChars="0"/>
              <w:jc w:val="center"/>
              <w:rPr>
                <w:rFonts w:hint="default" w:ascii="仿宋_GB2312" w:hAnsi="Arial" w:eastAsia="仿宋_GB2312" w:cs="Arial"/>
                <w:snapToGrid w:val="0"/>
                <w:color w:val="000000"/>
                <w:kern w:val="0"/>
                <w:sz w:val="16"/>
                <w:szCs w:val="16"/>
                <w:lang w:val="en-US" w:eastAsia="zh-CN" w:bidi="ar-SA"/>
              </w:rPr>
            </w:pPr>
            <w:r>
              <w:rPr>
                <w:rFonts w:hint="eastAsia" w:ascii="仿宋_GB2312" w:eastAsia="仿宋_GB2312" w:cs="Arial"/>
                <w:snapToGrid w:val="0"/>
                <w:color w:val="000000"/>
                <w:kern w:val="0"/>
                <w:sz w:val="16"/>
                <w:szCs w:val="16"/>
                <w:lang w:val="en-US" w:eastAsia="zh-CN" w:bidi="ar-SA"/>
              </w:rPr>
              <w:t>1887.79</w:t>
            </w:r>
          </w:p>
        </w:tc>
        <w:tc>
          <w:tcPr>
            <w:tcW w:w="585" w:type="dxa"/>
            <w:shd w:val="clear" w:color="auto" w:fill="auto"/>
            <w:vAlign w:val="center"/>
          </w:tcPr>
          <w:p w14:paraId="42BD2B94">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10</w:t>
            </w:r>
          </w:p>
        </w:tc>
        <w:tc>
          <w:tcPr>
            <w:tcW w:w="780" w:type="dxa"/>
            <w:shd w:val="clear" w:color="auto" w:fill="auto"/>
            <w:vAlign w:val="center"/>
          </w:tcPr>
          <w:p w14:paraId="786F4305">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10</w:t>
            </w:r>
          </w:p>
        </w:tc>
        <w:tc>
          <w:tcPr>
            <w:tcW w:w="1320" w:type="dxa"/>
            <w:shd w:val="clear" w:color="auto" w:fill="auto"/>
            <w:vAlign w:val="center"/>
          </w:tcPr>
          <w:p w14:paraId="0F79A5E1">
            <w:pPr>
              <w:ind w:firstLine="290" w:firstLineChars="0"/>
              <w:jc w:val="center"/>
              <w:rPr>
                <w:rFonts w:ascii="仿宋_GB2312" w:hAnsi="Arial" w:eastAsia="仿宋_GB2312" w:cs="Arial"/>
                <w:snapToGrid w:val="0"/>
                <w:color w:val="000000"/>
                <w:kern w:val="0"/>
                <w:sz w:val="16"/>
                <w:szCs w:val="16"/>
                <w:lang w:val="en-US" w:eastAsia="zh-CN" w:bidi="ar-SA"/>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92" w:type="dxa"/>
            <w:vMerge w:val="continue"/>
            <w:textDirection w:val="tbRlV"/>
            <w:vAlign w:val="center"/>
          </w:tcPr>
          <w:p w14:paraId="03521D9F">
            <w:pPr>
              <w:spacing w:line="240" w:lineRule="auto"/>
              <w:ind w:firstLine="420"/>
              <w:jc w:val="center"/>
              <w:rPr>
                <w:rFonts w:ascii="仿宋_GB2312" w:eastAsia="仿宋_GB2312"/>
                <w:kern w:val="0"/>
              </w:rPr>
            </w:pPr>
          </w:p>
        </w:tc>
        <w:tc>
          <w:tcPr>
            <w:tcW w:w="1200" w:type="dxa"/>
            <w:vMerge w:val="continue"/>
            <w:vAlign w:val="center"/>
          </w:tcPr>
          <w:p w14:paraId="1471CA84">
            <w:pPr>
              <w:spacing w:line="240" w:lineRule="auto"/>
              <w:ind w:firstLine="420"/>
              <w:jc w:val="center"/>
              <w:rPr>
                <w:rFonts w:ascii="仿宋_GB2312" w:eastAsia="仿宋_GB2312"/>
                <w:kern w:val="0"/>
              </w:rPr>
            </w:pPr>
          </w:p>
        </w:tc>
        <w:tc>
          <w:tcPr>
            <w:tcW w:w="1290"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140" w:type="dxa"/>
            <w:shd w:val="clear" w:color="auto" w:fill="auto"/>
            <w:vAlign w:val="center"/>
          </w:tcPr>
          <w:p w14:paraId="4C2510AC">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项目支出对社会造成影响程度</w:t>
            </w:r>
          </w:p>
        </w:tc>
        <w:tc>
          <w:tcPr>
            <w:tcW w:w="1575" w:type="dxa"/>
            <w:shd w:val="clear" w:color="auto" w:fill="auto"/>
            <w:vAlign w:val="center"/>
          </w:tcPr>
          <w:p w14:paraId="09361E43">
            <w:pPr>
              <w:ind w:left="0" w:leftChars="0" w:firstLine="0" w:firstLineChars="0"/>
              <w:jc w:val="center"/>
              <w:rPr>
                <w:rFonts w:ascii="仿宋_GB2312" w:hAnsi="Arial" w:eastAsia="仿宋_GB2312" w:cs="Arial"/>
                <w:snapToGrid w:val="0"/>
                <w:color w:val="000000"/>
                <w:kern w:val="0"/>
                <w:sz w:val="16"/>
                <w:szCs w:val="16"/>
                <w:lang w:val="en-US" w:eastAsia="en-US" w:bidi="ar-SA"/>
              </w:rPr>
            </w:pPr>
            <w:r>
              <w:rPr>
                <w:rFonts w:hint="eastAsia" w:ascii="仿宋_GB2312" w:eastAsia="仿宋_GB2312"/>
                <w:sz w:val="16"/>
                <w:szCs w:val="16"/>
                <w:lang w:eastAsia="zh-CN"/>
              </w:rPr>
              <w:t>群众福利和资源的合理分配</w:t>
            </w:r>
          </w:p>
        </w:tc>
        <w:tc>
          <w:tcPr>
            <w:tcW w:w="1635" w:type="dxa"/>
            <w:shd w:val="clear" w:color="auto" w:fill="auto"/>
            <w:vAlign w:val="center"/>
          </w:tcPr>
          <w:p w14:paraId="32DCD303">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群众福利和资源分配合理</w:t>
            </w:r>
          </w:p>
        </w:tc>
        <w:tc>
          <w:tcPr>
            <w:tcW w:w="585" w:type="dxa"/>
            <w:shd w:val="clear" w:color="auto" w:fill="auto"/>
            <w:vAlign w:val="center"/>
          </w:tcPr>
          <w:p w14:paraId="765229A3">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5</w:t>
            </w:r>
          </w:p>
        </w:tc>
        <w:tc>
          <w:tcPr>
            <w:tcW w:w="780" w:type="dxa"/>
            <w:shd w:val="clear" w:color="auto" w:fill="auto"/>
            <w:vAlign w:val="center"/>
          </w:tcPr>
          <w:p w14:paraId="4012A71B">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5</w:t>
            </w:r>
          </w:p>
        </w:tc>
        <w:tc>
          <w:tcPr>
            <w:tcW w:w="1320" w:type="dxa"/>
            <w:shd w:val="clear" w:color="auto" w:fill="auto"/>
            <w:vAlign w:val="center"/>
          </w:tcPr>
          <w:p w14:paraId="6A85C036">
            <w:pPr>
              <w:ind w:firstLine="290" w:firstLineChars="0"/>
              <w:jc w:val="center"/>
              <w:rPr>
                <w:rFonts w:ascii="仿宋_GB2312" w:hAnsi="Arial" w:eastAsia="仿宋_GB2312" w:cs="Arial"/>
                <w:snapToGrid w:val="0"/>
                <w:color w:val="000000"/>
                <w:kern w:val="0"/>
                <w:sz w:val="16"/>
                <w:szCs w:val="16"/>
                <w:lang w:val="en-US" w:eastAsia="zh-CN" w:bidi="ar-SA"/>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92" w:type="dxa"/>
            <w:vMerge w:val="continue"/>
            <w:textDirection w:val="tbRlV"/>
            <w:vAlign w:val="center"/>
          </w:tcPr>
          <w:p w14:paraId="2F970E6A">
            <w:pPr>
              <w:spacing w:line="240" w:lineRule="auto"/>
              <w:ind w:firstLine="420"/>
              <w:jc w:val="center"/>
              <w:rPr>
                <w:rFonts w:ascii="仿宋_GB2312" w:eastAsia="仿宋_GB2312"/>
                <w:kern w:val="0"/>
              </w:rPr>
            </w:pPr>
          </w:p>
        </w:tc>
        <w:tc>
          <w:tcPr>
            <w:tcW w:w="1200" w:type="dxa"/>
            <w:vMerge w:val="continue"/>
            <w:vAlign w:val="center"/>
          </w:tcPr>
          <w:p w14:paraId="2827F181">
            <w:pPr>
              <w:spacing w:line="240" w:lineRule="auto"/>
              <w:ind w:firstLine="420"/>
              <w:jc w:val="center"/>
              <w:rPr>
                <w:rFonts w:ascii="仿宋_GB2312" w:eastAsia="仿宋_GB2312"/>
                <w:kern w:val="0"/>
              </w:rPr>
            </w:pPr>
          </w:p>
        </w:tc>
        <w:tc>
          <w:tcPr>
            <w:tcW w:w="1290"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140" w:type="dxa"/>
            <w:shd w:val="clear" w:color="auto" w:fill="auto"/>
            <w:vAlign w:val="center"/>
          </w:tcPr>
          <w:p w14:paraId="304051C0">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rPr>
              <w:t>生态环境可持续发展</w:t>
            </w:r>
          </w:p>
        </w:tc>
        <w:tc>
          <w:tcPr>
            <w:tcW w:w="1575" w:type="dxa"/>
            <w:shd w:val="clear" w:color="auto" w:fill="auto"/>
            <w:vAlign w:val="center"/>
          </w:tcPr>
          <w:p w14:paraId="789CDCB9">
            <w:pPr>
              <w:ind w:left="0" w:leftChars="0" w:firstLine="0" w:firstLineChars="0"/>
              <w:jc w:val="center"/>
              <w:rPr>
                <w:rFonts w:ascii="仿宋_GB2312" w:hAnsi="Arial" w:eastAsia="仿宋_GB2312" w:cs="Arial"/>
                <w:snapToGrid w:val="0"/>
                <w:color w:val="000000"/>
                <w:kern w:val="0"/>
                <w:sz w:val="16"/>
                <w:szCs w:val="16"/>
                <w:lang w:val="en-US" w:eastAsia="en-US" w:bidi="ar-SA"/>
              </w:rPr>
            </w:pPr>
            <w:r>
              <w:rPr>
                <w:rFonts w:hint="eastAsia" w:ascii="仿宋_GB2312" w:eastAsia="仿宋_GB2312"/>
                <w:sz w:val="16"/>
                <w:szCs w:val="16"/>
                <w:lang w:eastAsia="zh-CN"/>
              </w:rPr>
              <w:t>政策对生态环境的影响造成的财务损失或财务收益</w:t>
            </w:r>
          </w:p>
        </w:tc>
        <w:tc>
          <w:tcPr>
            <w:tcW w:w="1635" w:type="dxa"/>
            <w:shd w:val="clear" w:color="auto" w:fill="auto"/>
            <w:vAlign w:val="center"/>
          </w:tcPr>
          <w:p w14:paraId="4E354EE6">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对生态环境无不良影响</w:t>
            </w:r>
          </w:p>
        </w:tc>
        <w:tc>
          <w:tcPr>
            <w:tcW w:w="585" w:type="dxa"/>
            <w:shd w:val="clear" w:color="auto" w:fill="auto"/>
            <w:vAlign w:val="center"/>
          </w:tcPr>
          <w:p w14:paraId="6C36DE67">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5</w:t>
            </w:r>
          </w:p>
        </w:tc>
        <w:tc>
          <w:tcPr>
            <w:tcW w:w="780" w:type="dxa"/>
            <w:shd w:val="clear" w:color="auto" w:fill="auto"/>
            <w:vAlign w:val="center"/>
          </w:tcPr>
          <w:p w14:paraId="6B31F2AB">
            <w:pPr>
              <w:ind w:left="0" w:leftChars="0" w:firstLine="0" w:firstLineChars="0"/>
              <w:jc w:val="center"/>
              <w:rPr>
                <w:rFonts w:ascii="仿宋_GB2312" w:hAnsi="Arial" w:eastAsia="仿宋_GB2312" w:cs="Arial"/>
                <w:snapToGrid w:val="0"/>
                <w:color w:val="000000"/>
                <w:kern w:val="0"/>
                <w:sz w:val="16"/>
                <w:szCs w:val="16"/>
                <w:lang w:val="en-US" w:eastAsia="zh-CN" w:bidi="ar-SA"/>
              </w:rPr>
            </w:pPr>
            <w:r>
              <w:rPr>
                <w:rFonts w:hint="eastAsia" w:ascii="仿宋_GB2312" w:eastAsia="仿宋_GB2312"/>
                <w:sz w:val="16"/>
                <w:szCs w:val="16"/>
                <w:lang w:eastAsia="zh-CN"/>
              </w:rPr>
              <w:t>5</w:t>
            </w:r>
          </w:p>
        </w:tc>
        <w:tc>
          <w:tcPr>
            <w:tcW w:w="1320"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632"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585"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780" w:type="dxa"/>
            <w:vAlign w:val="center"/>
          </w:tcPr>
          <w:p w14:paraId="6F45C202">
            <w:pPr>
              <w:spacing w:line="240" w:lineRule="auto"/>
              <w:ind w:firstLine="420"/>
              <w:jc w:val="center"/>
              <w:rPr>
                <w:rFonts w:hint="default" w:ascii="仿宋_GB2312" w:eastAsia="仿宋_GB2312"/>
                <w:kern w:val="0"/>
                <w:lang w:val="en-US" w:eastAsia="zh-CN"/>
              </w:rPr>
            </w:pPr>
          </w:p>
        </w:tc>
        <w:tc>
          <w:tcPr>
            <w:tcW w:w="1320"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369"/>
        <w:gridCol w:w="1175"/>
        <w:gridCol w:w="1088"/>
        <w:gridCol w:w="1237"/>
        <w:gridCol w:w="588"/>
        <w:gridCol w:w="737"/>
        <w:gridCol w:w="12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罗江镇东冲避洪渠建设项目</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691" w:type="dxa"/>
            <w:gridSpan w:val="4"/>
            <w:vAlign w:val="center"/>
          </w:tcPr>
          <w:p w14:paraId="00FC6308">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汨罗市乡村振兴局</w:t>
            </w:r>
          </w:p>
        </w:tc>
        <w:tc>
          <w:tcPr>
            <w:tcW w:w="1237"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2608" w:type="dxa"/>
            <w:gridSpan w:val="3"/>
            <w:vAlign w:val="center"/>
          </w:tcPr>
          <w:p w14:paraId="6A64BF37">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罗江镇人民政府</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428"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175"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88"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237"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588"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737"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283" w:type="dxa"/>
            <w:vAlign w:val="center"/>
          </w:tcPr>
          <w:p w14:paraId="467538FC">
            <w:pPr>
              <w:spacing w:line="240" w:lineRule="auto"/>
              <w:ind w:firstLine="420"/>
              <w:jc w:val="both"/>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428"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175" w:type="dxa"/>
            <w:vAlign w:val="center"/>
          </w:tcPr>
          <w:p w14:paraId="6EAE81CB">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57.10</w:t>
            </w:r>
          </w:p>
        </w:tc>
        <w:tc>
          <w:tcPr>
            <w:tcW w:w="1088" w:type="dxa"/>
            <w:vAlign w:val="center"/>
          </w:tcPr>
          <w:p w14:paraId="54320DC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57.10</w:t>
            </w:r>
          </w:p>
        </w:tc>
        <w:tc>
          <w:tcPr>
            <w:tcW w:w="1237" w:type="dxa"/>
            <w:vAlign w:val="center"/>
          </w:tcPr>
          <w:p w14:paraId="0C9E823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57.10</w:t>
            </w:r>
          </w:p>
        </w:tc>
        <w:tc>
          <w:tcPr>
            <w:tcW w:w="588"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737" w:type="dxa"/>
            <w:vAlign w:val="center"/>
          </w:tcPr>
          <w:p w14:paraId="3347080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283" w:type="dxa"/>
            <w:vAlign w:val="center"/>
          </w:tcPr>
          <w:p w14:paraId="7A8C6380">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428"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175" w:type="dxa"/>
            <w:vAlign w:val="center"/>
          </w:tcPr>
          <w:p w14:paraId="75F04A7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88" w:type="dxa"/>
            <w:vAlign w:val="center"/>
          </w:tcPr>
          <w:p w14:paraId="5536407E">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237" w:type="dxa"/>
            <w:vAlign w:val="center"/>
          </w:tcPr>
          <w:p w14:paraId="0401DF6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588" w:type="dxa"/>
            <w:vAlign w:val="center"/>
          </w:tcPr>
          <w:p w14:paraId="05C9BB92">
            <w:pPr>
              <w:spacing w:line="240" w:lineRule="auto"/>
              <w:ind w:firstLine="420"/>
              <w:jc w:val="center"/>
              <w:rPr>
                <w:rFonts w:hint="default" w:ascii="仿宋_GB2312" w:hAnsi="宋体" w:eastAsia="仿宋_GB2312" w:cs="宋体"/>
                <w:kern w:val="0"/>
                <w:lang w:val="en-US" w:eastAsia="zh-CN"/>
              </w:rPr>
            </w:pPr>
          </w:p>
        </w:tc>
        <w:tc>
          <w:tcPr>
            <w:tcW w:w="737" w:type="dxa"/>
            <w:vAlign w:val="center"/>
          </w:tcPr>
          <w:p w14:paraId="4AC8E360">
            <w:pPr>
              <w:spacing w:line="240" w:lineRule="auto"/>
              <w:ind w:firstLine="420"/>
              <w:jc w:val="center"/>
              <w:rPr>
                <w:rFonts w:ascii="仿宋_GB2312" w:hAnsi="宋体" w:eastAsia="仿宋_GB2312" w:cs="宋体"/>
                <w:kern w:val="0"/>
                <w:lang w:eastAsia="zh-CN"/>
              </w:rPr>
            </w:pPr>
          </w:p>
        </w:tc>
        <w:tc>
          <w:tcPr>
            <w:tcW w:w="12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428"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175" w:type="dxa"/>
            <w:vAlign w:val="center"/>
          </w:tcPr>
          <w:p w14:paraId="3B2BA981">
            <w:pPr>
              <w:spacing w:line="240" w:lineRule="auto"/>
              <w:ind w:firstLine="420"/>
              <w:jc w:val="center"/>
              <w:rPr>
                <w:rFonts w:ascii="仿宋_GB2312" w:hAnsi="宋体" w:eastAsia="仿宋_GB2312" w:cs="宋体"/>
                <w:kern w:val="0"/>
                <w:lang w:eastAsia="zh-CN"/>
              </w:rPr>
            </w:pPr>
          </w:p>
        </w:tc>
        <w:tc>
          <w:tcPr>
            <w:tcW w:w="1088" w:type="dxa"/>
            <w:vAlign w:val="center"/>
          </w:tcPr>
          <w:p w14:paraId="3E136F30">
            <w:pPr>
              <w:spacing w:line="240" w:lineRule="auto"/>
              <w:ind w:firstLine="420"/>
              <w:jc w:val="center"/>
              <w:rPr>
                <w:rFonts w:ascii="仿宋_GB2312" w:hAnsi="宋体" w:eastAsia="仿宋_GB2312" w:cs="宋体"/>
                <w:kern w:val="0"/>
                <w:lang w:eastAsia="zh-CN"/>
              </w:rPr>
            </w:pPr>
          </w:p>
        </w:tc>
        <w:tc>
          <w:tcPr>
            <w:tcW w:w="1237" w:type="dxa"/>
            <w:vAlign w:val="center"/>
          </w:tcPr>
          <w:p w14:paraId="7EF1A3EC">
            <w:pPr>
              <w:spacing w:line="240" w:lineRule="auto"/>
              <w:ind w:firstLine="420"/>
              <w:jc w:val="center"/>
              <w:rPr>
                <w:rFonts w:ascii="仿宋_GB2312" w:hAnsi="宋体" w:eastAsia="仿宋_GB2312" w:cs="宋体"/>
                <w:kern w:val="0"/>
                <w:lang w:eastAsia="zh-CN"/>
              </w:rPr>
            </w:pPr>
          </w:p>
        </w:tc>
        <w:tc>
          <w:tcPr>
            <w:tcW w:w="588" w:type="dxa"/>
            <w:vAlign w:val="center"/>
          </w:tcPr>
          <w:p w14:paraId="5B513B6B">
            <w:pPr>
              <w:spacing w:line="240" w:lineRule="auto"/>
              <w:ind w:firstLine="420"/>
              <w:jc w:val="center"/>
              <w:rPr>
                <w:rFonts w:ascii="仿宋_GB2312" w:hAnsi="宋体" w:eastAsia="仿宋_GB2312" w:cs="宋体"/>
                <w:kern w:val="0"/>
                <w:lang w:eastAsia="zh-CN"/>
              </w:rPr>
            </w:pPr>
          </w:p>
        </w:tc>
        <w:tc>
          <w:tcPr>
            <w:tcW w:w="737" w:type="dxa"/>
            <w:vAlign w:val="center"/>
          </w:tcPr>
          <w:p w14:paraId="72BEE34C">
            <w:pPr>
              <w:spacing w:line="240" w:lineRule="auto"/>
              <w:ind w:firstLine="420"/>
              <w:jc w:val="center"/>
              <w:rPr>
                <w:rFonts w:ascii="仿宋_GB2312" w:hAnsi="宋体" w:eastAsia="仿宋_GB2312" w:cs="宋体"/>
                <w:kern w:val="0"/>
                <w:lang w:eastAsia="zh-CN"/>
              </w:rPr>
            </w:pPr>
          </w:p>
        </w:tc>
        <w:tc>
          <w:tcPr>
            <w:tcW w:w="12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428"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175" w:type="dxa"/>
            <w:vAlign w:val="center"/>
          </w:tcPr>
          <w:p w14:paraId="51413325">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7.10</w:t>
            </w:r>
          </w:p>
        </w:tc>
        <w:tc>
          <w:tcPr>
            <w:tcW w:w="1088" w:type="dxa"/>
            <w:vAlign w:val="center"/>
          </w:tcPr>
          <w:p w14:paraId="03D3AC3D">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7.10</w:t>
            </w:r>
          </w:p>
        </w:tc>
        <w:tc>
          <w:tcPr>
            <w:tcW w:w="1237" w:type="dxa"/>
            <w:vAlign w:val="center"/>
          </w:tcPr>
          <w:p w14:paraId="186F5ED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7.10</w:t>
            </w:r>
          </w:p>
        </w:tc>
        <w:tc>
          <w:tcPr>
            <w:tcW w:w="588" w:type="dxa"/>
            <w:vAlign w:val="center"/>
          </w:tcPr>
          <w:p w14:paraId="3908879F">
            <w:pPr>
              <w:spacing w:line="240" w:lineRule="auto"/>
              <w:ind w:firstLine="420"/>
              <w:jc w:val="center"/>
              <w:rPr>
                <w:rFonts w:ascii="仿宋_GB2312" w:hAnsi="宋体" w:eastAsia="仿宋_GB2312" w:cs="宋体"/>
                <w:kern w:val="0"/>
              </w:rPr>
            </w:pPr>
          </w:p>
        </w:tc>
        <w:tc>
          <w:tcPr>
            <w:tcW w:w="737" w:type="dxa"/>
            <w:vAlign w:val="center"/>
          </w:tcPr>
          <w:p w14:paraId="0EAD3560">
            <w:pPr>
              <w:spacing w:line="240" w:lineRule="auto"/>
              <w:ind w:firstLine="420"/>
              <w:jc w:val="center"/>
              <w:rPr>
                <w:rFonts w:ascii="仿宋_GB2312" w:hAnsi="宋体" w:eastAsia="仿宋_GB2312" w:cs="宋体"/>
                <w:kern w:val="0"/>
              </w:rPr>
            </w:pPr>
          </w:p>
        </w:tc>
        <w:tc>
          <w:tcPr>
            <w:tcW w:w="12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691"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3845"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691" w:type="dxa"/>
            <w:gridSpan w:val="4"/>
            <w:vAlign w:val="center"/>
          </w:tcPr>
          <w:p w14:paraId="2C4C4FFF">
            <w:pPr>
              <w:spacing w:line="240" w:lineRule="auto"/>
              <w:ind w:firstLine="420"/>
              <w:jc w:val="center"/>
              <w:rPr>
                <w:rFonts w:ascii="仿宋_GB2312" w:hAnsi="宋体" w:eastAsia="仿宋_GB2312" w:cs="宋体"/>
                <w:kern w:val="0"/>
              </w:rPr>
            </w:pPr>
          </w:p>
        </w:tc>
        <w:tc>
          <w:tcPr>
            <w:tcW w:w="3845" w:type="dxa"/>
            <w:gridSpan w:val="4"/>
            <w:vAlign w:val="center"/>
          </w:tcPr>
          <w:p w14:paraId="309F7763">
            <w:pPr>
              <w:spacing w:line="240" w:lineRule="auto"/>
              <w:ind w:firstLine="420"/>
              <w:jc w:val="center"/>
              <w:rPr>
                <w:rFonts w:ascii="仿宋_GB2312" w:hAnsi="宋体" w:eastAsia="仿宋_GB2312" w:cs="宋体"/>
                <w:kern w:val="0"/>
              </w:rPr>
            </w:pP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369"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175"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88"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237"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588"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737"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2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369" w:type="dxa"/>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175" w:type="dxa"/>
            <w:vAlign w:val="center"/>
          </w:tcPr>
          <w:p w14:paraId="7C295655">
            <w:pPr>
              <w:spacing w:line="240" w:lineRule="auto"/>
              <w:jc w:val="center"/>
              <w:rPr>
                <w:rFonts w:ascii="仿宋_GB2312" w:hAnsi="宋体" w:eastAsia="仿宋_GB2312" w:cs="宋体"/>
                <w:kern w:val="0"/>
              </w:rPr>
            </w:pPr>
            <w:r>
              <w:rPr>
                <w:rFonts w:hint="eastAsia" w:ascii="仿宋_GB2312" w:hAnsi="宋体" w:eastAsia="仿宋_GB2312" w:cs="宋体"/>
                <w:kern w:val="0"/>
                <w:lang w:val="en-US" w:eastAsia="zh-CN"/>
              </w:rPr>
              <w:t>渠道长度</w:t>
            </w:r>
          </w:p>
        </w:tc>
        <w:tc>
          <w:tcPr>
            <w:tcW w:w="1088" w:type="dxa"/>
            <w:vAlign w:val="center"/>
          </w:tcPr>
          <w:p w14:paraId="54B9394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530米</w:t>
            </w:r>
          </w:p>
        </w:tc>
        <w:tc>
          <w:tcPr>
            <w:tcW w:w="1237" w:type="dxa"/>
            <w:vAlign w:val="center"/>
          </w:tcPr>
          <w:p w14:paraId="7F49710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530米</w:t>
            </w:r>
          </w:p>
        </w:tc>
        <w:tc>
          <w:tcPr>
            <w:tcW w:w="588" w:type="dxa"/>
            <w:vAlign w:val="center"/>
          </w:tcPr>
          <w:p w14:paraId="450DEC19">
            <w:pPr>
              <w:spacing w:line="240" w:lineRule="auto"/>
              <w:ind w:left="1" w:leftChars="-95" w:hanging="20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37" w:type="dxa"/>
            <w:vAlign w:val="center"/>
          </w:tcPr>
          <w:p w14:paraId="5F7B7A4C">
            <w:pPr>
              <w:spacing w:line="240" w:lineRule="auto"/>
              <w:ind w:left="1" w:leftChars="-95" w:hanging="20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83" w:type="dxa"/>
            <w:vAlign w:val="center"/>
          </w:tcPr>
          <w:p w14:paraId="47B69173">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369" w:type="dxa"/>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175" w:type="dxa"/>
            <w:vAlign w:val="center"/>
          </w:tcPr>
          <w:p w14:paraId="61412C8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验收合格率</w:t>
            </w:r>
          </w:p>
        </w:tc>
        <w:tc>
          <w:tcPr>
            <w:tcW w:w="1088" w:type="dxa"/>
            <w:vAlign w:val="center"/>
          </w:tcPr>
          <w:p w14:paraId="2D69FB3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237" w:type="dxa"/>
            <w:vAlign w:val="center"/>
          </w:tcPr>
          <w:p w14:paraId="03BC31E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588" w:type="dxa"/>
            <w:vAlign w:val="center"/>
          </w:tcPr>
          <w:p w14:paraId="5DC86158">
            <w:pPr>
              <w:spacing w:line="240" w:lineRule="auto"/>
              <w:ind w:left="1" w:leftChars="-95" w:hanging="20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37" w:type="dxa"/>
            <w:vAlign w:val="center"/>
          </w:tcPr>
          <w:p w14:paraId="25177C64">
            <w:pPr>
              <w:spacing w:line="240" w:lineRule="auto"/>
              <w:ind w:left="1" w:leftChars="-95" w:hanging="20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83" w:type="dxa"/>
            <w:vAlign w:val="center"/>
          </w:tcPr>
          <w:p w14:paraId="2036CC26">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369" w:type="dxa"/>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175" w:type="dxa"/>
            <w:vAlign w:val="center"/>
          </w:tcPr>
          <w:p w14:paraId="724A960D">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及时完工率</w:t>
            </w:r>
          </w:p>
        </w:tc>
        <w:tc>
          <w:tcPr>
            <w:tcW w:w="1088" w:type="dxa"/>
            <w:vAlign w:val="center"/>
          </w:tcPr>
          <w:p w14:paraId="015D039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237" w:type="dxa"/>
            <w:vAlign w:val="center"/>
          </w:tcPr>
          <w:p w14:paraId="5C21687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588" w:type="dxa"/>
            <w:shd w:val="clear" w:color="auto" w:fill="auto"/>
            <w:vAlign w:val="center"/>
          </w:tcPr>
          <w:p w14:paraId="0D16C331">
            <w:pPr>
              <w:spacing w:line="240" w:lineRule="auto"/>
              <w:ind w:left="1" w:leftChars="-95" w:hanging="20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37" w:type="dxa"/>
            <w:shd w:val="clear" w:color="auto" w:fill="auto"/>
            <w:vAlign w:val="center"/>
          </w:tcPr>
          <w:p w14:paraId="094C7D5E">
            <w:pPr>
              <w:spacing w:line="240" w:lineRule="auto"/>
              <w:ind w:left="1" w:leftChars="-95" w:hanging="20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83" w:type="dxa"/>
            <w:vAlign w:val="center"/>
          </w:tcPr>
          <w:p w14:paraId="46CE8FD2">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369"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175" w:type="dxa"/>
            <w:vAlign w:val="center"/>
          </w:tcPr>
          <w:p w14:paraId="50DC120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人均增收</w:t>
            </w:r>
          </w:p>
        </w:tc>
        <w:tc>
          <w:tcPr>
            <w:tcW w:w="1088" w:type="dxa"/>
            <w:vAlign w:val="center"/>
          </w:tcPr>
          <w:p w14:paraId="53928C3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200元</w:t>
            </w:r>
          </w:p>
        </w:tc>
        <w:tc>
          <w:tcPr>
            <w:tcW w:w="1237" w:type="dxa"/>
            <w:vAlign w:val="center"/>
          </w:tcPr>
          <w:p w14:paraId="6D883DD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200元</w:t>
            </w:r>
          </w:p>
        </w:tc>
        <w:tc>
          <w:tcPr>
            <w:tcW w:w="588" w:type="dxa"/>
            <w:vAlign w:val="center"/>
          </w:tcPr>
          <w:p w14:paraId="29584852">
            <w:pPr>
              <w:spacing w:line="240" w:lineRule="auto"/>
              <w:ind w:left="1" w:leftChars="-95" w:hanging="20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37" w:type="dxa"/>
            <w:vAlign w:val="center"/>
          </w:tcPr>
          <w:p w14:paraId="41D412C8">
            <w:pPr>
              <w:spacing w:line="240" w:lineRule="auto"/>
              <w:ind w:left="1" w:leftChars="-95" w:hanging="20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83" w:type="dxa"/>
            <w:vAlign w:val="center"/>
          </w:tcPr>
          <w:p w14:paraId="5D804D2D">
            <w:pPr>
              <w:spacing w:line="240" w:lineRule="auto"/>
              <w:ind w:firstLine="420"/>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369"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175" w:type="dxa"/>
            <w:vAlign w:val="center"/>
          </w:tcPr>
          <w:p w14:paraId="393F2438">
            <w:pPr>
              <w:spacing w:line="240" w:lineRule="auto"/>
              <w:jc w:val="center"/>
              <w:rPr>
                <w:rFonts w:hint="eastAsia" w:ascii="仿宋_GB2312" w:hAnsi="宋体" w:eastAsia="仿宋_GB2312" w:cs="宋体"/>
                <w:kern w:val="0"/>
                <w:lang w:val="en-US" w:eastAsia="zh-CN"/>
              </w:rPr>
            </w:pPr>
          </w:p>
        </w:tc>
        <w:tc>
          <w:tcPr>
            <w:tcW w:w="1088" w:type="dxa"/>
            <w:vAlign w:val="center"/>
          </w:tcPr>
          <w:p w14:paraId="2C0C58B6">
            <w:pPr>
              <w:spacing w:line="240" w:lineRule="auto"/>
              <w:jc w:val="center"/>
              <w:rPr>
                <w:rFonts w:hint="eastAsia" w:ascii="仿宋_GB2312" w:hAnsi="宋体" w:eastAsia="仿宋_GB2312" w:cs="宋体"/>
                <w:kern w:val="0"/>
                <w:lang w:val="en-US" w:eastAsia="zh-CN"/>
              </w:rPr>
            </w:pPr>
          </w:p>
        </w:tc>
        <w:tc>
          <w:tcPr>
            <w:tcW w:w="1237" w:type="dxa"/>
            <w:vAlign w:val="center"/>
          </w:tcPr>
          <w:p w14:paraId="076658D4">
            <w:pPr>
              <w:spacing w:line="240" w:lineRule="auto"/>
              <w:jc w:val="center"/>
              <w:rPr>
                <w:rFonts w:hint="eastAsia" w:ascii="仿宋_GB2312" w:hAnsi="宋体" w:eastAsia="仿宋_GB2312" w:cs="宋体"/>
                <w:kern w:val="0"/>
                <w:lang w:val="en-US" w:eastAsia="zh-CN"/>
              </w:rPr>
            </w:pPr>
          </w:p>
        </w:tc>
        <w:tc>
          <w:tcPr>
            <w:tcW w:w="588" w:type="dxa"/>
            <w:vAlign w:val="center"/>
          </w:tcPr>
          <w:p w14:paraId="3D83AE10">
            <w:pPr>
              <w:spacing w:line="240" w:lineRule="auto"/>
              <w:ind w:left="1" w:leftChars="-95" w:hanging="200" w:firstLineChars="0"/>
              <w:jc w:val="center"/>
              <w:rPr>
                <w:rFonts w:hint="eastAsia" w:ascii="仿宋_GB2312" w:hAnsi="宋体" w:eastAsia="仿宋_GB2312" w:cs="宋体"/>
                <w:kern w:val="0"/>
                <w:lang w:val="en-US" w:eastAsia="zh-CN"/>
              </w:rPr>
            </w:pPr>
          </w:p>
        </w:tc>
        <w:tc>
          <w:tcPr>
            <w:tcW w:w="737" w:type="dxa"/>
            <w:vAlign w:val="center"/>
          </w:tcPr>
          <w:p w14:paraId="6B84A567">
            <w:pPr>
              <w:spacing w:line="240" w:lineRule="auto"/>
              <w:ind w:left="1" w:leftChars="-95" w:hanging="200" w:firstLineChars="0"/>
              <w:jc w:val="center"/>
              <w:rPr>
                <w:rFonts w:hint="eastAsia" w:ascii="仿宋_GB2312" w:hAnsi="宋体" w:eastAsia="仿宋_GB2312" w:cs="宋体"/>
                <w:kern w:val="0"/>
                <w:lang w:val="en-US" w:eastAsia="zh-CN"/>
              </w:rPr>
            </w:pPr>
          </w:p>
        </w:tc>
        <w:tc>
          <w:tcPr>
            <w:tcW w:w="12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369"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175" w:type="dxa"/>
            <w:vAlign w:val="center"/>
          </w:tcPr>
          <w:p w14:paraId="73C8CEB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受益群众</w:t>
            </w:r>
          </w:p>
        </w:tc>
        <w:tc>
          <w:tcPr>
            <w:tcW w:w="1088" w:type="dxa"/>
            <w:vAlign w:val="center"/>
          </w:tcPr>
          <w:p w14:paraId="0187539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210人</w:t>
            </w:r>
          </w:p>
        </w:tc>
        <w:tc>
          <w:tcPr>
            <w:tcW w:w="1237" w:type="dxa"/>
            <w:vAlign w:val="center"/>
          </w:tcPr>
          <w:p w14:paraId="4101F8D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210人</w:t>
            </w:r>
          </w:p>
        </w:tc>
        <w:tc>
          <w:tcPr>
            <w:tcW w:w="588" w:type="dxa"/>
            <w:vAlign w:val="center"/>
          </w:tcPr>
          <w:p w14:paraId="699C14AF">
            <w:pPr>
              <w:spacing w:line="240" w:lineRule="auto"/>
              <w:ind w:left="1" w:leftChars="-95" w:hanging="20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37" w:type="dxa"/>
            <w:vAlign w:val="center"/>
          </w:tcPr>
          <w:p w14:paraId="0665EFF4">
            <w:pPr>
              <w:spacing w:line="240" w:lineRule="auto"/>
              <w:ind w:left="1" w:leftChars="-95" w:hanging="20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83" w:type="dxa"/>
            <w:vAlign w:val="center"/>
          </w:tcPr>
          <w:p w14:paraId="27B9758C">
            <w:pPr>
              <w:spacing w:line="240" w:lineRule="auto"/>
              <w:ind w:firstLine="420"/>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369"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175" w:type="dxa"/>
            <w:vAlign w:val="center"/>
          </w:tcPr>
          <w:p w14:paraId="75BCFFEC">
            <w:pPr>
              <w:spacing w:line="240" w:lineRule="auto"/>
              <w:jc w:val="center"/>
              <w:rPr>
                <w:rFonts w:hint="eastAsia" w:ascii="仿宋_GB2312" w:hAnsi="宋体" w:eastAsia="仿宋_GB2312" w:cs="宋体"/>
                <w:kern w:val="0"/>
                <w:lang w:val="en-US" w:eastAsia="zh-CN"/>
              </w:rPr>
            </w:pPr>
          </w:p>
        </w:tc>
        <w:tc>
          <w:tcPr>
            <w:tcW w:w="1088" w:type="dxa"/>
            <w:vAlign w:val="center"/>
          </w:tcPr>
          <w:p w14:paraId="77BC489E">
            <w:pPr>
              <w:spacing w:line="240" w:lineRule="auto"/>
              <w:jc w:val="center"/>
              <w:rPr>
                <w:rFonts w:hint="eastAsia" w:ascii="仿宋_GB2312" w:hAnsi="宋体" w:eastAsia="仿宋_GB2312" w:cs="宋体"/>
                <w:kern w:val="0"/>
                <w:lang w:val="en-US" w:eastAsia="zh-CN"/>
              </w:rPr>
            </w:pPr>
          </w:p>
        </w:tc>
        <w:tc>
          <w:tcPr>
            <w:tcW w:w="1237" w:type="dxa"/>
            <w:vAlign w:val="center"/>
          </w:tcPr>
          <w:p w14:paraId="7115F4A5">
            <w:pPr>
              <w:spacing w:line="240" w:lineRule="auto"/>
              <w:ind w:firstLine="420"/>
              <w:jc w:val="center"/>
              <w:rPr>
                <w:rFonts w:ascii="仿宋_GB2312" w:hAnsi="宋体" w:eastAsia="仿宋_GB2312" w:cs="宋体"/>
                <w:kern w:val="0"/>
              </w:rPr>
            </w:pPr>
          </w:p>
        </w:tc>
        <w:tc>
          <w:tcPr>
            <w:tcW w:w="588" w:type="dxa"/>
            <w:vAlign w:val="center"/>
          </w:tcPr>
          <w:p w14:paraId="063BB88A">
            <w:pPr>
              <w:spacing w:line="240" w:lineRule="auto"/>
              <w:ind w:left="1" w:leftChars="-95" w:hanging="200" w:firstLineChars="0"/>
              <w:jc w:val="center"/>
              <w:rPr>
                <w:rFonts w:hint="eastAsia" w:ascii="仿宋_GB2312" w:hAnsi="宋体" w:eastAsia="仿宋_GB2312" w:cs="宋体"/>
                <w:kern w:val="0"/>
                <w:lang w:val="en-US" w:eastAsia="zh-CN"/>
              </w:rPr>
            </w:pPr>
          </w:p>
        </w:tc>
        <w:tc>
          <w:tcPr>
            <w:tcW w:w="737" w:type="dxa"/>
            <w:vAlign w:val="center"/>
          </w:tcPr>
          <w:p w14:paraId="24930744">
            <w:pPr>
              <w:spacing w:line="240" w:lineRule="auto"/>
              <w:ind w:left="1" w:leftChars="-95" w:hanging="200" w:firstLineChars="0"/>
              <w:jc w:val="center"/>
              <w:rPr>
                <w:rFonts w:hint="eastAsia" w:ascii="仿宋_GB2312" w:hAnsi="宋体" w:eastAsia="仿宋_GB2312" w:cs="宋体"/>
                <w:kern w:val="0"/>
                <w:lang w:val="en-US" w:eastAsia="zh-CN"/>
              </w:rPr>
            </w:pPr>
          </w:p>
        </w:tc>
        <w:tc>
          <w:tcPr>
            <w:tcW w:w="12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369"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175" w:type="dxa"/>
            <w:vAlign w:val="center"/>
          </w:tcPr>
          <w:p w14:paraId="467C3540">
            <w:pPr>
              <w:spacing w:line="240" w:lineRule="auto"/>
              <w:jc w:val="center"/>
              <w:rPr>
                <w:rFonts w:hint="eastAsia" w:ascii="仿宋_GB2312" w:hAnsi="宋体" w:eastAsia="仿宋_GB2312" w:cs="宋体"/>
                <w:kern w:val="0"/>
                <w:lang w:val="en-US" w:eastAsia="zh-CN"/>
              </w:rPr>
            </w:pPr>
          </w:p>
        </w:tc>
        <w:tc>
          <w:tcPr>
            <w:tcW w:w="1088" w:type="dxa"/>
            <w:vAlign w:val="center"/>
          </w:tcPr>
          <w:p w14:paraId="286C2197">
            <w:pPr>
              <w:spacing w:line="240" w:lineRule="auto"/>
              <w:jc w:val="center"/>
              <w:rPr>
                <w:rFonts w:hint="eastAsia" w:ascii="仿宋_GB2312" w:hAnsi="宋体" w:eastAsia="仿宋_GB2312" w:cs="宋体"/>
                <w:kern w:val="0"/>
                <w:lang w:val="en-US" w:eastAsia="zh-CN"/>
              </w:rPr>
            </w:pPr>
          </w:p>
        </w:tc>
        <w:tc>
          <w:tcPr>
            <w:tcW w:w="1237" w:type="dxa"/>
            <w:vAlign w:val="center"/>
          </w:tcPr>
          <w:p w14:paraId="4CA75DEB">
            <w:pPr>
              <w:spacing w:line="240" w:lineRule="auto"/>
              <w:ind w:firstLine="420"/>
              <w:jc w:val="center"/>
              <w:rPr>
                <w:rFonts w:ascii="仿宋_GB2312" w:hAnsi="宋体" w:eastAsia="仿宋_GB2312" w:cs="宋体"/>
                <w:kern w:val="0"/>
              </w:rPr>
            </w:pPr>
          </w:p>
        </w:tc>
        <w:tc>
          <w:tcPr>
            <w:tcW w:w="588" w:type="dxa"/>
            <w:vAlign w:val="center"/>
          </w:tcPr>
          <w:p w14:paraId="491BA994">
            <w:pPr>
              <w:spacing w:line="240" w:lineRule="auto"/>
              <w:ind w:left="1" w:leftChars="-95" w:hanging="200" w:firstLineChars="0"/>
              <w:jc w:val="center"/>
              <w:rPr>
                <w:rFonts w:hint="eastAsia" w:ascii="仿宋_GB2312" w:hAnsi="宋体" w:eastAsia="仿宋_GB2312" w:cs="宋体"/>
                <w:kern w:val="0"/>
                <w:lang w:val="en-US" w:eastAsia="zh-CN"/>
              </w:rPr>
            </w:pPr>
          </w:p>
        </w:tc>
        <w:tc>
          <w:tcPr>
            <w:tcW w:w="737" w:type="dxa"/>
            <w:vAlign w:val="center"/>
          </w:tcPr>
          <w:p w14:paraId="1BF7EB9C">
            <w:pPr>
              <w:spacing w:line="240" w:lineRule="auto"/>
              <w:ind w:left="1" w:leftChars="-95" w:hanging="200" w:firstLineChars="0"/>
              <w:jc w:val="center"/>
              <w:rPr>
                <w:rFonts w:hint="eastAsia" w:ascii="仿宋_GB2312" w:hAnsi="宋体" w:eastAsia="仿宋_GB2312" w:cs="宋体"/>
                <w:kern w:val="0"/>
                <w:lang w:val="en-US" w:eastAsia="zh-CN"/>
              </w:rPr>
            </w:pPr>
          </w:p>
        </w:tc>
        <w:tc>
          <w:tcPr>
            <w:tcW w:w="1283" w:type="dxa"/>
            <w:vAlign w:val="center"/>
          </w:tcPr>
          <w:p w14:paraId="5E0A44CC">
            <w:pPr>
              <w:spacing w:line="240" w:lineRule="auto"/>
              <w:ind w:firstLine="42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369"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175" w:type="dxa"/>
            <w:vAlign w:val="center"/>
          </w:tcPr>
          <w:p w14:paraId="03E0B683">
            <w:pPr>
              <w:spacing w:line="240" w:lineRule="auto"/>
              <w:jc w:val="center"/>
              <w:rPr>
                <w:rFonts w:hint="eastAsia" w:ascii="仿宋_GB2312" w:hAnsi="宋体" w:eastAsia="仿宋_GB2312" w:cs="宋体"/>
                <w:kern w:val="0"/>
                <w:lang w:val="en-US" w:eastAsia="zh-CN"/>
              </w:rPr>
            </w:pPr>
          </w:p>
        </w:tc>
        <w:tc>
          <w:tcPr>
            <w:tcW w:w="1088" w:type="dxa"/>
            <w:vAlign w:val="center"/>
          </w:tcPr>
          <w:p w14:paraId="284DAE29">
            <w:pPr>
              <w:spacing w:line="240" w:lineRule="auto"/>
              <w:jc w:val="center"/>
              <w:rPr>
                <w:rFonts w:hint="eastAsia" w:ascii="仿宋_GB2312" w:hAnsi="宋体" w:eastAsia="仿宋_GB2312" w:cs="宋体"/>
                <w:kern w:val="0"/>
                <w:lang w:val="en-US" w:eastAsia="zh-CN"/>
              </w:rPr>
            </w:pPr>
          </w:p>
        </w:tc>
        <w:tc>
          <w:tcPr>
            <w:tcW w:w="1237" w:type="dxa"/>
            <w:vAlign w:val="center"/>
          </w:tcPr>
          <w:p w14:paraId="3E80B33A">
            <w:pPr>
              <w:spacing w:line="240" w:lineRule="auto"/>
              <w:ind w:firstLine="420"/>
              <w:jc w:val="center"/>
              <w:rPr>
                <w:rFonts w:ascii="仿宋_GB2312" w:hAnsi="宋体" w:eastAsia="仿宋_GB2312" w:cs="宋体"/>
                <w:kern w:val="0"/>
              </w:rPr>
            </w:pPr>
          </w:p>
        </w:tc>
        <w:tc>
          <w:tcPr>
            <w:tcW w:w="588" w:type="dxa"/>
            <w:vAlign w:val="center"/>
          </w:tcPr>
          <w:p w14:paraId="5B45A609">
            <w:pPr>
              <w:spacing w:line="240" w:lineRule="auto"/>
              <w:ind w:left="1" w:leftChars="-95" w:hanging="200" w:firstLineChars="0"/>
              <w:jc w:val="center"/>
              <w:rPr>
                <w:rFonts w:hint="eastAsia" w:ascii="仿宋_GB2312" w:hAnsi="宋体" w:eastAsia="仿宋_GB2312" w:cs="宋体"/>
                <w:kern w:val="0"/>
                <w:lang w:val="en-US" w:eastAsia="zh-CN"/>
              </w:rPr>
            </w:pPr>
          </w:p>
        </w:tc>
        <w:tc>
          <w:tcPr>
            <w:tcW w:w="737" w:type="dxa"/>
            <w:vAlign w:val="center"/>
          </w:tcPr>
          <w:p w14:paraId="5506B9DE">
            <w:pPr>
              <w:spacing w:line="240" w:lineRule="auto"/>
              <w:ind w:left="1" w:leftChars="-95" w:hanging="200" w:firstLineChars="0"/>
              <w:jc w:val="center"/>
              <w:rPr>
                <w:rFonts w:hint="eastAsia" w:ascii="仿宋_GB2312" w:hAnsi="宋体" w:eastAsia="仿宋_GB2312" w:cs="宋体"/>
                <w:kern w:val="0"/>
                <w:lang w:val="en-US" w:eastAsia="zh-CN"/>
              </w:rPr>
            </w:pPr>
          </w:p>
        </w:tc>
        <w:tc>
          <w:tcPr>
            <w:tcW w:w="12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369"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175" w:type="dxa"/>
            <w:vAlign w:val="center"/>
          </w:tcPr>
          <w:p w14:paraId="1BFEC1E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设计使用年限</w:t>
            </w:r>
          </w:p>
        </w:tc>
        <w:tc>
          <w:tcPr>
            <w:tcW w:w="1088" w:type="dxa"/>
            <w:vAlign w:val="center"/>
          </w:tcPr>
          <w:p w14:paraId="48F3A1C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15年</w:t>
            </w:r>
          </w:p>
        </w:tc>
        <w:tc>
          <w:tcPr>
            <w:tcW w:w="1237" w:type="dxa"/>
            <w:vAlign w:val="center"/>
          </w:tcPr>
          <w:p w14:paraId="596F13D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15年</w:t>
            </w:r>
          </w:p>
        </w:tc>
        <w:tc>
          <w:tcPr>
            <w:tcW w:w="588" w:type="dxa"/>
            <w:vAlign w:val="center"/>
          </w:tcPr>
          <w:p w14:paraId="49A57C7B">
            <w:pPr>
              <w:spacing w:line="240" w:lineRule="auto"/>
              <w:ind w:left="1" w:leftChars="-95" w:hanging="20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37" w:type="dxa"/>
            <w:vAlign w:val="center"/>
          </w:tcPr>
          <w:p w14:paraId="044D5C88">
            <w:pPr>
              <w:spacing w:line="240" w:lineRule="auto"/>
              <w:ind w:left="1" w:leftChars="-95" w:hanging="20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83" w:type="dxa"/>
            <w:vAlign w:val="center"/>
          </w:tcPr>
          <w:p w14:paraId="2463F4C6">
            <w:pPr>
              <w:spacing w:line="240" w:lineRule="auto"/>
              <w:ind w:firstLine="420"/>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369"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175" w:type="dxa"/>
            <w:vAlign w:val="center"/>
          </w:tcPr>
          <w:p w14:paraId="1072249E">
            <w:pPr>
              <w:spacing w:line="240" w:lineRule="auto"/>
              <w:jc w:val="center"/>
              <w:rPr>
                <w:rFonts w:hint="eastAsia" w:ascii="仿宋_GB2312" w:hAnsi="宋体" w:eastAsia="仿宋_GB2312" w:cs="宋体"/>
                <w:kern w:val="0"/>
                <w:lang w:val="en-US" w:eastAsia="zh-CN"/>
              </w:rPr>
            </w:pPr>
          </w:p>
        </w:tc>
        <w:tc>
          <w:tcPr>
            <w:tcW w:w="1088" w:type="dxa"/>
            <w:vAlign w:val="center"/>
          </w:tcPr>
          <w:p w14:paraId="6FDEFD75">
            <w:pPr>
              <w:spacing w:line="240" w:lineRule="auto"/>
              <w:jc w:val="center"/>
              <w:rPr>
                <w:rFonts w:hint="eastAsia" w:ascii="仿宋_GB2312" w:hAnsi="宋体" w:eastAsia="仿宋_GB2312" w:cs="宋体"/>
                <w:kern w:val="0"/>
                <w:lang w:val="en-US" w:eastAsia="zh-CN"/>
              </w:rPr>
            </w:pPr>
          </w:p>
        </w:tc>
        <w:tc>
          <w:tcPr>
            <w:tcW w:w="1237" w:type="dxa"/>
            <w:vAlign w:val="center"/>
          </w:tcPr>
          <w:p w14:paraId="080101B6">
            <w:pPr>
              <w:spacing w:line="240" w:lineRule="auto"/>
              <w:ind w:firstLine="420"/>
              <w:jc w:val="center"/>
              <w:rPr>
                <w:rFonts w:ascii="仿宋_GB2312" w:hAnsi="宋体" w:eastAsia="仿宋_GB2312" w:cs="宋体"/>
                <w:kern w:val="0"/>
              </w:rPr>
            </w:pPr>
          </w:p>
        </w:tc>
        <w:tc>
          <w:tcPr>
            <w:tcW w:w="588" w:type="dxa"/>
            <w:vAlign w:val="center"/>
          </w:tcPr>
          <w:p w14:paraId="08424C68">
            <w:pPr>
              <w:spacing w:line="240" w:lineRule="auto"/>
              <w:ind w:left="1" w:leftChars="-95" w:hanging="200" w:firstLineChars="0"/>
              <w:jc w:val="center"/>
              <w:rPr>
                <w:rFonts w:hint="eastAsia" w:ascii="仿宋_GB2312" w:hAnsi="宋体" w:eastAsia="仿宋_GB2312" w:cs="宋体"/>
                <w:kern w:val="0"/>
                <w:lang w:val="en-US" w:eastAsia="zh-CN"/>
              </w:rPr>
            </w:pPr>
          </w:p>
        </w:tc>
        <w:tc>
          <w:tcPr>
            <w:tcW w:w="737" w:type="dxa"/>
            <w:vAlign w:val="center"/>
          </w:tcPr>
          <w:p w14:paraId="20F78EF3">
            <w:pPr>
              <w:spacing w:line="240" w:lineRule="auto"/>
              <w:ind w:left="1" w:leftChars="-95" w:hanging="200" w:firstLineChars="0"/>
              <w:jc w:val="center"/>
              <w:rPr>
                <w:rFonts w:hint="eastAsia" w:ascii="仿宋_GB2312" w:hAnsi="宋体" w:eastAsia="仿宋_GB2312" w:cs="宋体"/>
                <w:kern w:val="0"/>
                <w:lang w:val="en-US" w:eastAsia="zh-CN"/>
              </w:rPr>
            </w:pPr>
          </w:p>
        </w:tc>
        <w:tc>
          <w:tcPr>
            <w:tcW w:w="12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369"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175" w:type="dxa"/>
            <w:vAlign w:val="center"/>
          </w:tcPr>
          <w:p w14:paraId="4471F21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群众满意度</w:t>
            </w:r>
          </w:p>
        </w:tc>
        <w:tc>
          <w:tcPr>
            <w:tcW w:w="1088" w:type="dxa"/>
            <w:vAlign w:val="center"/>
          </w:tcPr>
          <w:p w14:paraId="10DB725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237" w:type="dxa"/>
            <w:vAlign w:val="center"/>
          </w:tcPr>
          <w:p w14:paraId="65FCC67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588" w:type="dxa"/>
            <w:vAlign w:val="center"/>
          </w:tcPr>
          <w:p w14:paraId="29FD5B5F">
            <w:pPr>
              <w:spacing w:line="240" w:lineRule="auto"/>
              <w:ind w:left="1" w:leftChars="-95" w:hanging="20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37" w:type="dxa"/>
            <w:vAlign w:val="center"/>
          </w:tcPr>
          <w:p w14:paraId="57CE9A58">
            <w:pPr>
              <w:spacing w:line="240" w:lineRule="auto"/>
              <w:ind w:left="1" w:leftChars="-95" w:hanging="20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283" w:type="dxa"/>
            <w:vAlign w:val="center"/>
          </w:tcPr>
          <w:p w14:paraId="5D355892">
            <w:pPr>
              <w:spacing w:line="240" w:lineRule="auto"/>
              <w:ind w:firstLine="420"/>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369"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175" w:type="dxa"/>
            <w:vAlign w:val="center"/>
          </w:tcPr>
          <w:p w14:paraId="1703DA95">
            <w:pPr>
              <w:spacing w:line="240" w:lineRule="auto"/>
              <w:jc w:val="center"/>
              <w:rPr>
                <w:rFonts w:hint="eastAsia" w:ascii="仿宋_GB2312" w:hAnsi="宋体" w:eastAsia="仿宋_GB2312" w:cs="宋体"/>
                <w:kern w:val="0"/>
                <w:lang w:val="en-US" w:eastAsia="zh-CN"/>
              </w:rPr>
            </w:pPr>
          </w:p>
        </w:tc>
        <w:tc>
          <w:tcPr>
            <w:tcW w:w="1088" w:type="dxa"/>
            <w:vAlign w:val="center"/>
          </w:tcPr>
          <w:p w14:paraId="1AF12BF9">
            <w:pPr>
              <w:spacing w:line="240" w:lineRule="auto"/>
              <w:jc w:val="center"/>
              <w:rPr>
                <w:rFonts w:hint="eastAsia" w:ascii="仿宋_GB2312" w:hAnsi="宋体" w:eastAsia="仿宋_GB2312" w:cs="宋体"/>
                <w:kern w:val="0"/>
                <w:lang w:val="en-US" w:eastAsia="zh-CN"/>
              </w:rPr>
            </w:pPr>
          </w:p>
        </w:tc>
        <w:tc>
          <w:tcPr>
            <w:tcW w:w="1237" w:type="dxa"/>
            <w:vAlign w:val="center"/>
          </w:tcPr>
          <w:p w14:paraId="17728D02">
            <w:pPr>
              <w:spacing w:line="240" w:lineRule="auto"/>
              <w:ind w:firstLine="420"/>
              <w:jc w:val="center"/>
              <w:rPr>
                <w:rFonts w:ascii="仿宋_GB2312" w:hAnsi="宋体" w:eastAsia="仿宋_GB2312" w:cs="宋体"/>
                <w:kern w:val="0"/>
              </w:rPr>
            </w:pPr>
          </w:p>
        </w:tc>
        <w:tc>
          <w:tcPr>
            <w:tcW w:w="588" w:type="dxa"/>
            <w:vAlign w:val="center"/>
          </w:tcPr>
          <w:p w14:paraId="444A0622">
            <w:pPr>
              <w:spacing w:line="240" w:lineRule="auto"/>
              <w:ind w:left="1" w:leftChars="-95" w:hanging="200" w:firstLineChars="0"/>
              <w:jc w:val="center"/>
              <w:rPr>
                <w:rFonts w:hint="eastAsia" w:ascii="仿宋_GB2312" w:hAnsi="宋体" w:eastAsia="仿宋_GB2312" w:cs="宋体"/>
                <w:kern w:val="0"/>
                <w:lang w:val="en-US" w:eastAsia="zh-CN"/>
              </w:rPr>
            </w:pPr>
          </w:p>
        </w:tc>
        <w:tc>
          <w:tcPr>
            <w:tcW w:w="737" w:type="dxa"/>
            <w:vAlign w:val="center"/>
          </w:tcPr>
          <w:p w14:paraId="371E2947">
            <w:pPr>
              <w:spacing w:line="240" w:lineRule="auto"/>
              <w:ind w:left="1" w:leftChars="-95" w:hanging="200" w:firstLineChars="0"/>
              <w:jc w:val="center"/>
              <w:rPr>
                <w:rFonts w:hint="eastAsia" w:ascii="仿宋_GB2312" w:hAnsi="宋体" w:eastAsia="仿宋_GB2312" w:cs="宋体"/>
                <w:kern w:val="0"/>
                <w:lang w:val="en-US" w:eastAsia="zh-CN"/>
              </w:rPr>
            </w:pPr>
          </w:p>
        </w:tc>
        <w:tc>
          <w:tcPr>
            <w:tcW w:w="12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369"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175" w:type="dxa"/>
            <w:vAlign w:val="center"/>
          </w:tcPr>
          <w:p w14:paraId="78B84DF9">
            <w:pPr>
              <w:spacing w:line="240" w:lineRule="auto"/>
              <w:jc w:val="center"/>
              <w:rPr>
                <w:rFonts w:hint="eastAsia" w:ascii="仿宋_GB2312" w:hAnsi="宋体" w:eastAsia="仿宋_GB2312" w:cs="宋体"/>
                <w:kern w:val="0"/>
                <w:lang w:val="en-US" w:eastAsia="zh-CN"/>
              </w:rPr>
            </w:pPr>
          </w:p>
        </w:tc>
        <w:tc>
          <w:tcPr>
            <w:tcW w:w="1088" w:type="dxa"/>
            <w:vAlign w:val="center"/>
          </w:tcPr>
          <w:p w14:paraId="5E84FB58">
            <w:pPr>
              <w:spacing w:line="240" w:lineRule="auto"/>
              <w:jc w:val="center"/>
              <w:rPr>
                <w:rFonts w:hint="eastAsia" w:ascii="仿宋_GB2312" w:hAnsi="宋体" w:eastAsia="仿宋_GB2312" w:cs="宋体"/>
                <w:kern w:val="0"/>
                <w:lang w:val="en-US" w:eastAsia="zh-CN"/>
              </w:rPr>
            </w:pPr>
          </w:p>
        </w:tc>
        <w:tc>
          <w:tcPr>
            <w:tcW w:w="1237" w:type="dxa"/>
            <w:vAlign w:val="center"/>
          </w:tcPr>
          <w:p w14:paraId="27CE5650">
            <w:pPr>
              <w:spacing w:line="240" w:lineRule="auto"/>
              <w:ind w:firstLine="420"/>
              <w:jc w:val="center"/>
              <w:rPr>
                <w:rFonts w:ascii="仿宋_GB2312" w:hAnsi="宋体" w:eastAsia="仿宋_GB2312" w:cs="宋体"/>
                <w:kern w:val="0"/>
              </w:rPr>
            </w:pPr>
          </w:p>
        </w:tc>
        <w:tc>
          <w:tcPr>
            <w:tcW w:w="588" w:type="dxa"/>
            <w:vAlign w:val="center"/>
          </w:tcPr>
          <w:p w14:paraId="78CED8C4">
            <w:pPr>
              <w:spacing w:line="240" w:lineRule="auto"/>
              <w:ind w:left="1" w:leftChars="-95" w:hanging="200" w:firstLineChars="0"/>
              <w:jc w:val="center"/>
              <w:rPr>
                <w:rFonts w:hint="eastAsia" w:ascii="仿宋_GB2312" w:hAnsi="宋体" w:eastAsia="仿宋_GB2312" w:cs="宋体"/>
                <w:kern w:val="0"/>
                <w:lang w:val="en-US" w:eastAsia="zh-CN"/>
              </w:rPr>
            </w:pPr>
          </w:p>
        </w:tc>
        <w:tc>
          <w:tcPr>
            <w:tcW w:w="737" w:type="dxa"/>
            <w:vAlign w:val="center"/>
          </w:tcPr>
          <w:p w14:paraId="7ED607E5">
            <w:pPr>
              <w:spacing w:line="240" w:lineRule="auto"/>
              <w:ind w:left="1" w:leftChars="-95" w:hanging="200" w:firstLineChars="0"/>
              <w:jc w:val="center"/>
              <w:rPr>
                <w:rFonts w:hint="eastAsia" w:ascii="仿宋_GB2312" w:hAnsi="宋体" w:eastAsia="仿宋_GB2312" w:cs="宋体"/>
                <w:kern w:val="0"/>
                <w:lang w:val="en-US" w:eastAsia="zh-CN"/>
              </w:rPr>
            </w:pPr>
          </w:p>
        </w:tc>
        <w:tc>
          <w:tcPr>
            <w:tcW w:w="12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369"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175" w:type="dxa"/>
            <w:vAlign w:val="center"/>
          </w:tcPr>
          <w:p w14:paraId="2D05014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专项资金</w:t>
            </w:r>
          </w:p>
        </w:tc>
        <w:tc>
          <w:tcPr>
            <w:tcW w:w="1088" w:type="dxa"/>
            <w:vAlign w:val="center"/>
          </w:tcPr>
          <w:p w14:paraId="7D8FEFD1">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50万元</w:t>
            </w:r>
          </w:p>
        </w:tc>
        <w:tc>
          <w:tcPr>
            <w:tcW w:w="1237" w:type="dxa"/>
            <w:vAlign w:val="center"/>
          </w:tcPr>
          <w:p w14:paraId="729BFD5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50万元</w:t>
            </w:r>
          </w:p>
        </w:tc>
        <w:tc>
          <w:tcPr>
            <w:tcW w:w="588" w:type="dxa"/>
            <w:vAlign w:val="center"/>
          </w:tcPr>
          <w:p w14:paraId="43443E17">
            <w:pPr>
              <w:spacing w:line="240" w:lineRule="auto"/>
              <w:ind w:left="1" w:leftChars="-95" w:hanging="20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37" w:type="dxa"/>
            <w:vAlign w:val="center"/>
          </w:tcPr>
          <w:p w14:paraId="1005FDF9">
            <w:pPr>
              <w:spacing w:line="240" w:lineRule="auto"/>
              <w:ind w:left="1" w:leftChars="-95" w:hanging="20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369"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175" w:type="dxa"/>
            <w:vAlign w:val="center"/>
          </w:tcPr>
          <w:p w14:paraId="61DC1F6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自筹资金</w:t>
            </w:r>
          </w:p>
        </w:tc>
        <w:tc>
          <w:tcPr>
            <w:tcW w:w="1088" w:type="dxa"/>
            <w:vAlign w:val="center"/>
          </w:tcPr>
          <w:p w14:paraId="515A677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7.1万元</w:t>
            </w:r>
          </w:p>
        </w:tc>
        <w:tc>
          <w:tcPr>
            <w:tcW w:w="1237" w:type="dxa"/>
            <w:vAlign w:val="center"/>
          </w:tcPr>
          <w:p w14:paraId="79BCBEC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7.1万元</w:t>
            </w:r>
          </w:p>
        </w:tc>
        <w:tc>
          <w:tcPr>
            <w:tcW w:w="588" w:type="dxa"/>
            <w:vAlign w:val="center"/>
          </w:tcPr>
          <w:p w14:paraId="7CB491CD">
            <w:pPr>
              <w:spacing w:line="240" w:lineRule="auto"/>
              <w:ind w:left="1" w:leftChars="-95" w:hanging="20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737" w:type="dxa"/>
            <w:vAlign w:val="center"/>
          </w:tcPr>
          <w:p w14:paraId="7D797644">
            <w:pPr>
              <w:spacing w:line="240" w:lineRule="auto"/>
              <w:ind w:left="1" w:leftChars="-95" w:hanging="20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2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369"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175" w:type="dxa"/>
            <w:vAlign w:val="center"/>
          </w:tcPr>
          <w:p w14:paraId="2C28E6A5">
            <w:pPr>
              <w:spacing w:line="240" w:lineRule="auto"/>
              <w:jc w:val="center"/>
              <w:rPr>
                <w:rFonts w:hint="eastAsia" w:ascii="仿宋_GB2312" w:hAnsi="宋体" w:eastAsia="仿宋_GB2312" w:cs="宋体"/>
                <w:kern w:val="0"/>
                <w:lang w:val="en-US" w:eastAsia="zh-CN"/>
              </w:rPr>
            </w:pPr>
          </w:p>
        </w:tc>
        <w:tc>
          <w:tcPr>
            <w:tcW w:w="1088" w:type="dxa"/>
            <w:vAlign w:val="center"/>
          </w:tcPr>
          <w:p w14:paraId="52AC4F9E">
            <w:pPr>
              <w:spacing w:line="240" w:lineRule="auto"/>
              <w:jc w:val="center"/>
              <w:rPr>
                <w:rFonts w:hint="eastAsia" w:ascii="仿宋_GB2312" w:hAnsi="宋体" w:eastAsia="仿宋_GB2312" w:cs="宋体"/>
                <w:kern w:val="0"/>
                <w:lang w:val="en-US" w:eastAsia="zh-CN"/>
              </w:rPr>
            </w:pPr>
          </w:p>
        </w:tc>
        <w:tc>
          <w:tcPr>
            <w:tcW w:w="1237" w:type="dxa"/>
            <w:vAlign w:val="center"/>
          </w:tcPr>
          <w:p w14:paraId="0867BB9D">
            <w:pPr>
              <w:spacing w:line="240" w:lineRule="auto"/>
              <w:ind w:firstLine="420"/>
              <w:jc w:val="center"/>
              <w:rPr>
                <w:rFonts w:ascii="仿宋_GB2312" w:hAnsi="宋体" w:eastAsia="仿宋_GB2312" w:cs="宋体"/>
                <w:kern w:val="0"/>
              </w:rPr>
            </w:pPr>
          </w:p>
        </w:tc>
        <w:tc>
          <w:tcPr>
            <w:tcW w:w="588" w:type="dxa"/>
            <w:vAlign w:val="center"/>
          </w:tcPr>
          <w:p w14:paraId="640DCB80">
            <w:pPr>
              <w:spacing w:line="240" w:lineRule="auto"/>
              <w:ind w:left="1" w:leftChars="-95" w:hanging="200" w:firstLineChars="0"/>
              <w:jc w:val="center"/>
              <w:rPr>
                <w:rFonts w:hint="eastAsia" w:ascii="仿宋_GB2312" w:hAnsi="宋体" w:eastAsia="仿宋_GB2312" w:cs="宋体"/>
                <w:kern w:val="0"/>
                <w:lang w:val="en-US" w:eastAsia="zh-CN"/>
              </w:rPr>
            </w:pPr>
          </w:p>
        </w:tc>
        <w:tc>
          <w:tcPr>
            <w:tcW w:w="737" w:type="dxa"/>
            <w:vAlign w:val="center"/>
          </w:tcPr>
          <w:p w14:paraId="03C9828A">
            <w:pPr>
              <w:spacing w:line="240" w:lineRule="auto"/>
              <w:ind w:left="1" w:leftChars="-95" w:hanging="200" w:firstLineChars="0"/>
              <w:jc w:val="center"/>
              <w:rPr>
                <w:rFonts w:hint="eastAsia" w:ascii="仿宋_GB2312" w:hAnsi="宋体" w:eastAsia="仿宋_GB2312" w:cs="宋体"/>
                <w:kern w:val="0"/>
                <w:lang w:val="en-US" w:eastAsia="zh-CN"/>
              </w:rPr>
            </w:pPr>
          </w:p>
        </w:tc>
        <w:tc>
          <w:tcPr>
            <w:tcW w:w="12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jc w:val="center"/>
        </w:trPr>
        <w:tc>
          <w:tcPr>
            <w:tcW w:w="6982"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588"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737" w:type="dxa"/>
            <w:vAlign w:val="center"/>
          </w:tcPr>
          <w:p w14:paraId="3FD2854A">
            <w:pPr>
              <w:spacing w:line="240" w:lineRule="auto"/>
              <w:ind w:left="1" w:leftChars="-95" w:hanging="20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283" w:type="dxa"/>
            <w:vAlign w:val="center"/>
          </w:tcPr>
          <w:p w14:paraId="643C41F8">
            <w:pPr>
              <w:spacing w:line="240" w:lineRule="auto"/>
              <w:ind w:left="1" w:leftChars="-95" w:hanging="200" w:firstLineChars="0"/>
              <w:jc w:val="center"/>
              <w:rPr>
                <w:rFonts w:hint="eastAsia" w:ascii="仿宋_GB2312" w:hAnsi="宋体" w:eastAsia="仿宋_GB2312" w:cs="宋体"/>
                <w:kern w:val="0"/>
                <w:lang w:val="en-US" w:eastAsia="zh-CN"/>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58F3A3E4">
      <w:pPr>
        <w:rPr>
          <w:rFonts w:ascii="仿宋_GB2312" w:hAnsi="宋体" w:eastAsia="仿宋_GB2312" w:cs="宋体"/>
          <w:lang w:eastAsia="zh-CN"/>
        </w:rPr>
        <w:sectPr>
          <w:footerReference r:id="rId7" w:type="default"/>
          <w:pgSz w:w="11907" w:h="16839"/>
          <w:pgMar w:top="691" w:right="1474" w:bottom="1028"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sz w:val="44"/>
          <w:szCs w:val="44"/>
          <w:lang w:eastAsia="zh-CN"/>
        </w:rPr>
        <w:t>罗江镇人民政府</w:t>
      </w:r>
      <w:r>
        <w:rPr>
          <w:rFonts w:hint="eastAsia" w:ascii="方正小标宋简体" w:hAnsi="宋体" w:eastAsia="方正小标宋简体" w:cs="宋体"/>
          <w:kern w:val="0"/>
          <w:sz w:val="44"/>
          <w:szCs w:val="44"/>
          <w:lang w:eastAsia="zh-CN"/>
        </w:rPr>
        <w:t>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部门(单位)名称：罗江镇人民政府</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月 </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4"/>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年度</w:t>
      </w:r>
      <w:r>
        <w:rPr>
          <w:rFonts w:hint="eastAsia" w:ascii="黑体" w:hAnsi="黑体" w:eastAsia="黑体" w:cs="黑体"/>
          <w:spacing w:val="-60"/>
          <w:sz w:val="40"/>
          <w:szCs w:val="40"/>
          <w:lang w:eastAsia="zh-CN"/>
        </w:rPr>
        <w:t>罗江镇人民政府</w:t>
      </w:r>
      <w:r>
        <w:rPr>
          <w:rFonts w:ascii="黑体" w:hAnsi="黑体" w:eastAsia="黑体" w:cs="黑体"/>
          <w:spacing w:val="16"/>
          <w:sz w:val="40"/>
          <w:szCs w:val="40"/>
        </w:rPr>
        <w:t>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keepNext w:val="0"/>
        <w:keepLines w:val="0"/>
        <w:pageBreakBefore w:val="0"/>
        <w:numPr>
          <w:ilvl w:val="0"/>
          <w:numId w:val="1"/>
        </w:numPr>
        <w:kinsoku w:val="0"/>
        <w:wordWrap/>
        <w:overflowPunct/>
        <w:topLinePunct w:val="0"/>
        <w:autoSpaceDE w:val="0"/>
        <w:autoSpaceDN w:val="0"/>
        <w:bidi w:val="0"/>
        <w:adjustRightInd w:val="0"/>
        <w:snapToGrid w:val="0"/>
        <w:spacing w:beforeAutospacing="0" w:afterAutospacing="0" w:line="600" w:lineRule="exact"/>
        <w:ind w:left="0" w:leftChars="0"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565D9703">
      <w:pPr>
        <w:keepNext w:val="0"/>
        <w:keepLines w:val="0"/>
        <w:pageBreakBefore w:val="0"/>
        <w:wordWrap/>
        <w:overflowPunct/>
        <w:topLinePunct w:val="0"/>
        <w:bidi w:val="0"/>
        <w:spacing w:beforeAutospacing="0" w:afterAutospacing="0" w:line="600" w:lineRule="exact"/>
        <w:ind w:left="0" w:leftChars="0"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（一）部门概况</w:t>
      </w:r>
    </w:p>
    <w:p w14:paraId="19E434E5">
      <w:pPr>
        <w:keepNext w:val="0"/>
        <w:keepLines w:val="0"/>
        <w:pageBreakBefore w:val="0"/>
        <w:wordWrap/>
        <w:overflowPunct/>
        <w:topLinePunct w:val="0"/>
        <w:bidi w:val="0"/>
        <w:spacing w:beforeAutospacing="0" w:afterAutospacing="0" w:line="600" w:lineRule="exact"/>
        <w:ind w:left="0" w:leftChars="0"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主要职能</w:t>
      </w:r>
    </w:p>
    <w:p w14:paraId="66386CB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10"/>
        <w:jc w:val="both"/>
        <w:textAlignment w:val="auto"/>
        <w:rPr>
          <w:sz w:val="32"/>
          <w:szCs w:val="32"/>
          <w:lang w:eastAsia="zh-CN"/>
        </w:rPr>
      </w:pPr>
      <w:r>
        <w:rPr>
          <w:rFonts w:ascii="仿宋_GB2312" w:hAnsi="仿宋_GB2312" w:eastAsia="仿宋_GB2312" w:cs="仿宋_GB2312"/>
          <w:color w:val="auto"/>
          <w:sz w:val="32"/>
          <w:szCs w:val="32"/>
          <w:lang w:eastAsia="zh-CN"/>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r>
        <w:rPr>
          <w:rFonts w:ascii="仿宋_GB2312" w:hAnsi="仿宋_GB2312" w:eastAsia="仿宋_GB2312" w:cs="仿宋_GB2312"/>
          <w:sz w:val="32"/>
          <w:szCs w:val="32"/>
          <w:lang w:eastAsia="zh-CN"/>
        </w:rPr>
        <w:t>。</w:t>
      </w:r>
    </w:p>
    <w:p w14:paraId="46B24630">
      <w:pPr>
        <w:keepNext w:val="0"/>
        <w:keepLines w:val="0"/>
        <w:pageBreakBefore w:val="0"/>
        <w:wordWrap/>
        <w:overflowPunct/>
        <w:topLinePunct w:val="0"/>
        <w:bidi w:val="0"/>
        <w:spacing w:beforeAutospacing="0" w:afterAutospacing="0" w:line="600" w:lineRule="exact"/>
        <w:ind w:left="0" w:leftChars="0" w:firstLine="643" w:firstLineChars="200"/>
        <w:jc w:val="both"/>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2、人员情况</w:t>
      </w:r>
    </w:p>
    <w:p w14:paraId="3D32FC0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1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年在职人员9</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人，其中行政人员</w:t>
      </w:r>
      <w:r>
        <w:rPr>
          <w:rFonts w:hint="eastAsia" w:ascii="仿宋_GB2312" w:hAnsi="仿宋_GB2312" w:eastAsia="仿宋_GB2312" w:cs="仿宋_GB2312"/>
          <w:color w:val="auto"/>
          <w:sz w:val="32"/>
          <w:szCs w:val="32"/>
          <w:lang w:val="en-US" w:eastAsia="zh-CN"/>
        </w:rPr>
        <w:t>38</w:t>
      </w:r>
      <w:r>
        <w:rPr>
          <w:rFonts w:hint="eastAsia" w:ascii="仿宋_GB2312" w:hAnsi="仿宋_GB2312" w:eastAsia="仿宋_GB2312" w:cs="仿宋_GB2312"/>
          <w:color w:val="auto"/>
          <w:sz w:val="32"/>
          <w:szCs w:val="32"/>
          <w:lang w:eastAsia="zh-CN"/>
        </w:rPr>
        <w:t>人，参公管理人员</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人，事业人员</w:t>
      </w:r>
      <w:r>
        <w:rPr>
          <w:rFonts w:hint="eastAsia" w:ascii="仿宋_GB2312" w:hAnsi="仿宋_GB2312" w:eastAsia="仿宋_GB2312" w:cs="仿宋_GB2312"/>
          <w:color w:val="auto"/>
          <w:sz w:val="32"/>
          <w:szCs w:val="32"/>
          <w:lang w:val="en-US" w:eastAsia="zh-CN"/>
        </w:rPr>
        <w:t>53</w:t>
      </w:r>
      <w:r>
        <w:rPr>
          <w:rFonts w:hint="eastAsia" w:ascii="仿宋_GB2312" w:hAnsi="仿宋_GB2312" w:eastAsia="仿宋_GB2312" w:cs="仿宋_GB2312"/>
          <w:color w:val="auto"/>
          <w:sz w:val="32"/>
          <w:szCs w:val="32"/>
          <w:lang w:eastAsia="zh-CN"/>
        </w:rPr>
        <w:t>人。</w:t>
      </w:r>
    </w:p>
    <w:p w14:paraId="285C2E65">
      <w:pPr>
        <w:keepNext w:val="0"/>
        <w:keepLines w:val="0"/>
        <w:pageBreakBefore w:val="0"/>
        <w:wordWrap/>
        <w:overflowPunct/>
        <w:topLinePunct w:val="0"/>
        <w:bidi w:val="0"/>
        <w:spacing w:beforeAutospacing="0" w:afterAutospacing="0" w:line="600" w:lineRule="exact"/>
        <w:ind w:left="0" w:leftChars="0" w:firstLine="643" w:firstLineChars="200"/>
        <w:jc w:val="both"/>
        <w:rPr>
          <w:rFonts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3、</w:t>
      </w:r>
      <w:r>
        <w:rPr>
          <w:rFonts w:ascii="仿宋_GB2312" w:hAnsi="仿宋_GB2312" w:eastAsia="仿宋_GB2312" w:cs="仿宋_GB2312"/>
          <w:b/>
          <w:bCs/>
          <w:sz w:val="32"/>
          <w:szCs w:val="32"/>
          <w:lang w:eastAsia="zh-CN"/>
        </w:rPr>
        <w:t>机构设置情况</w:t>
      </w:r>
    </w:p>
    <w:p w14:paraId="127B8F4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1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罗江镇人民政府内设机构包括：包含政府机关及5个二级机构，没有独立核算的二级机构。由政府机关、政务服务中心、农业综合服务中心、社会事务综合服务中心、退役军人服务站、综合行政执法大队构成。</w:t>
      </w:r>
    </w:p>
    <w:p w14:paraId="2B641025">
      <w:pPr>
        <w:keepNext w:val="0"/>
        <w:keepLines w:val="0"/>
        <w:pageBreakBefore w:val="0"/>
        <w:wordWrap/>
        <w:overflowPunct/>
        <w:topLinePunct w:val="0"/>
        <w:bidi w:val="0"/>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0EDA390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1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会计法》《预算法》《行政单位财务规则》等法律和财政部及省财政厅有关财务规章的规定，明确了经费审批权限及程序，经费预算管理、财务经费管理、资产购置与处置、财务监督等。针对“三公”经费探索建立公用经费标准定额体系，开展公用经费使用监督和绩效评估，进一步落实厉行节约的各项规定，确保“三公经费”使用合理合规等。上述制度规定基本执行到位。</w:t>
      </w:r>
    </w:p>
    <w:p w14:paraId="5746BC7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1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年决算支出</w:t>
      </w:r>
      <w:r>
        <w:rPr>
          <w:rFonts w:hint="eastAsia" w:ascii="仿宋_GB2312" w:hAnsi="仿宋_GB2312" w:eastAsia="仿宋_GB2312" w:cs="仿宋_GB2312"/>
          <w:color w:val="auto"/>
          <w:sz w:val="32"/>
          <w:szCs w:val="32"/>
          <w:lang w:val="en-US" w:eastAsia="zh-CN"/>
        </w:rPr>
        <w:t>3108.22</w:t>
      </w:r>
      <w:r>
        <w:rPr>
          <w:rFonts w:hint="eastAsia" w:ascii="仿宋_GB2312" w:hAnsi="仿宋_GB2312" w:eastAsia="仿宋_GB2312" w:cs="仿宋_GB2312"/>
          <w:color w:val="auto"/>
          <w:sz w:val="32"/>
          <w:szCs w:val="32"/>
          <w:lang w:eastAsia="zh-CN"/>
        </w:rPr>
        <w:t>万元，其中：基本支出</w:t>
      </w:r>
      <w:r>
        <w:rPr>
          <w:rFonts w:hint="eastAsia" w:ascii="仿宋_GB2312" w:hAnsi="仿宋_GB2312" w:eastAsia="仿宋_GB2312" w:cs="仿宋_GB2312"/>
          <w:color w:val="auto"/>
          <w:sz w:val="32"/>
          <w:szCs w:val="32"/>
          <w:lang w:val="en-US" w:eastAsia="zh-CN"/>
        </w:rPr>
        <w:t>1887.79</w:t>
      </w:r>
      <w:r>
        <w:rPr>
          <w:rFonts w:hint="eastAsia" w:ascii="仿宋_GB2312" w:hAnsi="仿宋_GB2312" w:eastAsia="仿宋_GB2312" w:cs="仿宋_GB2312"/>
          <w:color w:val="auto"/>
          <w:sz w:val="32"/>
          <w:szCs w:val="32"/>
          <w:lang w:eastAsia="zh-CN"/>
        </w:rPr>
        <w:t>万元，项目支出</w:t>
      </w:r>
      <w:r>
        <w:rPr>
          <w:rFonts w:hint="eastAsia" w:ascii="仿宋_GB2312" w:hAnsi="仿宋_GB2312" w:eastAsia="仿宋_GB2312" w:cs="仿宋_GB2312"/>
          <w:color w:val="auto"/>
          <w:sz w:val="32"/>
          <w:szCs w:val="32"/>
          <w:lang w:val="en-US" w:eastAsia="zh-CN"/>
        </w:rPr>
        <w:t>1220.43</w:t>
      </w:r>
      <w:r>
        <w:rPr>
          <w:rFonts w:hint="eastAsia" w:ascii="仿宋_GB2312" w:hAnsi="仿宋_GB2312" w:eastAsia="仿宋_GB2312" w:cs="仿宋_GB2312"/>
          <w:color w:val="auto"/>
          <w:sz w:val="32"/>
          <w:szCs w:val="32"/>
          <w:lang w:eastAsia="zh-CN"/>
        </w:rPr>
        <w:t>万元。</w:t>
      </w:r>
    </w:p>
    <w:p w14:paraId="2B8E5FFE">
      <w:pPr>
        <w:pStyle w:val="11"/>
        <w:numPr>
          <w:ilvl w:val="0"/>
          <w:numId w:val="0"/>
        </w:numPr>
        <w:spacing w:line="600" w:lineRule="exact"/>
        <w:ind w:firstLine="643" w:firstLineChars="200"/>
        <w:jc w:val="both"/>
        <w:rPr>
          <w:rFonts w:hint="eastAsia" w:ascii="Times New Roman" w:hAnsi="Times New Roman" w:eastAsia="仿宋_GB2312"/>
          <w:b/>
          <w:bCs w:val="0"/>
          <w:kern w:val="0"/>
          <w:sz w:val="32"/>
          <w:szCs w:val="32"/>
          <w:lang w:eastAsia="zh-CN"/>
        </w:rPr>
      </w:pPr>
      <w:r>
        <w:rPr>
          <w:rFonts w:hint="eastAsia" w:ascii="Times New Roman" w:hAnsi="Times New Roman" w:eastAsia="楷体_GB2312"/>
          <w:b/>
          <w:bCs w:val="0"/>
          <w:kern w:val="0"/>
          <w:sz w:val="32"/>
          <w:szCs w:val="32"/>
          <w:lang w:val="en-US" w:eastAsia="zh-CN"/>
        </w:rPr>
        <w:t>（一）</w:t>
      </w:r>
      <w:r>
        <w:rPr>
          <w:rFonts w:hint="eastAsia" w:ascii="Times New Roman" w:hAnsi="Times New Roman" w:eastAsia="仿宋_GB2312"/>
          <w:b/>
          <w:bCs w:val="0"/>
          <w:kern w:val="0"/>
          <w:sz w:val="32"/>
          <w:szCs w:val="32"/>
          <w:lang w:eastAsia="zh-CN"/>
        </w:rPr>
        <w:t>基本支出情况</w:t>
      </w:r>
    </w:p>
    <w:p w14:paraId="49E9A9C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1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基本支出用于为保障各部门、机构正常运转、完成日常工作任务而发生的支出，包括人员经费和公用经费。</w:t>
      </w:r>
    </w:p>
    <w:p w14:paraId="3A58946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1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年全年基本支出</w:t>
      </w:r>
      <w:r>
        <w:rPr>
          <w:rFonts w:hint="eastAsia" w:ascii="仿宋_GB2312" w:hAnsi="仿宋_GB2312" w:eastAsia="仿宋_GB2312" w:cs="仿宋_GB2312"/>
          <w:color w:val="auto"/>
          <w:sz w:val="32"/>
          <w:szCs w:val="32"/>
          <w:lang w:val="en-US" w:eastAsia="zh-CN"/>
        </w:rPr>
        <w:t>1887.79</w:t>
      </w:r>
      <w:r>
        <w:rPr>
          <w:rFonts w:hint="eastAsia" w:ascii="仿宋_GB2312" w:hAnsi="仿宋_GB2312" w:eastAsia="仿宋_GB2312" w:cs="仿宋_GB2312"/>
          <w:color w:val="auto"/>
          <w:sz w:val="32"/>
          <w:szCs w:val="32"/>
          <w:lang w:eastAsia="zh-CN"/>
        </w:rPr>
        <w:t>万元，其中人员经费</w:t>
      </w:r>
      <w:r>
        <w:rPr>
          <w:rFonts w:hint="eastAsia" w:ascii="仿宋_GB2312" w:hAnsi="仿宋_GB2312" w:eastAsia="仿宋_GB2312" w:cs="仿宋_GB2312"/>
          <w:color w:val="auto"/>
          <w:sz w:val="32"/>
          <w:szCs w:val="32"/>
          <w:lang w:val="en-US" w:eastAsia="zh-CN"/>
        </w:rPr>
        <w:t>1367.10</w:t>
      </w:r>
      <w:r>
        <w:rPr>
          <w:rFonts w:hint="eastAsia" w:ascii="仿宋_GB2312" w:hAnsi="仿宋_GB2312" w:eastAsia="仿宋_GB2312" w:cs="仿宋_GB2312"/>
          <w:color w:val="auto"/>
          <w:sz w:val="32"/>
          <w:szCs w:val="32"/>
          <w:lang w:eastAsia="zh-CN"/>
        </w:rPr>
        <w:t>万元，公用经费</w:t>
      </w:r>
      <w:r>
        <w:rPr>
          <w:rFonts w:hint="eastAsia" w:ascii="仿宋_GB2312" w:hAnsi="仿宋_GB2312" w:eastAsia="仿宋_GB2312" w:cs="仿宋_GB2312"/>
          <w:color w:val="auto"/>
          <w:sz w:val="32"/>
          <w:szCs w:val="32"/>
          <w:lang w:val="en-US" w:eastAsia="zh-CN"/>
        </w:rPr>
        <w:t>520.69</w:t>
      </w:r>
      <w:r>
        <w:rPr>
          <w:rFonts w:hint="eastAsia" w:ascii="仿宋_GB2312" w:hAnsi="仿宋_GB2312" w:eastAsia="仿宋_GB2312" w:cs="仿宋_GB2312"/>
          <w:color w:val="auto"/>
          <w:sz w:val="32"/>
          <w:szCs w:val="32"/>
          <w:lang w:eastAsia="zh-CN"/>
        </w:rPr>
        <w:t>万元。</w:t>
      </w:r>
    </w:p>
    <w:p w14:paraId="00657FCB">
      <w:pPr>
        <w:pStyle w:val="11"/>
        <w:spacing w:line="600" w:lineRule="exact"/>
        <w:ind w:firstLine="643"/>
        <w:jc w:val="both"/>
        <w:rPr>
          <w:rFonts w:hint="eastAsia" w:ascii="Times New Roman" w:hAnsi="Times New Roman" w:eastAsia="仿宋_GB2312"/>
          <w:b/>
          <w:bCs w:val="0"/>
          <w:kern w:val="0"/>
          <w:sz w:val="32"/>
          <w:szCs w:val="32"/>
          <w:lang w:eastAsia="zh-CN"/>
        </w:rPr>
      </w:pPr>
      <w:r>
        <w:rPr>
          <w:rFonts w:hint="eastAsia" w:ascii="Times New Roman" w:hAnsi="Times New Roman" w:eastAsia="楷体_GB2312"/>
          <w:b/>
          <w:bCs w:val="0"/>
          <w:kern w:val="0"/>
          <w:sz w:val="32"/>
          <w:szCs w:val="32"/>
          <w:lang w:eastAsia="zh-CN"/>
        </w:rPr>
        <w:t>（二）</w:t>
      </w:r>
      <w:r>
        <w:rPr>
          <w:rFonts w:hint="eastAsia" w:ascii="Times New Roman" w:hAnsi="Times New Roman" w:eastAsia="仿宋_GB2312"/>
          <w:b/>
          <w:bCs w:val="0"/>
          <w:kern w:val="0"/>
          <w:sz w:val="32"/>
          <w:szCs w:val="32"/>
          <w:lang w:eastAsia="zh-CN"/>
        </w:rPr>
        <w:t>项目支出情况</w:t>
      </w:r>
    </w:p>
    <w:p w14:paraId="6763FA4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10"/>
        <w:jc w:val="both"/>
        <w:textAlignment w:val="auto"/>
        <w:rPr>
          <w:rFonts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lang w:eastAsia="zh-CN"/>
        </w:rPr>
        <w:t>项目支出是在基本支出之外为完成其特定的工作任务而发生的支出，主要用于专项工作的运转和设备升级等。</w:t>
      </w:r>
    </w:p>
    <w:p w14:paraId="7EDA09C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1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年全年项目支出</w:t>
      </w:r>
      <w:r>
        <w:rPr>
          <w:rFonts w:hint="eastAsia" w:ascii="仿宋_GB2312" w:hAnsi="仿宋_GB2312" w:eastAsia="仿宋_GB2312" w:cs="仿宋_GB2312"/>
          <w:color w:val="auto"/>
          <w:sz w:val="32"/>
          <w:szCs w:val="32"/>
          <w:lang w:val="en-US" w:eastAsia="zh-CN"/>
        </w:rPr>
        <w:t>1220.43</w:t>
      </w:r>
      <w:r>
        <w:rPr>
          <w:rFonts w:hint="eastAsia" w:ascii="仿宋_GB2312" w:hAnsi="仿宋_GB2312" w:eastAsia="仿宋_GB2312" w:cs="仿宋_GB2312"/>
          <w:color w:val="auto"/>
          <w:sz w:val="32"/>
          <w:szCs w:val="32"/>
          <w:lang w:eastAsia="zh-CN"/>
        </w:rPr>
        <w:t>万元，主要用于乡村振兴、乡村治理、道路建设、</w:t>
      </w:r>
      <w:r>
        <w:rPr>
          <w:rFonts w:ascii="仿宋_GB2312" w:hAnsi="仿宋_GB2312" w:eastAsia="仿宋_GB2312" w:cs="仿宋_GB2312"/>
          <w:color w:val="auto"/>
          <w:sz w:val="32"/>
          <w:szCs w:val="32"/>
          <w:lang w:eastAsia="zh-CN"/>
        </w:rPr>
        <w:t>水利建设</w:t>
      </w:r>
      <w:r>
        <w:rPr>
          <w:rFonts w:hint="eastAsia" w:ascii="仿宋_GB2312" w:hAnsi="仿宋_GB2312" w:eastAsia="仿宋_GB2312" w:cs="仿宋_GB2312"/>
          <w:color w:val="auto"/>
          <w:sz w:val="32"/>
          <w:szCs w:val="32"/>
          <w:lang w:eastAsia="zh-CN"/>
        </w:rPr>
        <w:t>等工作。</w:t>
      </w:r>
    </w:p>
    <w:p w14:paraId="516D3C52">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3936502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1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年全年政府性基金决算支出为</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lang w:eastAsia="zh-CN"/>
        </w:rPr>
        <w:t>万元，均为项目支出。</w:t>
      </w:r>
    </w:p>
    <w:p w14:paraId="2A755169">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14:paraId="32BBF88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1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本单位无国有资本经营预算支出。</w:t>
      </w:r>
    </w:p>
    <w:p w14:paraId="07F1EBC0">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14:paraId="2A2E6AA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1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本单位无社会保险基金预算支出。</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58038BA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1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年，我镇积极履职，强化管理，较好地完成了年度工作目标。通过加强预算收支管理，不断建立健全内部管理制度，梳理内部管理流程，部门整体支出管理水平得到提升。根据部门整体支出绩效自评表，我镇202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年度绩效自评得分为100分。</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6A3D674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1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预算控制率有待降低。除政策性因素以外，由于部分临时、紧急或突发的工作任务导致年中追加预算。预算编制工作有待细化。预算编制不够明确和细化，预算编制的合理性需要提高，预算执行力度还要进一步加强。</w:t>
      </w:r>
    </w:p>
    <w:p w14:paraId="7566549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1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2、日常公用经费不足、与实际支出相差较大。</w:t>
      </w:r>
    </w:p>
    <w:p w14:paraId="30E49DA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1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3、公用经费和三公经费控制有一定难度，基本为刚性支出。</w:t>
      </w:r>
    </w:p>
    <w:p w14:paraId="21E6073D">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45A8EDD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1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加强财务管理，严格财务审核。加强单位财务管理，健全单位财务管理制度体系，规范单位财务行为。在费用报账支付时，按照预算规定的费用项目和用途进行资金使用审核、列报支付、财务核算，杜绝超支现象的发生。做好经验做法总结，多与其他单位交流，不断优化完善内控制度。</w:t>
      </w:r>
    </w:p>
    <w:p w14:paraId="41EF9A0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1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完善资产管理，抓好“三公”经费控制。严格编制政府采购年初预算和计划，规范各类资产的购置审批制度、资产出租和收入管理制度、资产采购制度、使用管理制度、资产处置和报废审批制度、资产管理岗位职责制度等，加强单位内部的资产管理工作。提升会计信息化水平，进一步规范和加强各类资产的会计核算，夯实资产核算的各项基础工作，强化资产账实相符，确保资产信息的全面性、完整性和准确性。严格控制“三公”经费的规模和比例，把关“三公”经费支出的审核、审批，杜绝挪用和挤占其他预算资金行为；进一步细化“三公”经费的管理，合理压缩“三公”经费支出。</w:t>
      </w:r>
    </w:p>
    <w:p w14:paraId="0B8C014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1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对相关财务人员进一步加强培训，特别要针对《中华人民共和国预算法》、《行政单位会计制度》、《政府会计准则-基本准则解析暨新预算法下的预算管理》学习培训，规范部门预算收支核算，切实提高部门预算收支管理水平。</w:t>
      </w:r>
    </w:p>
    <w:p w14:paraId="37ACA1CA">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799C2EE9">
      <w:pPr>
        <w:pStyle w:val="6"/>
        <w:autoSpaceDN/>
        <w:spacing w:beforeAutospacing="0" w:afterAutospacing="0" w:line="600" w:lineRule="atLeast"/>
        <w:ind w:firstLine="613"/>
        <w:jc w:val="both"/>
        <w:rPr>
          <w:rFonts w:ascii="仿宋" w:hAnsi="仿宋" w:eastAsia="仿宋" w:cs="仿宋"/>
          <w:b/>
          <w:bCs/>
          <w:sz w:val="32"/>
          <w:szCs w:val="32"/>
        </w:rPr>
      </w:pPr>
      <w:r>
        <w:rPr>
          <w:rFonts w:hint="eastAsia" w:ascii="仿宋" w:hAnsi="仿宋" w:eastAsia="仿宋" w:cs="仿宋"/>
          <w:b/>
          <w:bCs/>
          <w:sz w:val="32"/>
          <w:szCs w:val="32"/>
        </w:rPr>
        <w:t>（一）绩效自评结果拟应用情况</w:t>
      </w:r>
    </w:p>
    <w:p w14:paraId="2CF7C034">
      <w:pPr>
        <w:pStyle w:val="6"/>
        <w:autoSpaceDN/>
        <w:spacing w:beforeAutospacing="0" w:afterAutospacing="0" w:line="600" w:lineRule="atLeast"/>
        <w:ind w:firstLine="613"/>
        <w:jc w:val="both"/>
        <w:rPr>
          <w:rFonts w:hint="eastAsia" w:ascii="仿宋_GB2312" w:hAnsi="仿宋_GB2312" w:eastAsia="仿宋_GB2312" w:cs="仿宋_GB2312"/>
          <w:snapToGrid w:val="0"/>
          <w:color w:val="auto"/>
          <w:kern w:val="0"/>
          <w:sz w:val="32"/>
          <w:szCs w:val="32"/>
          <w:lang w:val="en-US" w:eastAsia="zh-CN" w:bidi="ar-SA"/>
        </w:rPr>
      </w:pPr>
      <w:r>
        <w:rPr>
          <w:rFonts w:hint="eastAsia" w:ascii="仿宋_GB2312" w:hAnsi="仿宋_GB2312" w:eastAsia="仿宋_GB2312" w:cs="仿宋_GB2312"/>
          <w:snapToGrid w:val="0"/>
          <w:color w:val="auto"/>
          <w:kern w:val="0"/>
          <w:sz w:val="32"/>
          <w:szCs w:val="32"/>
          <w:lang w:val="en-US" w:eastAsia="zh-CN" w:bidi="ar-SA"/>
        </w:rPr>
        <w:t>2023年我镇部门整体支出绩效综合评分100分。今后，我镇将继续优化和调整支出方向和结构，科学编制年初预算，合理使用财政资金，提高资金使用效益。</w:t>
      </w:r>
    </w:p>
    <w:p w14:paraId="5F3ADFDB">
      <w:pPr>
        <w:pStyle w:val="6"/>
        <w:autoSpaceDN/>
        <w:spacing w:beforeAutospacing="0" w:afterAutospacing="0" w:line="600" w:lineRule="atLeast"/>
        <w:ind w:firstLine="613"/>
        <w:jc w:val="both"/>
        <w:rPr>
          <w:rFonts w:ascii="仿宋" w:hAnsi="仿宋" w:eastAsia="仿宋" w:cs="仿宋"/>
          <w:b/>
          <w:bCs/>
          <w:sz w:val="32"/>
          <w:szCs w:val="32"/>
        </w:rPr>
      </w:pPr>
      <w:r>
        <w:rPr>
          <w:rFonts w:hint="eastAsia" w:ascii="仿宋" w:hAnsi="仿宋" w:eastAsia="仿宋" w:cs="仿宋"/>
          <w:b/>
          <w:bCs/>
          <w:sz w:val="32"/>
          <w:szCs w:val="32"/>
        </w:rPr>
        <w:t>（二）绩效自评结果公开情况</w:t>
      </w:r>
    </w:p>
    <w:p w14:paraId="0F0408E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1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年部门整体支出绩效自评报告在汨罗市人民政府门户网上进行公开。</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firstLine="61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无。</w:t>
      </w:r>
    </w:p>
    <w:p w14:paraId="2ADE263E">
      <w:pPr>
        <w:spacing w:line="600" w:lineRule="exact"/>
        <w:ind w:firstLine="640" w:firstLineChars="200"/>
        <w:jc w:val="both"/>
        <w:rPr>
          <w:rFonts w:hint="eastAsia" w:eastAsia="仿宋_GB2312"/>
          <w:kern w:val="0"/>
          <w:sz w:val="32"/>
          <w:szCs w:val="32"/>
          <w:lang w:eastAsia="zh-CN"/>
        </w:rPr>
      </w:pP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47BF2475">
      <w:pPr>
        <w:rPr>
          <w:rFonts w:hint="eastAsia"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br w:type="page"/>
      </w:r>
    </w:p>
    <w:p w14:paraId="1A7C30C8">
      <w:pPr>
        <w:spacing w:line="267" w:lineRule="auto"/>
        <w:ind w:firstLine="552"/>
        <w:jc w:val="both"/>
        <w:rPr>
          <w:rFonts w:hint="eastAsia" w:ascii="宋体" w:hAnsi="宋体" w:eastAsia="宋体" w:cs="宋体"/>
          <w:bCs/>
          <w:spacing w:val="-4"/>
          <w:kern w:val="0"/>
          <w:sz w:val="28"/>
          <w:szCs w:val="28"/>
          <w:lang w:val="en-US" w:eastAsia="zh-CN"/>
        </w:rPr>
      </w:pPr>
      <w:bookmarkStart w:id="0" w:name="_GoBack"/>
      <w:bookmarkEnd w:id="0"/>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61F43F3C">
      <w:pPr>
        <w:spacing w:line="267" w:lineRule="auto"/>
        <w:ind w:firstLine="552"/>
        <w:jc w:val="both"/>
        <w:rPr>
          <w:rFonts w:hint="eastAsia" w:ascii="宋体" w:hAnsi="宋体" w:eastAsia="宋体" w:cs="宋体"/>
          <w:bCs/>
          <w:spacing w:val="-4"/>
          <w:kern w:val="0"/>
          <w:sz w:val="28"/>
          <w:szCs w:val="28"/>
          <w:lang w:val="en-US" w:eastAsia="zh-CN"/>
        </w:rPr>
      </w:pPr>
    </w:p>
    <w:p w14:paraId="5035F9FC">
      <w:pPr>
        <w:spacing w:line="240" w:lineRule="auto"/>
        <w:ind w:left="0" w:leftChars="0" w:firstLine="0" w:firstLineChars="0"/>
        <w:jc w:val="center"/>
        <w:rPr>
          <w:rFonts w:hint="eastAsia" w:ascii="方正小标宋简体" w:eastAsia="方正小标宋简体"/>
          <w:kern w:val="0"/>
          <w:sz w:val="44"/>
          <w:szCs w:val="44"/>
          <w:lang w:eastAsia="zh-CN"/>
        </w:rPr>
      </w:pPr>
      <w:r>
        <w:rPr>
          <w:rFonts w:hint="eastAsia" w:ascii="方正小标宋简体" w:eastAsia="方正小标宋简体"/>
          <w:w w:val="88"/>
          <w:kern w:val="0"/>
          <w:sz w:val="44"/>
          <w:szCs w:val="44"/>
          <w:lang w:eastAsia="zh-CN"/>
        </w:rPr>
        <w:t>202</w:t>
      </w:r>
      <w:r>
        <w:rPr>
          <w:rFonts w:hint="eastAsia" w:ascii="方正小标宋简体" w:eastAsia="方正小标宋简体"/>
          <w:w w:val="88"/>
          <w:kern w:val="0"/>
          <w:sz w:val="44"/>
          <w:szCs w:val="44"/>
          <w:lang w:val="en-US" w:eastAsia="zh-CN"/>
        </w:rPr>
        <w:t>3</w:t>
      </w:r>
      <w:r>
        <w:rPr>
          <w:rFonts w:hint="eastAsia" w:ascii="方正小标宋简体" w:eastAsia="方正小标宋简体"/>
          <w:w w:val="88"/>
          <w:kern w:val="0"/>
          <w:sz w:val="44"/>
          <w:szCs w:val="44"/>
          <w:lang w:eastAsia="zh-CN"/>
        </w:rPr>
        <w:t>年度</w:t>
      </w:r>
      <w:r>
        <w:rPr>
          <w:rFonts w:hint="eastAsia" w:ascii="方正小标宋简体" w:eastAsia="方正小标宋简体"/>
          <w:w w:val="88"/>
          <w:kern w:val="0"/>
          <w:sz w:val="44"/>
          <w:szCs w:val="44"/>
          <w:lang w:val="en-US" w:eastAsia="zh-CN"/>
        </w:rPr>
        <w:t>罗江镇人民政府东冲避洪渠建设</w:t>
      </w:r>
      <w:r>
        <w:rPr>
          <w:rFonts w:hint="eastAsia" w:ascii="方正小标宋简体" w:eastAsia="方正小标宋简体"/>
          <w:w w:val="88"/>
          <w:kern w:val="0"/>
          <w:sz w:val="44"/>
          <w:szCs w:val="44"/>
          <w:lang w:eastAsia="zh-CN"/>
        </w:rPr>
        <w:t>项目支出</w:t>
      </w:r>
      <w:r>
        <w:rPr>
          <w:rFonts w:hint="eastAsia" w:ascii="方正小标宋简体" w:eastAsia="方正小标宋简体"/>
          <w:kern w:val="0"/>
          <w:sz w:val="44"/>
          <w:szCs w:val="44"/>
          <w:lang w:eastAsia="zh-CN"/>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罗江镇人民政府</w:t>
      </w:r>
      <w:r>
        <w:rPr>
          <w:spacing w:val="-22"/>
          <w:sz w:val="27"/>
          <w:szCs w:val="27"/>
          <w:u w:val="single" w:color="auto"/>
        </w:rPr>
        <w:t>(</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3"/>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715D00C">
      <w:pPr>
        <w:pStyle w:val="3"/>
        <w:spacing w:before="1" w:line="223" w:lineRule="auto"/>
        <w:ind w:left="3560"/>
        <w:rPr>
          <w:sz w:val="24"/>
          <w:szCs w:val="24"/>
        </w:rPr>
      </w:pPr>
      <w:r>
        <w:rPr>
          <w:spacing w:val="7"/>
          <w:sz w:val="24"/>
          <w:szCs w:val="24"/>
        </w:rPr>
        <w:t>(此面为封面)</w:t>
      </w:r>
    </w:p>
    <w:p w14:paraId="4DB2DE0C">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021A428">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38FEBE91">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7F767D29">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0" w:leftChars="0" w:firstLine="661" w:firstLineChars="228"/>
        <w:jc w:val="both"/>
        <w:textAlignment w:val="baseline"/>
        <w:rPr>
          <w:rFonts w:hint="eastAsia" w:ascii="仿宋_GB2312" w:hAnsi="仿宋_GB2312" w:eastAsia="仿宋_GB2312" w:cs="仿宋_GB2312"/>
          <w:b w:val="0"/>
          <w:bCs w:val="0"/>
          <w:spacing w:val="-15"/>
          <w:sz w:val="32"/>
          <w:szCs w:val="32"/>
        </w:rPr>
      </w:pPr>
      <w:r>
        <w:rPr>
          <w:rFonts w:hint="eastAsia" w:ascii="仿宋_GB2312" w:hAnsi="仿宋_GB2312" w:eastAsia="仿宋_GB2312" w:cs="仿宋_GB2312"/>
          <w:b w:val="0"/>
          <w:bCs w:val="0"/>
          <w:spacing w:val="-15"/>
          <w:sz w:val="32"/>
          <w:szCs w:val="32"/>
        </w:rPr>
        <w:t>罗江镇东冲避洪渠建设项目是为了项目改善灌溉条件、夯实农田水利基础设施、方便群众耕作灌溉、带动群众增收、提升群众满意率，此项目总投资 57.10304 万元，其中衔接项目资金 50 万元，自筹 7.10304 万元。</w:t>
      </w:r>
    </w:p>
    <w:p w14:paraId="43B00F6B">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58821E5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firstLine="661" w:firstLineChars="228"/>
        <w:jc w:val="both"/>
        <w:textAlignment w:val="baseline"/>
        <w:rPr>
          <w:rFonts w:hint="eastAsia" w:ascii="仿宋_GB2312" w:hAnsi="仿宋_GB2312" w:eastAsia="仿宋_GB2312" w:cs="仿宋_GB2312"/>
          <w:b w:val="0"/>
          <w:bCs w:val="0"/>
          <w:spacing w:val="-15"/>
          <w:sz w:val="32"/>
          <w:szCs w:val="32"/>
          <w:lang w:val="en-US" w:eastAsia="en-US"/>
        </w:rPr>
      </w:pPr>
      <w:r>
        <w:rPr>
          <w:rFonts w:hint="eastAsia" w:ascii="仿宋_GB2312" w:hAnsi="仿宋_GB2312" w:eastAsia="仿宋_GB2312" w:cs="仿宋_GB2312"/>
          <w:b w:val="0"/>
          <w:bCs w:val="0"/>
          <w:spacing w:val="-15"/>
          <w:sz w:val="32"/>
          <w:szCs w:val="32"/>
          <w:lang w:val="en-US" w:eastAsia="en-US"/>
        </w:rPr>
        <w:t>项目实施完工后，镇政府于</w:t>
      </w:r>
      <w:r>
        <w:rPr>
          <w:rFonts w:hint="eastAsia" w:ascii="仿宋_GB2312" w:hAnsi="仿宋_GB2312" w:eastAsia="仿宋_GB2312" w:cs="仿宋_GB2312"/>
          <w:b w:val="0"/>
          <w:bCs w:val="0"/>
          <w:spacing w:val="-15"/>
          <w:sz w:val="32"/>
          <w:szCs w:val="32"/>
          <w:lang w:val="en-US" w:eastAsia="zh-CN"/>
        </w:rPr>
        <w:t>2023年</w:t>
      </w:r>
      <w:r>
        <w:rPr>
          <w:rFonts w:hint="eastAsia" w:ascii="仿宋_GB2312" w:hAnsi="仿宋_GB2312" w:eastAsia="仿宋_GB2312" w:cs="仿宋_GB2312"/>
          <w:b w:val="0"/>
          <w:bCs w:val="0"/>
          <w:spacing w:val="-15"/>
          <w:sz w:val="32"/>
          <w:szCs w:val="32"/>
          <w:lang w:val="en-US" w:eastAsia="en-US"/>
        </w:rPr>
        <w:t>4月组织专班对项目实施现场以及财政资金拨付情况进行核实，并对项目周边群众进行走访调查，以确保评价的准确性、真实性。</w:t>
      </w:r>
    </w:p>
    <w:p w14:paraId="0970DFBE">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3F81C588">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项目资金情况分析。</w:t>
      </w:r>
    </w:p>
    <w:p w14:paraId="0125B74E">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资金按照合同要求，验收合格后按照资金拨付流程，专项专账足额拨付到位。</w:t>
      </w:r>
    </w:p>
    <w:p w14:paraId="0818128A">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项目绩效指标完成情况</w:t>
      </w:r>
    </w:p>
    <w:p w14:paraId="56117556">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（1）</w:t>
      </w:r>
      <w:r>
        <w:rPr>
          <w:rFonts w:hint="eastAsia" w:ascii="Arial" w:hAnsi="Arial" w:eastAsia="仿宋_GB2312" w:cs="Arial"/>
          <w:snapToGrid w:val="0"/>
          <w:color w:val="000000"/>
          <w:kern w:val="0"/>
          <w:sz w:val="32"/>
          <w:szCs w:val="32"/>
          <w:lang w:val="en-US" w:eastAsia="zh-CN" w:bidi="ar-SA"/>
        </w:rPr>
        <w:t>产出指标完成情况分析</w:t>
      </w:r>
    </w:p>
    <w:p w14:paraId="4D6532DF">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该项目共建设避洪渠长度530米，于2023年4月18日前完成了项目全部建设，质量达标。</w:t>
      </w:r>
    </w:p>
    <w:p w14:paraId="67CC5894">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（2）</w:t>
      </w:r>
      <w:r>
        <w:rPr>
          <w:rFonts w:hint="eastAsia" w:ascii="Arial" w:hAnsi="Arial" w:eastAsia="仿宋_GB2312" w:cs="Arial"/>
          <w:snapToGrid w:val="0"/>
          <w:color w:val="000000"/>
          <w:kern w:val="0"/>
          <w:sz w:val="32"/>
          <w:szCs w:val="32"/>
          <w:lang w:val="en-US" w:eastAsia="zh-CN" w:bidi="ar-SA"/>
        </w:rPr>
        <w:t>效益指标完成情况分析</w:t>
      </w:r>
    </w:p>
    <w:p w14:paraId="3BD8675E">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项目建成后能改善灌溉条件，实现人均增收 200 元，通过项目实施可实现 210 人受益，预计使用年限是十五年，群众对项目十分满意。</w:t>
      </w:r>
    </w:p>
    <w:p w14:paraId="6732EB45">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65087EB7">
      <w:pPr>
        <w:pStyle w:val="6"/>
        <w:spacing w:beforeAutospacing="0" w:afterAutospacing="0" w:line="600" w:lineRule="atLeast"/>
        <w:ind w:firstLine="613"/>
        <w:jc w:val="both"/>
        <w:rPr>
          <w:rFonts w:ascii="Times New Roman" w:hAnsi="Times New Roman"/>
          <w:sz w:val="18"/>
          <w:szCs w:val="18"/>
        </w:rPr>
      </w:pPr>
      <w:r>
        <w:rPr>
          <w:rFonts w:ascii="仿宋" w:hAnsi="仿宋" w:eastAsia="仿宋" w:cs="仿宋"/>
          <w:sz w:val="32"/>
          <w:szCs w:val="32"/>
        </w:rPr>
        <w:t>绩效评价工作分为前期准备、评价实施、情况反馈、报告形成和资料归档五个阶段。</w:t>
      </w:r>
    </w:p>
    <w:p w14:paraId="664FFF6F">
      <w:pPr>
        <w:pStyle w:val="6"/>
        <w:numPr>
          <w:ilvl w:val="0"/>
          <w:numId w:val="3"/>
        </w:numPr>
        <w:spacing w:beforeAutospacing="0" w:afterAutospacing="0" w:line="600" w:lineRule="atLeast"/>
        <w:ind w:firstLine="613"/>
        <w:jc w:val="both"/>
        <w:rPr>
          <w:rFonts w:ascii="黑体" w:hAnsi="黑体" w:eastAsia="黑体" w:cs="黑体"/>
          <w:b/>
          <w:bCs/>
          <w:spacing w:val="-15"/>
          <w:sz w:val="31"/>
          <w:szCs w:val="31"/>
        </w:rPr>
      </w:pPr>
      <w:r>
        <w:rPr>
          <w:rFonts w:hint="eastAsia" w:ascii="仿宋" w:hAnsi="仿宋" w:eastAsia="仿宋" w:cs="仿宋"/>
          <w:b/>
          <w:bCs/>
          <w:sz w:val="32"/>
          <w:szCs w:val="32"/>
        </w:rPr>
        <w:t>前期准备。</w:t>
      </w:r>
      <w:r>
        <w:rPr>
          <w:rFonts w:hint="eastAsia" w:ascii="仿宋" w:hAnsi="仿宋" w:eastAsia="仿宋" w:cs="仿宋"/>
          <w:sz w:val="32"/>
          <w:szCs w:val="32"/>
        </w:rPr>
        <w:t>拟定评价工作方案，包括：评价依据、工作计划、评价要求、拟采用的绩效评价指标、评价标准、评价方法以及有关工作条件。</w:t>
      </w:r>
      <w:r>
        <w:rPr>
          <w:rFonts w:hint="eastAsia" w:ascii="仿宋" w:hAnsi="仿宋" w:eastAsia="仿宋" w:cs="仿宋"/>
          <w:b/>
          <w:bCs/>
          <w:sz w:val="32"/>
          <w:szCs w:val="32"/>
        </w:rPr>
        <w:t>2、评价实施。</w:t>
      </w:r>
      <w:r>
        <w:rPr>
          <w:rFonts w:hint="eastAsia" w:ascii="仿宋" w:hAnsi="仿宋" w:eastAsia="仿宋" w:cs="仿宋"/>
          <w:sz w:val="32"/>
          <w:szCs w:val="32"/>
        </w:rPr>
        <w:t>收集项目资金有关的政策文件；审核会计凭证和相关项目支出材料的完整性与合规性；深入项目实施单位及工作现场，通过采取听取情况介绍、实地进行考察、查证复核等多种方式，对项目有关情况和基础材料进行核实，并将相关信息资料进行分类、整理和分析。</w:t>
      </w:r>
      <w:r>
        <w:rPr>
          <w:rFonts w:hint="eastAsia" w:ascii="仿宋" w:hAnsi="仿宋" w:eastAsia="仿宋" w:cs="仿宋"/>
          <w:b/>
          <w:bCs/>
          <w:sz w:val="32"/>
          <w:szCs w:val="32"/>
        </w:rPr>
        <w:t>3、情况反馈。</w:t>
      </w:r>
      <w:r>
        <w:rPr>
          <w:rFonts w:hint="eastAsia" w:ascii="仿宋" w:hAnsi="仿宋" w:eastAsia="仿宋" w:cs="仿宋"/>
          <w:sz w:val="32"/>
          <w:szCs w:val="32"/>
        </w:rPr>
        <w:t>评价组对于评价实施过程中发现的重大问题及重大违规违纪行为，在取得充分证据后，及时向财政部门反映。</w:t>
      </w:r>
      <w:r>
        <w:rPr>
          <w:rFonts w:hint="eastAsia" w:ascii="仿宋" w:hAnsi="仿宋" w:eastAsia="仿宋" w:cs="仿宋"/>
          <w:b/>
          <w:bCs/>
          <w:sz w:val="32"/>
          <w:szCs w:val="32"/>
        </w:rPr>
        <w:t>4、报告形成。</w:t>
      </w:r>
      <w:r>
        <w:rPr>
          <w:rFonts w:hint="eastAsia" w:ascii="仿宋" w:hAnsi="仿宋" w:eastAsia="仿宋" w:cs="仿宋"/>
          <w:sz w:val="32"/>
          <w:szCs w:val="32"/>
        </w:rPr>
        <w:t>评价工作组对取得的资料和依据进行整理，实事求是、客观公正地评价指标扣分因素、发现的问题、成绩的总结等，撰写绩效评价报告。</w:t>
      </w:r>
      <w:r>
        <w:rPr>
          <w:rFonts w:hint="eastAsia" w:ascii="仿宋" w:hAnsi="仿宋" w:eastAsia="仿宋" w:cs="仿宋"/>
          <w:b/>
          <w:bCs/>
          <w:sz w:val="32"/>
          <w:szCs w:val="32"/>
        </w:rPr>
        <w:t>5、资料归档。</w:t>
      </w:r>
      <w:r>
        <w:rPr>
          <w:rFonts w:hint="eastAsia" w:ascii="仿宋" w:hAnsi="仿宋" w:eastAsia="仿宋" w:cs="仿宋"/>
          <w:sz w:val="32"/>
          <w:szCs w:val="32"/>
        </w:rPr>
        <w:t>评价工作结束后，评价组对绩效评价工作进行总结，妥善保管佐证材料、绩效评价报告和结果反馈落实情况等有关材料，建立绩效评价档案。</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7B48541E">
      <w:pPr>
        <w:pStyle w:val="6"/>
        <w:spacing w:beforeAutospacing="0" w:afterAutospacing="0" w:line="600" w:lineRule="atLeast"/>
        <w:ind w:firstLine="613"/>
        <w:jc w:val="both"/>
        <w:rPr>
          <w:rFonts w:ascii="黑体" w:hAnsi="黑体" w:eastAsia="黑体" w:cs="黑体"/>
          <w:b/>
          <w:bCs/>
          <w:spacing w:val="-15"/>
          <w:sz w:val="31"/>
          <w:szCs w:val="31"/>
        </w:rPr>
      </w:pPr>
      <w:r>
        <w:rPr>
          <w:rFonts w:hint="eastAsia" w:ascii="仿宋" w:hAnsi="仿宋" w:eastAsia="仿宋" w:cs="仿宋"/>
          <w:sz w:val="32"/>
          <w:szCs w:val="32"/>
        </w:rPr>
        <w:t>项目建设完成后将有效改善当地</w:t>
      </w:r>
      <w:r>
        <w:rPr>
          <w:rFonts w:hint="eastAsia" w:ascii="仿宋" w:hAnsi="仿宋" w:eastAsia="仿宋" w:cs="仿宋"/>
          <w:sz w:val="32"/>
          <w:szCs w:val="32"/>
          <w:lang w:val="en-US" w:eastAsia="zh-CN"/>
        </w:rPr>
        <w:t>农田灌溉条件</w:t>
      </w:r>
      <w:r>
        <w:rPr>
          <w:rFonts w:hint="eastAsia" w:ascii="仿宋" w:hAnsi="仿宋" w:eastAsia="仿宋" w:cs="仿宋"/>
          <w:sz w:val="32"/>
          <w:szCs w:val="32"/>
        </w:rPr>
        <w:t>，提高群众生产生活水平，优先就近安排脱贫户、监测户务工务劳，提高农户打工收入。根据该项目绩效评价指标体系和绩效检查情况，该项目整体绩效分值100分，实得</w:t>
      </w:r>
      <w:r>
        <w:rPr>
          <w:rFonts w:hint="eastAsia" w:ascii="仿宋" w:hAnsi="仿宋" w:eastAsia="仿宋" w:cs="仿宋"/>
          <w:sz w:val="32"/>
          <w:szCs w:val="32"/>
          <w:lang w:val="en-US" w:eastAsia="zh-CN"/>
        </w:rPr>
        <w:t>99</w:t>
      </w:r>
      <w:r>
        <w:rPr>
          <w:rFonts w:hint="eastAsia" w:ascii="仿宋" w:hAnsi="仿宋" w:eastAsia="仿宋" w:cs="仿宋"/>
          <w:sz w:val="32"/>
          <w:szCs w:val="32"/>
        </w:rPr>
        <w:t>分，被评为“优秀”等级。</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FD15479">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一</w:t>
      </w:r>
      <w:r>
        <w:rPr>
          <w:rFonts w:hint="eastAsia" w:ascii="楷体_GB2312" w:hAnsi="楷体_GB2312" w:eastAsia="楷体_GB2312" w:cs="楷体_GB2312"/>
          <w:b/>
          <w:bCs/>
          <w:kern w:val="0"/>
          <w:sz w:val="32"/>
          <w:szCs w:val="32"/>
          <w:lang w:eastAsia="zh-CN"/>
        </w:rPr>
        <w:t>）项目支出决策情况</w:t>
      </w:r>
    </w:p>
    <w:p w14:paraId="6DA2216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该项目</w:t>
      </w:r>
      <w:r>
        <w:rPr>
          <w:rFonts w:ascii="仿宋" w:hAnsi="仿宋" w:eastAsia="仿宋" w:cs="仿宋"/>
          <w:sz w:val="32"/>
          <w:szCs w:val="32"/>
        </w:rPr>
        <w:t>严格按照《</w:t>
      </w:r>
      <w:r>
        <w:rPr>
          <w:rFonts w:hint="eastAsia" w:ascii="仿宋" w:hAnsi="仿宋" w:eastAsia="仿宋" w:cs="仿宋"/>
          <w:sz w:val="32"/>
          <w:szCs w:val="32"/>
          <w:lang w:val="en-US" w:eastAsia="zh-CN"/>
        </w:rPr>
        <w:t>湖南省财政衔接推进乡村振兴补助资金及脱贫县涉农整合资金项目管理</w:t>
      </w:r>
      <w:r>
        <w:rPr>
          <w:rFonts w:ascii="仿宋" w:hAnsi="仿宋" w:eastAsia="仿宋" w:cs="仿宋"/>
          <w:sz w:val="32"/>
          <w:szCs w:val="32"/>
        </w:rPr>
        <w:t>》文件要求安排项目资金及使用。</w:t>
      </w:r>
    </w:p>
    <w:p w14:paraId="1E93AEB5">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二</w:t>
      </w:r>
      <w:r>
        <w:rPr>
          <w:rFonts w:hint="eastAsia" w:ascii="楷体_GB2312" w:hAnsi="楷体_GB2312" w:eastAsia="楷体_GB2312" w:cs="楷体_GB2312"/>
          <w:b/>
          <w:bCs/>
          <w:kern w:val="0"/>
          <w:sz w:val="32"/>
          <w:szCs w:val="32"/>
          <w:lang w:eastAsia="zh-CN"/>
        </w:rPr>
        <w:t>）项目执行过程情况</w:t>
      </w:r>
    </w:p>
    <w:p w14:paraId="3FD05D54">
      <w:pPr>
        <w:pStyle w:val="6"/>
        <w:spacing w:beforeAutospacing="0" w:afterAutospacing="0" w:line="600" w:lineRule="atLeast"/>
        <w:ind w:firstLine="613"/>
        <w:jc w:val="both"/>
        <w:rPr>
          <w:rFonts w:ascii="仿宋" w:hAnsi="仿宋" w:eastAsia="仿宋" w:cs="仿宋"/>
          <w:sz w:val="32"/>
          <w:szCs w:val="32"/>
        </w:rPr>
      </w:pPr>
      <w:r>
        <w:rPr>
          <w:rFonts w:hint="eastAsia" w:ascii="仿宋" w:hAnsi="仿宋" w:eastAsia="仿宋" w:cs="仿宋"/>
          <w:b/>
          <w:bCs/>
          <w:sz w:val="32"/>
          <w:szCs w:val="32"/>
        </w:rPr>
        <w:t>1、项目资金使用情况。</w:t>
      </w:r>
      <w:r>
        <w:rPr>
          <w:rFonts w:hint="eastAsia" w:ascii="仿宋" w:hAnsi="仿宋" w:eastAsia="仿宋" w:cs="仿宋"/>
          <w:sz w:val="32"/>
          <w:szCs w:val="32"/>
        </w:rPr>
        <w:t>罗江镇</w:t>
      </w:r>
      <w:r>
        <w:rPr>
          <w:rFonts w:hint="eastAsia" w:ascii="仿宋" w:hAnsi="仿宋" w:eastAsia="仿宋" w:cs="仿宋"/>
          <w:sz w:val="32"/>
          <w:szCs w:val="32"/>
          <w:lang w:val="en-US" w:eastAsia="zh-CN"/>
        </w:rPr>
        <w:t>东冲避洪渠建设</w:t>
      </w:r>
      <w:r>
        <w:rPr>
          <w:rFonts w:hint="eastAsia" w:ascii="仿宋" w:hAnsi="仿宋" w:eastAsia="仿宋" w:cs="仿宋"/>
          <w:sz w:val="32"/>
          <w:szCs w:val="32"/>
        </w:rPr>
        <w:t>项目</w:t>
      </w:r>
      <w:r>
        <w:rPr>
          <w:rFonts w:hint="eastAsia" w:ascii="仿宋" w:hAnsi="仿宋" w:eastAsia="仿宋" w:cs="仿宋"/>
          <w:sz w:val="32"/>
          <w:szCs w:val="32"/>
          <w:lang w:val="en-US" w:eastAsia="zh-CN"/>
        </w:rPr>
        <w:t>投资57.10</w:t>
      </w:r>
      <w:r>
        <w:rPr>
          <w:rFonts w:hint="eastAsia" w:ascii="仿宋" w:hAnsi="仿宋" w:eastAsia="仿宋" w:cs="仿宋"/>
          <w:sz w:val="32"/>
          <w:szCs w:val="32"/>
        </w:rPr>
        <w:t>万元，其中专项资金使用</w:t>
      </w:r>
      <w:r>
        <w:rPr>
          <w:rFonts w:hint="eastAsia" w:ascii="仿宋" w:hAnsi="仿宋" w:eastAsia="仿宋" w:cs="仿宋"/>
          <w:sz w:val="32"/>
          <w:szCs w:val="32"/>
          <w:lang w:val="en-US" w:eastAsia="zh-CN"/>
        </w:rPr>
        <w:t>50</w:t>
      </w:r>
      <w:r>
        <w:rPr>
          <w:rFonts w:hint="eastAsia" w:ascii="仿宋" w:hAnsi="仿宋" w:eastAsia="仿宋" w:cs="仿宋"/>
          <w:sz w:val="32"/>
          <w:szCs w:val="32"/>
        </w:rPr>
        <w:t>万元，主要用于</w:t>
      </w:r>
      <w:r>
        <w:rPr>
          <w:rFonts w:hint="eastAsia" w:ascii="仿宋" w:hAnsi="仿宋" w:eastAsia="仿宋" w:cs="仿宋"/>
          <w:sz w:val="32"/>
          <w:szCs w:val="32"/>
          <w:lang w:val="en-US" w:eastAsia="zh-CN"/>
        </w:rPr>
        <w:t>基础设施建设</w:t>
      </w:r>
      <w:r>
        <w:rPr>
          <w:rFonts w:hint="eastAsia" w:ascii="仿宋" w:hAnsi="仿宋" w:eastAsia="仿宋" w:cs="仿宋"/>
          <w:sz w:val="32"/>
          <w:szCs w:val="32"/>
        </w:rPr>
        <w:t>，该项目已完成竣工验收。</w:t>
      </w:r>
    </w:p>
    <w:p w14:paraId="6542185E">
      <w:pPr>
        <w:pStyle w:val="6"/>
        <w:spacing w:beforeAutospacing="0" w:afterAutospacing="0" w:line="600" w:lineRule="atLeast"/>
        <w:ind w:firstLine="613"/>
        <w:jc w:val="both"/>
        <w:rPr>
          <w:rFonts w:hint="eastAsia" w:eastAsia="仿宋_GB2312"/>
          <w:kern w:val="0"/>
          <w:sz w:val="32"/>
          <w:szCs w:val="32"/>
          <w:lang w:eastAsia="zh-CN"/>
        </w:rPr>
      </w:pPr>
      <w:r>
        <w:rPr>
          <w:rFonts w:hint="eastAsia" w:ascii="仿宋" w:hAnsi="仿宋" w:eastAsia="仿宋" w:cs="仿宋"/>
          <w:b/>
          <w:bCs/>
          <w:sz w:val="32"/>
          <w:szCs w:val="32"/>
        </w:rPr>
        <w:t>2、项目资金管理情况。</w:t>
      </w:r>
      <w:r>
        <w:rPr>
          <w:rFonts w:hint="eastAsia" w:ascii="仿宋" w:hAnsi="仿宋" w:eastAsia="仿宋" w:cs="仿宋"/>
          <w:sz w:val="32"/>
          <w:szCs w:val="32"/>
        </w:rPr>
        <w:t>我镇严格按照相关政策制度管理、使用专项资金，确保用途正确，专款专用。</w:t>
      </w:r>
    </w:p>
    <w:p w14:paraId="2FDADA7A">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三</w:t>
      </w:r>
      <w:r>
        <w:rPr>
          <w:rFonts w:hint="eastAsia" w:ascii="楷体_GB2312" w:hAnsi="楷体_GB2312" w:eastAsia="楷体_GB2312" w:cs="楷体_GB2312"/>
          <w:b/>
          <w:bCs/>
          <w:kern w:val="0"/>
          <w:sz w:val="32"/>
          <w:szCs w:val="32"/>
          <w:lang w:eastAsia="zh-CN"/>
        </w:rPr>
        <w:t>）项目支出产出情况</w:t>
      </w:r>
    </w:p>
    <w:p w14:paraId="3CE18A96">
      <w:pPr>
        <w:pStyle w:val="6"/>
        <w:spacing w:beforeAutospacing="0" w:afterAutospacing="0" w:line="600" w:lineRule="atLeast"/>
        <w:ind w:left="0" w:leftChars="0" w:firstLine="643" w:firstLineChars="200"/>
        <w:jc w:val="both"/>
        <w:rPr>
          <w:rFonts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项目完成数量。</w:t>
      </w:r>
      <w:r>
        <w:rPr>
          <w:rFonts w:hint="eastAsia" w:ascii="仿宋" w:hAnsi="仿宋" w:eastAsia="仿宋" w:cs="仿宋"/>
          <w:sz w:val="32"/>
          <w:szCs w:val="32"/>
        </w:rPr>
        <w:t>罗江镇</w:t>
      </w:r>
      <w:r>
        <w:rPr>
          <w:rFonts w:hint="eastAsia" w:ascii="仿宋" w:hAnsi="仿宋" w:eastAsia="仿宋" w:cs="仿宋"/>
          <w:sz w:val="32"/>
          <w:szCs w:val="32"/>
          <w:lang w:val="en-US" w:eastAsia="zh-CN"/>
        </w:rPr>
        <w:t>东冲避洪渠建设</w:t>
      </w:r>
      <w:r>
        <w:rPr>
          <w:rFonts w:hint="eastAsia" w:ascii="仿宋" w:hAnsi="仿宋" w:eastAsia="仿宋" w:cs="仿宋"/>
          <w:sz w:val="32"/>
          <w:szCs w:val="32"/>
        </w:rPr>
        <w:t>项目</w:t>
      </w:r>
      <w:r>
        <w:rPr>
          <w:rFonts w:hint="eastAsia" w:ascii="仿宋" w:hAnsi="仿宋" w:eastAsia="仿宋" w:cs="仿宋"/>
          <w:sz w:val="32"/>
          <w:szCs w:val="32"/>
          <w:lang w:val="en-US" w:eastAsia="zh-CN"/>
        </w:rPr>
        <w:t>共建设避洪渠长度530</w:t>
      </w:r>
      <w:r>
        <w:rPr>
          <w:rFonts w:hint="eastAsia" w:ascii="仿宋" w:hAnsi="仿宋" w:eastAsia="仿宋" w:cs="仿宋"/>
          <w:sz w:val="32"/>
          <w:szCs w:val="32"/>
        </w:rPr>
        <w:t>米，已完成预期指标任务，自评档为：已达成预期指标。</w:t>
      </w:r>
    </w:p>
    <w:p w14:paraId="448402C7">
      <w:pPr>
        <w:pStyle w:val="6"/>
        <w:spacing w:beforeAutospacing="0" w:afterAutospacing="0" w:line="600" w:lineRule="atLeast"/>
        <w:ind w:left="0" w:leftChars="0" w:firstLine="643" w:firstLineChars="200"/>
        <w:jc w:val="both"/>
        <w:rPr>
          <w:rFonts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项目完成质量。</w:t>
      </w:r>
      <w:r>
        <w:rPr>
          <w:rFonts w:hint="eastAsia" w:ascii="仿宋" w:hAnsi="仿宋" w:eastAsia="仿宋" w:cs="仿宋"/>
          <w:sz w:val="32"/>
          <w:szCs w:val="32"/>
        </w:rPr>
        <w:t>工程验收合格，已完成预期指标任务，自评档为：已达成预期指标。</w:t>
      </w:r>
    </w:p>
    <w:p w14:paraId="29180DF7">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项目实施进度。</w:t>
      </w:r>
      <w:r>
        <w:rPr>
          <w:rFonts w:hint="eastAsia" w:ascii="仿宋" w:hAnsi="仿宋" w:eastAsia="仿宋" w:cs="仿宋"/>
          <w:sz w:val="32"/>
          <w:szCs w:val="32"/>
        </w:rPr>
        <w:t>该项目已按时验收竣工，已完成预期指标任务，自评档为：已达成预期指标。</w:t>
      </w:r>
    </w:p>
    <w:p w14:paraId="17648C6E">
      <w:pPr>
        <w:pStyle w:val="6"/>
        <w:spacing w:beforeAutospacing="0" w:afterAutospacing="0" w:line="600" w:lineRule="atLeast"/>
        <w:ind w:firstLine="613"/>
        <w:jc w:val="both"/>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满意度指标完成情况</w:t>
      </w:r>
      <w:r>
        <w:rPr>
          <w:rFonts w:hint="eastAsia" w:ascii="仿宋" w:hAnsi="仿宋" w:eastAsia="仿宋" w:cs="仿宋"/>
          <w:b/>
          <w:bCs/>
          <w:sz w:val="32"/>
          <w:szCs w:val="32"/>
          <w:lang w:eastAsia="zh-CN"/>
        </w:rPr>
        <w:t>。</w:t>
      </w:r>
      <w:r>
        <w:rPr>
          <w:rFonts w:hint="eastAsia" w:ascii="仿宋" w:hAnsi="仿宋" w:eastAsia="仿宋" w:cs="仿宋"/>
          <w:sz w:val="32"/>
          <w:szCs w:val="32"/>
        </w:rPr>
        <w:t>群众满意度达到9</w:t>
      </w:r>
      <w:r>
        <w:rPr>
          <w:rFonts w:hint="eastAsia" w:ascii="仿宋" w:hAnsi="仿宋" w:eastAsia="仿宋" w:cs="仿宋"/>
          <w:sz w:val="32"/>
          <w:szCs w:val="32"/>
          <w:lang w:val="en-US" w:eastAsia="zh-CN"/>
        </w:rPr>
        <w:t>8</w:t>
      </w:r>
      <w:r>
        <w:rPr>
          <w:rFonts w:hint="eastAsia" w:ascii="仿宋" w:hAnsi="仿宋" w:eastAsia="仿宋" w:cs="仿宋"/>
          <w:sz w:val="32"/>
          <w:szCs w:val="32"/>
        </w:rPr>
        <w:t>%及以上，自评档为：已达成预期指标。</w:t>
      </w:r>
    </w:p>
    <w:p w14:paraId="76E5C609">
      <w:pPr>
        <w:pStyle w:val="6"/>
        <w:numPr>
          <w:ilvl w:val="0"/>
          <w:numId w:val="0"/>
        </w:numPr>
        <w:spacing w:beforeAutospacing="0" w:afterAutospacing="0" w:line="600" w:lineRule="atLeast"/>
        <w:ind w:firstLine="613" w:firstLineChars="0"/>
        <w:jc w:val="both"/>
        <w:rPr>
          <w:rFonts w:ascii="仿宋" w:hAnsi="仿宋" w:eastAsia="仿宋" w:cs="仿宋"/>
          <w:b/>
          <w:bCs/>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成本指标完成情况。</w:t>
      </w:r>
    </w:p>
    <w:p w14:paraId="6DC2D3BB">
      <w:pPr>
        <w:pStyle w:val="6"/>
        <w:spacing w:beforeAutospacing="0" w:afterAutospacing="0" w:line="600" w:lineRule="atLeast"/>
        <w:ind w:firstLine="613"/>
        <w:jc w:val="both"/>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衔接资金使用</w:t>
      </w:r>
      <w:r>
        <w:rPr>
          <w:rFonts w:hint="eastAsia" w:ascii="仿宋" w:hAnsi="仿宋" w:eastAsia="仿宋" w:cs="仿宋"/>
          <w:b/>
          <w:bCs/>
          <w:sz w:val="32"/>
          <w:szCs w:val="32"/>
        </w:rPr>
        <w:t>情况。</w:t>
      </w:r>
      <w:r>
        <w:rPr>
          <w:rFonts w:hint="eastAsia" w:ascii="仿宋" w:hAnsi="仿宋" w:eastAsia="仿宋" w:cs="仿宋"/>
          <w:sz w:val="32"/>
          <w:szCs w:val="32"/>
        </w:rPr>
        <w:t>成本控制在预算范围内，</w:t>
      </w:r>
      <w:r>
        <w:rPr>
          <w:rFonts w:hint="eastAsia" w:ascii="仿宋" w:hAnsi="仿宋" w:eastAsia="仿宋" w:cs="仿宋"/>
          <w:sz w:val="32"/>
          <w:szCs w:val="32"/>
          <w:lang w:val="en-US" w:eastAsia="zh-CN"/>
        </w:rPr>
        <w:t>专项衔接资金50万元</w:t>
      </w:r>
      <w:r>
        <w:rPr>
          <w:rFonts w:hint="eastAsia" w:ascii="仿宋" w:hAnsi="仿宋" w:eastAsia="仿宋" w:cs="仿宋"/>
          <w:sz w:val="32"/>
          <w:szCs w:val="32"/>
        </w:rPr>
        <w:t>已完成预期指标任务，自评档为：已达成预期指标。</w:t>
      </w:r>
    </w:p>
    <w:p w14:paraId="348F4B2C">
      <w:pPr>
        <w:pStyle w:val="6"/>
        <w:spacing w:beforeAutospacing="0" w:afterAutospacing="0" w:line="600" w:lineRule="atLeast"/>
        <w:ind w:firstLine="613"/>
        <w:jc w:val="both"/>
        <w:rPr>
          <w:rFonts w:hint="eastAsia"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自筹资金使用情况</w:t>
      </w:r>
      <w:r>
        <w:rPr>
          <w:rFonts w:hint="eastAsia" w:ascii="仿宋" w:hAnsi="仿宋" w:eastAsia="仿宋" w:cs="仿宋"/>
          <w:b/>
          <w:bCs/>
          <w:sz w:val="32"/>
          <w:szCs w:val="32"/>
        </w:rPr>
        <w:t>。</w:t>
      </w:r>
      <w:r>
        <w:rPr>
          <w:rFonts w:hint="eastAsia" w:ascii="仿宋" w:hAnsi="仿宋" w:eastAsia="仿宋" w:cs="仿宋"/>
          <w:sz w:val="32"/>
          <w:szCs w:val="32"/>
        </w:rPr>
        <w:t>成本控制在预算范围内，</w:t>
      </w:r>
      <w:r>
        <w:rPr>
          <w:rFonts w:hint="eastAsia" w:ascii="仿宋" w:hAnsi="仿宋" w:eastAsia="仿宋" w:cs="仿宋"/>
          <w:sz w:val="32"/>
          <w:szCs w:val="32"/>
          <w:lang w:val="en-US" w:eastAsia="zh-CN"/>
        </w:rPr>
        <w:t>自筹资金7.10万元</w:t>
      </w:r>
      <w:r>
        <w:rPr>
          <w:rFonts w:hint="eastAsia" w:ascii="仿宋" w:hAnsi="仿宋" w:eastAsia="仿宋" w:cs="仿宋"/>
          <w:sz w:val="32"/>
          <w:szCs w:val="32"/>
        </w:rPr>
        <w:t>已完成预期指标任务，自评档为：已达成预期指标。</w:t>
      </w:r>
    </w:p>
    <w:p w14:paraId="030870C9">
      <w:pPr>
        <w:pStyle w:val="6"/>
        <w:spacing w:beforeAutospacing="0" w:afterAutospacing="0" w:line="600" w:lineRule="atLeast"/>
        <w:ind w:firstLine="613"/>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项目实施的可持续影响。</w:t>
      </w:r>
      <w:r>
        <w:rPr>
          <w:rFonts w:hint="eastAsia" w:ascii="仿宋" w:hAnsi="仿宋" w:eastAsia="仿宋" w:cs="仿宋"/>
          <w:sz w:val="32"/>
          <w:szCs w:val="32"/>
        </w:rPr>
        <w:t>该项目建成后可利用年限长达</w:t>
      </w:r>
      <w:r>
        <w:rPr>
          <w:rFonts w:hint="eastAsia" w:ascii="仿宋" w:hAnsi="仿宋" w:eastAsia="仿宋" w:cs="仿宋"/>
          <w:sz w:val="32"/>
          <w:szCs w:val="32"/>
          <w:lang w:val="en-US" w:eastAsia="zh-CN"/>
        </w:rPr>
        <w:t>15</w:t>
      </w:r>
      <w:r>
        <w:rPr>
          <w:rFonts w:hint="eastAsia" w:ascii="仿宋" w:hAnsi="仿宋" w:eastAsia="仿宋" w:cs="仿宋"/>
          <w:sz w:val="32"/>
          <w:szCs w:val="32"/>
        </w:rPr>
        <w:t>年以上，已完成预期指标任务。自评档为：已达成预期指标。</w:t>
      </w:r>
    </w:p>
    <w:p w14:paraId="2025BF04">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四</w:t>
      </w:r>
      <w:r>
        <w:rPr>
          <w:rFonts w:hint="eastAsia" w:ascii="楷体_GB2312" w:hAnsi="楷体_GB2312" w:eastAsia="楷体_GB2312" w:cs="楷体_GB2312"/>
          <w:b/>
          <w:bCs/>
          <w:kern w:val="0"/>
          <w:sz w:val="32"/>
          <w:szCs w:val="32"/>
          <w:lang w:eastAsia="zh-CN"/>
        </w:rPr>
        <w:t>）项目支出效益情况</w:t>
      </w:r>
    </w:p>
    <w:p w14:paraId="2E6079AB">
      <w:pPr>
        <w:pStyle w:val="6"/>
        <w:spacing w:beforeAutospacing="0" w:afterAutospacing="0" w:line="600" w:lineRule="atLeast"/>
        <w:ind w:left="0" w:leftChars="0" w:firstLine="643" w:firstLineChars="200"/>
        <w:jc w:val="both"/>
        <w:rPr>
          <w:rFonts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项目实施的经济效益。</w:t>
      </w:r>
      <w:r>
        <w:rPr>
          <w:rFonts w:hint="eastAsia" w:ascii="仿宋" w:hAnsi="仿宋" w:eastAsia="仿宋" w:cs="仿宋"/>
          <w:sz w:val="32"/>
          <w:szCs w:val="32"/>
        </w:rPr>
        <w:t>该项目优先就近安排脱贫户、监测户务工务劳，提高农户打工收入，</w:t>
      </w:r>
      <w:r>
        <w:rPr>
          <w:rFonts w:hint="eastAsia" w:ascii="仿宋" w:hAnsi="仿宋" w:eastAsia="仿宋" w:cs="仿宋"/>
          <w:sz w:val="32"/>
          <w:szCs w:val="32"/>
          <w:lang w:val="en-US" w:eastAsia="zh-CN"/>
        </w:rPr>
        <w:t>人均增收200元，</w:t>
      </w:r>
      <w:r>
        <w:rPr>
          <w:rFonts w:hint="eastAsia" w:ascii="仿宋" w:hAnsi="仿宋" w:eastAsia="仿宋" w:cs="仿宋"/>
          <w:sz w:val="32"/>
          <w:szCs w:val="32"/>
        </w:rPr>
        <w:t>已完成预期指标任务</w:t>
      </w:r>
      <w:r>
        <w:rPr>
          <w:rFonts w:hint="eastAsia" w:ascii="仿宋" w:hAnsi="仿宋" w:eastAsia="仿宋" w:cs="仿宋"/>
          <w:sz w:val="32"/>
          <w:szCs w:val="32"/>
          <w:lang w:eastAsia="zh-CN"/>
        </w:rPr>
        <w:t>。</w:t>
      </w:r>
      <w:r>
        <w:rPr>
          <w:rFonts w:hint="eastAsia" w:ascii="仿宋" w:hAnsi="仿宋" w:eastAsia="仿宋" w:cs="仿宋"/>
          <w:sz w:val="32"/>
          <w:szCs w:val="32"/>
        </w:rPr>
        <w:t>自评档为：已达成预期指标。</w:t>
      </w:r>
    </w:p>
    <w:p w14:paraId="072196AB">
      <w:pPr>
        <w:pStyle w:val="6"/>
        <w:spacing w:beforeAutospacing="0" w:afterAutospacing="0" w:line="600" w:lineRule="atLeast"/>
        <w:ind w:left="0" w:leftChars="0" w:firstLine="643" w:firstLineChars="200"/>
        <w:jc w:val="both"/>
        <w:rPr>
          <w:rFonts w:hint="eastAsia" w:eastAsia="仿宋_GB2312"/>
          <w:kern w:val="0"/>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项目实施的社会效益。</w:t>
      </w:r>
      <w:r>
        <w:rPr>
          <w:rFonts w:hint="eastAsia" w:ascii="仿宋" w:hAnsi="仿宋" w:eastAsia="仿宋" w:cs="仿宋"/>
          <w:sz w:val="32"/>
          <w:szCs w:val="32"/>
        </w:rPr>
        <w:t>该项目</w:t>
      </w:r>
      <w:r>
        <w:rPr>
          <w:rFonts w:hint="eastAsia" w:ascii="仿宋" w:hAnsi="仿宋" w:eastAsia="仿宋" w:cs="仿宋"/>
          <w:sz w:val="32"/>
          <w:szCs w:val="32"/>
          <w:lang w:val="en-US" w:eastAsia="zh-CN"/>
        </w:rPr>
        <w:t>受益群众达到210人，</w:t>
      </w:r>
      <w:r>
        <w:rPr>
          <w:rFonts w:hint="eastAsia" w:ascii="仿宋" w:hAnsi="仿宋" w:eastAsia="仿宋" w:cs="仿宋"/>
          <w:sz w:val="32"/>
          <w:szCs w:val="32"/>
        </w:rPr>
        <w:t>已完成预期指标任务。自评档为：已达成预期指标。</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5DCE639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无。</w:t>
      </w:r>
    </w:p>
    <w:p w14:paraId="58DE1297">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1EE2B1A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ascii="仿宋" w:hAnsi="仿宋" w:eastAsia="仿宋" w:cs="仿宋"/>
          <w:snapToGrid w:val="0"/>
          <w:color w:val="000000"/>
          <w:kern w:val="0"/>
          <w:sz w:val="32"/>
          <w:szCs w:val="32"/>
          <w:lang w:val="en-US" w:eastAsia="zh-CN" w:bidi="ar-SA"/>
        </w:rPr>
        <w:t>无。</w:t>
      </w:r>
    </w:p>
    <w:p w14:paraId="40E54572">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14:paraId="4F0C2182">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0" w:leftChars="0" w:firstLine="640" w:firstLineChars="200"/>
        <w:textAlignment w:val="baseline"/>
        <w:outlineLvl w:val="0"/>
        <w:rPr>
          <w:rFonts w:hint="default"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无。</w:t>
      </w:r>
    </w:p>
    <w:p w14:paraId="06F0353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4"/>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4"/>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4"/>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4"/>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9F79F"/>
    <w:multiLevelType w:val="singleLevel"/>
    <w:tmpl w:val="8A69F79F"/>
    <w:lvl w:ilvl="0" w:tentative="0">
      <w:start w:val="1"/>
      <w:numFmt w:val="decimal"/>
      <w:suff w:val="nothing"/>
      <w:lvlText w:val="%1、"/>
      <w:lvlJc w:val="left"/>
    </w:lvl>
  </w:abstractNum>
  <w:abstractNum w:abstractNumId="1">
    <w:nsid w:val="FA5A2D37"/>
    <w:multiLevelType w:val="singleLevel"/>
    <w:tmpl w:val="FA5A2D37"/>
    <w:lvl w:ilvl="0" w:tentative="0">
      <w:start w:val="1"/>
      <w:numFmt w:val="chineseCounting"/>
      <w:suff w:val="nothing"/>
      <w:lvlText w:val="%1、"/>
      <w:lvlJc w:val="left"/>
      <w:rPr>
        <w:rFonts w:hint="eastAsia"/>
      </w:rPr>
    </w:lvl>
  </w:abstractNum>
  <w:abstractNum w:abstractNumId="2">
    <w:nsid w:val="52039CD8"/>
    <w:multiLevelType w:val="singleLevel"/>
    <w:tmpl w:val="52039CD8"/>
    <w:lvl w:ilvl="0" w:tentative="0">
      <w:start w:val="1"/>
      <w:numFmt w:val="chineseCounting"/>
      <w:lvlText w:val="(%1)"/>
      <w:lvlJc w:val="left"/>
      <w:pPr>
        <w:tabs>
          <w:tab w:val="left" w:pos="312"/>
        </w:tabs>
      </w:pPr>
      <w:rPr>
        <w:rFonts w:hint="eastAsia"/>
      </w:rPr>
    </w:lvl>
  </w:abstractNum>
  <w:abstractNum w:abstractNumId="3">
    <w:nsid w:val="6B375C40"/>
    <w:multiLevelType w:val="singleLevel"/>
    <w:tmpl w:val="6B375C40"/>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E5ZjNlZGVlNDUyMDY2MzI3MzBkMzI5MWE4NTViYTMifQ=="/>
  </w:docVars>
  <w:rsids>
    <w:rsidRoot w:val="00000000"/>
    <w:rsid w:val="00D24BD6"/>
    <w:rsid w:val="01AF3811"/>
    <w:rsid w:val="03795BF7"/>
    <w:rsid w:val="086E756B"/>
    <w:rsid w:val="09897638"/>
    <w:rsid w:val="0A2738A4"/>
    <w:rsid w:val="0ACF37E5"/>
    <w:rsid w:val="0B400BC6"/>
    <w:rsid w:val="0BEE0331"/>
    <w:rsid w:val="0CF14C12"/>
    <w:rsid w:val="0E68228D"/>
    <w:rsid w:val="0EA6787F"/>
    <w:rsid w:val="13A02747"/>
    <w:rsid w:val="15276E52"/>
    <w:rsid w:val="19D32FBC"/>
    <w:rsid w:val="1BF43C15"/>
    <w:rsid w:val="1E552955"/>
    <w:rsid w:val="1E6A4395"/>
    <w:rsid w:val="25557A3D"/>
    <w:rsid w:val="26EA5ED7"/>
    <w:rsid w:val="27A93B82"/>
    <w:rsid w:val="29C24F9A"/>
    <w:rsid w:val="2AE00186"/>
    <w:rsid w:val="308216BE"/>
    <w:rsid w:val="32AF043E"/>
    <w:rsid w:val="34FE1149"/>
    <w:rsid w:val="37C87FD8"/>
    <w:rsid w:val="3A550786"/>
    <w:rsid w:val="3B7A130F"/>
    <w:rsid w:val="3D4800DD"/>
    <w:rsid w:val="438857C0"/>
    <w:rsid w:val="43A3400D"/>
    <w:rsid w:val="494A1329"/>
    <w:rsid w:val="49D24CE6"/>
    <w:rsid w:val="4CE16841"/>
    <w:rsid w:val="4F8B6063"/>
    <w:rsid w:val="52FA3F96"/>
    <w:rsid w:val="55850F17"/>
    <w:rsid w:val="57AE6D93"/>
    <w:rsid w:val="5FB623A7"/>
    <w:rsid w:val="628B289B"/>
    <w:rsid w:val="629E17B2"/>
    <w:rsid w:val="6A416CD3"/>
    <w:rsid w:val="6E3851B0"/>
    <w:rsid w:val="6EE203A1"/>
    <w:rsid w:val="70B9799E"/>
    <w:rsid w:val="764D1BA4"/>
    <w:rsid w:val="784167CA"/>
    <w:rsid w:val="78B74F24"/>
    <w:rsid w:val="79B91EEC"/>
    <w:rsid w:val="7A8A28F0"/>
    <w:rsid w:val="7BB340C8"/>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autoRedefine/>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34"/>
      <w:szCs w:val="34"/>
      <w:lang w:val="en-US" w:eastAsia="en-US" w:bidi="ar-SA"/>
    </w:rPr>
  </w:style>
  <w:style w:type="paragraph" w:styleId="4">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pPr>
    <w:rPr>
      <w:rFonts w:cs="Times New Roman"/>
      <w:sz w:val="24"/>
      <w:lang w:eastAsia="zh-CN"/>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Arial" w:hAnsi="Arial" w:eastAsia="Arial" w:cs="Arial"/>
      <w:sz w:val="21"/>
      <w:szCs w:val="21"/>
      <w:lang w:val="en-US" w:eastAsia="en-US" w:bidi="ar-SA"/>
    </w:rPr>
  </w:style>
  <w:style w:type="paragraph" w:styleId="11">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4679</Words>
  <Characters>5050</Characters>
  <TotalTime>0</TotalTime>
  <ScaleCrop>false</ScaleCrop>
  <LinksUpToDate>false</LinksUpToDate>
  <CharactersWithSpaces>5207</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WPS_1219550114</cp:lastModifiedBy>
  <cp:lastPrinted>2024-05-21T14:05:00Z</cp:lastPrinted>
  <dcterms:modified xsi:type="dcterms:W3CDTF">2024-10-09T01:48:04Z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B0CFF7D8B255429190D1F8D024B66CB1_13</vt:lpwstr>
  </property>
</Properties>
</file>