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shd w:val="clear" w:color="auto" w:fill="auto"/>
            <w:vAlign w:val="center"/>
          </w:tcPr>
          <w:p w14:paraId="4056B26D">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280</w:t>
            </w:r>
          </w:p>
        </w:tc>
        <w:tc>
          <w:tcPr>
            <w:tcW w:w="2039" w:type="dxa"/>
            <w:gridSpan w:val="2"/>
            <w:shd w:val="clear" w:color="auto" w:fill="auto"/>
            <w:vAlign w:val="center"/>
          </w:tcPr>
          <w:p w14:paraId="1D47B169">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283</w:t>
            </w:r>
          </w:p>
        </w:tc>
        <w:tc>
          <w:tcPr>
            <w:tcW w:w="1983" w:type="dxa"/>
            <w:gridSpan w:val="2"/>
            <w:shd w:val="clear" w:color="auto" w:fill="auto"/>
            <w:vAlign w:val="center"/>
          </w:tcPr>
          <w:p w14:paraId="06F2846E">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101.07%</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shd w:val="clear" w:color="auto" w:fill="auto"/>
            <w:vAlign w:val="center"/>
          </w:tcPr>
          <w:p w14:paraId="1C1EF02E">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57.94</w:t>
            </w:r>
          </w:p>
        </w:tc>
        <w:tc>
          <w:tcPr>
            <w:tcW w:w="2039" w:type="dxa"/>
            <w:gridSpan w:val="2"/>
            <w:shd w:val="clear" w:color="auto" w:fill="auto"/>
            <w:vAlign w:val="center"/>
          </w:tcPr>
          <w:p w14:paraId="1D6514EA">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55.3</w:t>
            </w:r>
          </w:p>
        </w:tc>
        <w:tc>
          <w:tcPr>
            <w:tcW w:w="1983" w:type="dxa"/>
            <w:gridSpan w:val="2"/>
            <w:shd w:val="clear" w:color="auto" w:fill="auto"/>
            <w:vAlign w:val="center"/>
          </w:tcPr>
          <w:p w14:paraId="7DFA6482">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45.64</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shd w:val="clear" w:color="auto" w:fill="auto"/>
            <w:vAlign w:val="center"/>
          </w:tcPr>
          <w:p w14:paraId="2BB3E60E">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35.18</w:t>
            </w:r>
          </w:p>
        </w:tc>
        <w:tc>
          <w:tcPr>
            <w:tcW w:w="2039" w:type="dxa"/>
            <w:gridSpan w:val="2"/>
            <w:shd w:val="clear" w:color="auto" w:fill="auto"/>
            <w:vAlign w:val="center"/>
          </w:tcPr>
          <w:p w14:paraId="7474BB6E">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27</w:t>
            </w:r>
          </w:p>
        </w:tc>
        <w:tc>
          <w:tcPr>
            <w:tcW w:w="1983" w:type="dxa"/>
            <w:gridSpan w:val="2"/>
            <w:shd w:val="clear" w:color="auto" w:fill="auto"/>
            <w:vAlign w:val="center"/>
          </w:tcPr>
          <w:p w14:paraId="71BD7494">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26.05</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shd w:val="clear" w:color="auto" w:fill="auto"/>
            <w:vAlign w:val="center"/>
          </w:tcPr>
          <w:p w14:paraId="31BDC46A">
            <w:pPr>
              <w:jc w:val="center"/>
              <w:rPr>
                <w:rFonts w:ascii="仿宋_GB2312" w:hAnsi="Arial" w:eastAsia="仿宋_GB2312" w:cs="Arial"/>
                <w:snapToGrid w:val="0"/>
                <w:color w:val="000000"/>
                <w:kern w:val="0"/>
                <w:sz w:val="21"/>
                <w:szCs w:val="21"/>
                <w:lang w:val="en-US" w:eastAsia="en-US" w:bidi="ar-SA"/>
              </w:rPr>
            </w:pPr>
          </w:p>
        </w:tc>
        <w:tc>
          <w:tcPr>
            <w:tcW w:w="2039" w:type="dxa"/>
            <w:gridSpan w:val="2"/>
            <w:shd w:val="clear" w:color="auto" w:fill="auto"/>
            <w:vAlign w:val="center"/>
          </w:tcPr>
          <w:p w14:paraId="79420B7F">
            <w:pPr>
              <w:jc w:val="center"/>
              <w:rPr>
                <w:rFonts w:ascii="仿宋_GB2312" w:hAnsi="Arial" w:eastAsia="仿宋_GB2312" w:cs="Arial"/>
                <w:snapToGrid w:val="0"/>
                <w:color w:val="000000"/>
                <w:kern w:val="0"/>
                <w:sz w:val="21"/>
                <w:szCs w:val="21"/>
                <w:lang w:val="en-US" w:eastAsia="en-US" w:bidi="ar-SA"/>
              </w:rPr>
            </w:pPr>
          </w:p>
        </w:tc>
        <w:tc>
          <w:tcPr>
            <w:tcW w:w="1983" w:type="dxa"/>
            <w:gridSpan w:val="2"/>
            <w:shd w:val="clear" w:color="auto" w:fill="auto"/>
            <w:vAlign w:val="center"/>
          </w:tcPr>
          <w:p w14:paraId="0A161583">
            <w:pPr>
              <w:jc w:val="center"/>
              <w:rPr>
                <w:rFonts w:ascii="仿宋_GB2312" w:hAnsi="Arial" w:eastAsia="仿宋_GB2312" w:cs="Arial"/>
                <w:snapToGrid w:val="0"/>
                <w:color w:val="000000"/>
                <w:kern w:val="0"/>
                <w:sz w:val="21"/>
                <w:szCs w:val="21"/>
                <w:lang w:val="en-US" w:eastAsia="en-US" w:bidi="ar-SA"/>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shd w:val="clear" w:color="auto" w:fill="auto"/>
            <w:vAlign w:val="center"/>
          </w:tcPr>
          <w:p w14:paraId="6581D34A">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35.18</w:t>
            </w:r>
          </w:p>
        </w:tc>
        <w:tc>
          <w:tcPr>
            <w:tcW w:w="2039" w:type="dxa"/>
            <w:gridSpan w:val="2"/>
            <w:shd w:val="clear" w:color="auto" w:fill="auto"/>
            <w:vAlign w:val="center"/>
          </w:tcPr>
          <w:p w14:paraId="4D0A1ED9">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27</w:t>
            </w:r>
          </w:p>
        </w:tc>
        <w:tc>
          <w:tcPr>
            <w:tcW w:w="1983" w:type="dxa"/>
            <w:gridSpan w:val="2"/>
            <w:shd w:val="clear" w:color="auto" w:fill="auto"/>
            <w:vAlign w:val="center"/>
          </w:tcPr>
          <w:p w14:paraId="5A740743">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26.05</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shd w:val="clear" w:color="auto" w:fill="auto"/>
            <w:vAlign w:val="center"/>
          </w:tcPr>
          <w:p w14:paraId="6F82C849">
            <w:pPr>
              <w:jc w:val="center"/>
              <w:rPr>
                <w:rFonts w:ascii="仿宋_GB2312" w:hAnsi="Arial" w:eastAsia="仿宋_GB2312" w:cs="Arial"/>
                <w:snapToGrid w:val="0"/>
                <w:color w:val="000000"/>
                <w:kern w:val="0"/>
                <w:sz w:val="21"/>
                <w:szCs w:val="21"/>
                <w:lang w:val="en-US" w:eastAsia="en-US" w:bidi="ar-SA"/>
              </w:rPr>
            </w:pPr>
          </w:p>
        </w:tc>
        <w:tc>
          <w:tcPr>
            <w:tcW w:w="2039" w:type="dxa"/>
            <w:gridSpan w:val="2"/>
            <w:shd w:val="clear" w:color="auto" w:fill="auto"/>
            <w:vAlign w:val="center"/>
          </w:tcPr>
          <w:p w14:paraId="402D38BC">
            <w:pPr>
              <w:jc w:val="center"/>
              <w:rPr>
                <w:rFonts w:ascii="仿宋_GB2312" w:hAnsi="Arial" w:eastAsia="仿宋_GB2312" w:cs="Arial"/>
                <w:snapToGrid w:val="0"/>
                <w:color w:val="000000"/>
                <w:kern w:val="0"/>
                <w:sz w:val="21"/>
                <w:szCs w:val="21"/>
                <w:lang w:val="en-US" w:eastAsia="en-US" w:bidi="ar-SA"/>
              </w:rPr>
            </w:pPr>
          </w:p>
        </w:tc>
        <w:tc>
          <w:tcPr>
            <w:tcW w:w="1983" w:type="dxa"/>
            <w:gridSpan w:val="2"/>
            <w:shd w:val="clear" w:color="auto" w:fill="auto"/>
            <w:vAlign w:val="center"/>
          </w:tcPr>
          <w:p w14:paraId="0229920A">
            <w:pPr>
              <w:jc w:val="center"/>
              <w:rPr>
                <w:rFonts w:ascii="仿宋_GB2312" w:hAnsi="Arial" w:eastAsia="仿宋_GB2312" w:cs="Arial"/>
                <w:snapToGrid w:val="0"/>
                <w:color w:val="000000"/>
                <w:kern w:val="0"/>
                <w:sz w:val="21"/>
                <w:szCs w:val="21"/>
                <w:lang w:val="en-US" w:eastAsia="en-US" w:bidi="ar-SA"/>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color="auto" w:fill="auto"/>
            <w:vAlign w:val="center"/>
          </w:tcPr>
          <w:p w14:paraId="23AA2EC5">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22.76</w:t>
            </w:r>
          </w:p>
        </w:tc>
        <w:tc>
          <w:tcPr>
            <w:tcW w:w="2039" w:type="dxa"/>
            <w:gridSpan w:val="2"/>
            <w:shd w:val="clear" w:color="auto" w:fill="auto"/>
            <w:vAlign w:val="center"/>
          </w:tcPr>
          <w:p w14:paraId="672289AD">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28.3</w:t>
            </w:r>
          </w:p>
        </w:tc>
        <w:tc>
          <w:tcPr>
            <w:tcW w:w="1983" w:type="dxa"/>
            <w:gridSpan w:val="2"/>
            <w:shd w:val="clear" w:color="auto" w:fill="auto"/>
            <w:vAlign w:val="center"/>
          </w:tcPr>
          <w:p w14:paraId="7985B411">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19.59</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shd w:val="clear" w:color="auto" w:fill="auto"/>
            <w:vAlign w:val="center"/>
          </w:tcPr>
          <w:p w14:paraId="6B7C6FFA">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729.28</w:t>
            </w:r>
          </w:p>
        </w:tc>
        <w:tc>
          <w:tcPr>
            <w:tcW w:w="2039" w:type="dxa"/>
            <w:gridSpan w:val="2"/>
            <w:shd w:val="clear" w:color="auto" w:fill="auto"/>
            <w:vAlign w:val="center"/>
          </w:tcPr>
          <w:p w14:paraId="56A401C1">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417</w:t>
            </w:r>
          </w:p>
        </w:tc>
        <w:tc>
          <w:tcPr>
            <w:tcW w:w="1983" w:type="dxa"/>
            <w:gridSpan w:val="2"/>
            <w:shd w:val="clear" w:color="auto" w:fill="auto"/>
            <w:vAlign w:val="center"/>
          </w:tcPr>
          <w:p w14:paraId="7E496EB6">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1459.36</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shd w:val="clear" w:color="auto" w:fill="auto"/>
            <w:vAlign w:val="center"/>
          </w:tcPr>
          <w:p w14:paraId="5C6C607C">
            <w:pPr>
              <w:keepNext w:val="0"/>
              <w:keepLines w:val="0"/>
              <w:widowControl/>
              <w:suppressLineNumbers w:val="0"/>
              <w:jc w:val="center"/>
              <w:textAlignment w:val="center"/>
              <w:rPr>
                <w:rFonts w:ascii="仿宋_GB2312" w:hAnsi="Arial" w:eastAsia="仿宋_GB2312" w:cs="Arial"/>
                <w:snapToGrid w:val="0"/>
                <w:color w:val="000000"/>
                <w:kern w:val="0"/>
                <w:sz w:val="21"/>
                <w:szCs w:val="21"/>
                <w:highlight w:val="yellow"/>
                <w:lang w:val="en-US" w:eastAsia="en-US" w:bidi="ar-SA"/>
              </w:rPr>
            </w:pPr>
          </w:p>
        </w:tc>
        <w:tc>
          <w:tcPr>
            <w:tcW w:w="2039" w:type="dxa"/>
            <w:gridSpan w:val="2"/>
            <w:shd w:val="clear" w:color="auto" w:fill="auto"/>
            <w:vAlign w:val="center"/>
          </w:tcPr>
          <w:p w14:paraId="142DDA3A">
            <w:pPr>
              <w:keepNext w:val="0"/>
              <w:keepLines w:val="0"/>
              <w:widowControl/>
              <w:suppressLineNumbers w:val="0"/>
              <w:jc w:val="center"/>
              <w:textAlignment w:val="center"/>
              <w:rPr>
                <w:rFonts w:ascii="仿宋_GB2312" w:hAnsi="Arial" w:eastAsia="仿宋_GB2312" w:cs="Arial"/>
                <w:snapToGrid w:val="0"/>
                <w:color w:val="000000"/>
                <w:kern w:val="0"/>
                <w:sz w:val="21"/>
                <w:szCs w:val="21"/>
                <w:highlight w:val="yellow"/>
                <w:lang w:val="en-US" w:eastAsia="en-US" w:bidi="ar-SA"/>
              </w:rPr>
            </w:pPr>
          </w:p>
        </w:tc>
        <w:tc>
          <w:tcPr>
            <w:tcW w:w="1983" w:type="dxa"/>
            <w:gridSpan w:val="2"/>
            <w:shd w:val="clear" w:color="auto" w:fill="auto"/>
            <w:vAlign w:val="center"/>
          </w:tcPr>
          <w:p w14:paraId="2E8DC00D">
            <w:pPr>
              <w:keepNext w:val="0"/>
              <w:keepLines w:val="0"/>
              <w:widowControl/>
              <w:suppressLineNumbers w:val="0"/>
              <w:jc w:val="center"/>
              <w:textAlignment w:val="center"/>
              <w:rPr>
                <w:rFonts w:ascii="仿宋_GB2312" w:hAnsi="Arial" w:eastAsia="仿宋_GB2312" w:cs="Arial"/>
                <w:snapToGrid w:val="0"/>
                <w:color w:val="000000"/>
                <w:kern w:val="0"/>
                <w:sz w:val="21"/>
                <w:szCs w:val="21"/>
                <w:highlight w:val="yellow"/>
                <w:lang w:val="en-US" w:eastAsia="en-US" w:bidi="ar-SA"/>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shd w:val="clear" w:color="auto" w:fill="auto"/>
            <w:vAlign w:val="center"/>
          </w:tcPr>
          <w:p w14:paraId="7757DF50">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2039" w:type="dxa"/>
            <w:gridSpan w:val="2"/>
            <w:shd w:val="clear" w:color="auto" w:fill="auto"/>
            <w:vAlign w:val="center"/>
          </w:tcPr>
          <w:p w14:paraId="31C696EB">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983" w:type="dxa"/>
            <w:gridSpan w:val="2"/>
            <w:shd w:val="clear" w:color="auto" w:fill="auto"/>
            <w:vAlign w:val="center"/>
          </w:tcPr>
          <w:p w14:paraId="1F7D72B8">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shd w:val="clear" w:color="auto" w:fill="auto"/>
            <w:vAlign w:val="center"/>
          </w:tcPr>
          <w:p w14:paraId="482AEA10">
            <w:pPr>
              <w:spacing w:line="240" w:lineRule="auto"/>
              <w:jc w:val="center"/>
              <w:rPr>
                <w:rFonts w:ascii="仿宋_GB2312" w:hAnsi="Arial" w:eastAsia="仿宋_GB2312" w:cs="Arial"/>
                <w:snapToGrid w:val="0"/>
                <w:color w:val="000000"/>
                <w:kern w:val="0"/>
                <w:sz w:val="21"/>
                <w:szCs w:val="21"/>
                <w:highlight w:val="none"/>
                <w:lang w:val="en-US" w:eastAsia="zh-CN" w:bidi="ar-SA"/>
              </w:rPr>
            </w:pPr>
            <w:r>
              <w:rPr>
                <w:rFonts w:hint="eastAsia" w:ascii="宋体" w:hAnsi="宋体" w:eastAsia="宋体" w:cs="宋体"/>
                <w:i w:val="0"/>
                <w:iCs w:val="0"/>
                <w:snapToGrid w:val="0"/>
                <w:color w:val="000000"/>
                <w:kern w:val="0"/>
                <w:sz w:val="22"/>
                <w:szCs w:val="22"/>
                <w:highlight w:val="none"/>
                <w:u w:val="none"/>
                <w:lang w:val="en-US" w:eastAsia="zh-CN" w:bidi="ar"/>
              </w:rPr>
              <w:t>729.28</w:t>
            </w:r>
          </w:p>
        </w:tc>
        <w:tc>
          <w:tcPr>
            <w:tcW w:w="2039" w:type="dxa"/>
            <w:gridSpan w:val="2"/>
            <w:shd w:val="clear" w:color="auto" w:fill="auto"/>
            <w:vAlign w:val="center"/>
          </w:tcPr>
          <w:p w14:paraId="18F75CDE">
            <w:pPr>
              <w:spacing w:line="240" w:lineRule="auto"/>
              <w:jc w:val="center"/>
              <w:rPr>
                <w:rFonts w:ascii="仿宋_GB2312" w:hAnsi="Arial" w:eastAsia="仿宋_GB2312" w:cs="Arial"/>
                <w:snapToGrid w:val="0"/>
                <w:color w:val="000000"/>
                <w:kern w:val="0"/>
                <w:sz w:val="21"/>
                <w:szCs w:val="21"/>
                <w:highlight w:val="none"/>
                <w:lang w:val="en-US" w:eastAsia="zh-CN" w:bidi="ar-SA"/>
              </w:rPr>
            </w:pPr>
            <w:r>
              <w:rPr>
                <w:rFonts w:hint="eastAsia" w:ascii="宋体" w:hAnsi="宋体" w:eastAsia="宋体" w:cs="宋体"/>
                <w:i w:val="0"/>
                <w:iCs w:val="0"/>
                <w:snapToGrid w:val="0"/>
                <w:color w:val="000000"/>
                <w:kern w:val="0"/>
                <w:sz w:val="22"/>
                <w:szCs w:val="22"/>
                <w:highlight w:val="none"/>
                <w:u w:val="none"/>
                <w:lang w:val="en-US" w:eastAsia="zh-CN" w:bidi="ar"/>
              </w:rPr>
              <w:t>417</w:t>
            </w:r>
          </w:p>
        </w:tc>
        <w:tc>
          <w:tcPr>
            <w:tcW w:w="1983" w:type="dxa"/>
            <w:gridSpan w:val="2"/>
            <w:shd w:val="clear" w:color="auto" w:fill="auto"/>
            <w:vAlign w:val="center"/>
          </w:tcPr>
          <w:p w14:paraId="4D19413F">
            <w:pPr>
              <w:spacing w:line="240" w:lineRule="auto"/>
              <w:jc w:val="center"/>
              <w:rPr>
                <w:rFonts w:ascii="仿宋_GB2312" w:hAnsi="Arial" w:eastAsia="仿宋_GB2312" w:cs="Arial"/>
                <w:snapToGrid w:val="0"/>
                <w:color w:val="000000"/>
                <w:kern w:val="0"/>
                <w:sz w:val="21"/>
                <w:szCs w:val="21"/>
                <w:highlight w:val="none"/>
                <w:lang w:val="en-US" w:eastAsia="zh-CN" w:bidi="ar-SA"/>
              </w:rPr>
            </w:pPr>
            <w:r>
              <w:rPr>
                <w:rFonts w:hint="eastAsia" w:ascii="宋体" w:hAnsi="宋体" w:eastAsia="宋体" w:cs="宋体"/>
                <w:i w:val="0"/>
                <w:iCs w:val="0"/>
                <w:snapToGrid w:val="0"/>
                <w:color w:val="000000"/>
                <w:kern w:val="0"/>
                <w:sz w:val="22"/>
                <w:szCs w:val="22"/>
                <w:highlight w:val="none"/>
                <w:u w:val="none"/>
                <w:lang w:val="en-US" w:eastAsia="zh-CN" w:bidi="ar"/>
              </w:rPr>
              <w:t>1459.36</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shd w:val="clear" w:color="auto" w:fill="auto"/>
            <w:vAlign w:val="center"/>
          </w:tcPr>
          <w:p w14:paraId="4A5B86CE">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975.17</w:t>
            </w:r>
          </w:p>
        </w:tc>
        <w:tc>
          <w:tcPr>
            <w:tcW w:w="2039" w:type="dxa"/>
            <w:gridSpan w:val="2"/>
            <w:shd w:val="clear" w:color="auto" w:fill="auto"/>
            <w:vAlign w:val="center"/>
          </w:tcPr>
          <w:p w14:paraId="050E075D">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569.85</w:t>
            </w:r>
          </w:p>
        </w:tc>
        <w:tc>
          <w:tcPr>
            <w:tcW w:w="1983" w:type="dxa"/>
            <w:gridSpan w:val="2"/>
            <w:shd w:val="clear" w:color="auto" w:fill="auto"/>
            <w:vAlign w:val="center"/>
          </w:tcPr>
          <w:p w14:paraId="7357305D">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437.71</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color="auto" w:fill="auto"/>
            <w:vAlign w:val="center"/>
          </w:tcPr>
          <w:p w14:paraId="2C631A9B">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90.89</w:t>
            </w:r>
          </w:p>
        </w:tc>
        <w:tc>
          <w:tcPr>
            <w:tcW w:w="2039" w:type="dxa"/>
            <w:gridSpan w:val="2"/>
            <w:shd w:val="clear" w:color="auto" w:fill="auto"/>
            <w:vAlign w:val="center"/>
          </w:tcPr>
          <w:p w14:paraId="7BB02F1D">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107.54</w:t>
            </w:r>
          </w:p>
        </w:tc>
        <w:tc>
          <w:tcPr>
            <w:tcW w:w="1983" w:type="dxa"/>
            <w:gridSpan w:val="2"/>
            <w:shd w:val="clear" w:color="auto" w:fill="auto"/>
            <w:vAlign w:val="center"/>
          </w:tcPr>
          <w:p w14:paraId="087A3549">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136.13</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color="auto" w:fill="auto"/>
            <w:vAlign w:val="center"/>
          </w:tcPr>
          <w:p w14:paraId="7BF1871E">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54.06</w:t>
            </w:r>
          </w:p>
        </w:tc>
        <w:tc>
          <w:tcPr>
            <w:tcW w:w="2039" w:type="dxa"/>
            <w:gridSpan w:val="2"/>
            <w:shd w:val="clear" w:color="auto" w:fill="auto"/>
            <w:vAlign w:val="center"/>
          </w:tcPr>
          <w:p w14:paraId="31E21FE8">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79.24</w:t>
            </w:r>
          </w:p>
        </w:tc>
        <w:tc>
          <w:tcPr>
            <w:tcW w:w="1983" w:type="dxa"/>
            <w:gridSpan w:val="2"/>
            <w:shd w:val="clear" w:color="auto" w:fill="auto"/>
            <w:vAlign w:val="center"/>
          </w:tcPr>
          <w:p w14:paraId="4FD74531">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113.16</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color="auto" w:fill="auto"/>
            <w:vAlign w:val="center"/>
          </w:tcPr>
          <w:p w14:paraId="228A6C55">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36.83</w:t>
            </w:r>
          </w:p>
        </w:tc>
        <w:tc>
          <w:tcPr>
            <w:tcW w:w="2039" w:type="dxa"/>
            <w:gridSpan w:val="2"/>
            <w:shd w:val="clear" w:color="auto" w:fill="auto"/>
            <w:vAlign w:val="center"/>
          </w:tcPr>
          <w:p w14:paraId="467174B3">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28.3</w:t>
            </w:r>
          </w:p>
        </w:tc>
        <w:tc>
          <w:tcPr>
            <w:tcW w:w="1983" w:type="dxa"/>
            <w:gridSpan w:val="2"/>
            <w:shd w:val="clear" w:color="auto" w:fill="auto"/>
            <w:vAlign w:val="center"/>
          </w:tcPr>
          <w:p w14:paraId="550E4F9D">
            <w:pPr>
              <w:keepNext w:val="0"/>
              <w:keepLines w:val="0"/>
              <w:widowControl/>
              <w:suppressLineNumbers w:val="0"/>
              <w:jc w:val="center"/>
              <w:textAlignment w:val="center"/>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22.97</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color="auto" w:fill="auto"/>
            <w:vAlign w:val="center"/>
          </w:tcPr>
          <w:p w14:paraId="0BB04A1B">
            <w:pPr>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2039" w:type="dxa"/>
            <w:gridSpan w:val="2"/>
            <w:shd w:val="clear" w:color="auto" w:fill="auto"/>
            <w:vAlign w:val="center"/>
          </w:tcPr>
          <w:p w14:paraId="18AD1802">
            <w:pPr>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1983" w:type="dxa"/>
            <w:gridSpan w:val="2"/>
            <w:shd w:val="clear" w:color="auto" w:fill="auto"/>
            <w:vAlign w:val="center"/>
          </w:tcPr>
          <w:p w14:paraId="4363E711">
            <w:pPr>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150</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shd w:val="clear" w:color="auto" w:fill="auto"/>
            <w:vAlign w:val="center"/>
          </w:tcPr>
          <w:p w14:paraId="56E7EB72">
            <w:pPr>
              <w:keepNext w:val="0"/>
              <w:keepLines w:val="0"/>
              <w:widowControl/>
              <w:suppressLineNumbers w:val="0"/>
              <w:jc w:val="center"/>
              <w:textAlignment w:val="center"/>
              <w:rPr>
                <w:rFonts w:ascii="仿宋_GB2312" w:hAnsi="Arial" w:eastAsia="仿宋_GB2312" w:cs="Arial"/>
                <w:snapToGrid w:val="0"/>
                <w:color w:val="000000"/>
                <w:kern w:val="0"/>
                <w:sz w:val="21"/>
                <w:szCs w:val="21"/>
                <w:highlight w:val="yellow"/>
                <w:lang w:val="en-US" w:eastAsia="zh-CN" w:bidi="ar-SA"/>
              </w:rPr>
            </w:pPr>
          </w:p>
        </w:tc>
        <w:tc>
          <w:tcPr>
            <w:tcW w:w="2039" w:type="dxa"/>
            <w:gridSpan w:val="2"/>
            <w:shd w:val="clear" w:color="auto" w:fill="auto"/>
            <w:vAlign w:val="center"/>
          </w:tcPr>
          <w:p w14:paraId="50A3B14E">
            <w:pPr>
              <w:keepNext w:val="0"/>
              <w:keepLines w:val="0"/>
              <w:widowControl/>
              <w:suppressLineNumbers w:val="0"/>
              <w:jc w:val="center"/>
              <w:textAlignment w:val="center"/>
              <w:rPr>
                <w:rFonts w:ascii="仿宋_GB2312" w:hAnsi="Arial" w:eastAsia="仿宋_GB2312" w:cs="Arial"/>
                <w:snapToGrid w:val="0"/>
                <w:color w:val="000000"/>
                <w:kern w:val="0"/>
                <w:sz w:val="21"/>
                <w:szCs w:val="21"/>
                <w:highlight w:val="yellow"/>
                <w:lang w:val="en-US" w:eastAsia="zh-CN" w:bidi="ar-SA"/>
              </w:rPr>
            </w:pPr>
          </w:p>
        </w:tc>
        <w:tc>
          <w:tcPr>
            <w:tcW w:w="1983" w:type="dxa"/>
            <w:gridSpan w:val="2"/>
            <w:shd w:val="clear" w:color="auto" w:fill="auto"/>
            <w:vAlign w:val="center"/>
          </w:tcPr>
          <w:p w14:paraId="5A7B6931">
            <w:pPr>
              <w:keepNext w:val="0"/>
              <w:keepLines w:val="0"/>
              <w:widowControl/>
              <w:suppressLineNumbers w:val="0"/>
              <w:jc w:val="center"/>
              <w:textAlignment w:val="center"/>
              <w:rPr>
                <w:rFonts w:ascii="仿宋_GB2312" w:hAnsi="Arial" w:eastAsia="仿宋_GB2312" w:cs="Arial"/>
                <w:snapToGrid w:val="0"/>
                <w:color w:val="000000"/>
                <w:kern w:val="0"/>
                <w:sz w:val="21"/>
                <w:szCs w:val="21"/>
                <w:highlight w:val="yellow"/>
                <w:lang w:val="en-US" w:eastAsia="zh-CN" w:bidi="ar-SA"/>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eepNext w:val="0"/>
              <w:keepLines w:val="0"/>
              <w:widowControl/>
              <w:suppressLineNumbers w:val="0"/>
              <w:jc w:val="center"/>
              <w:textAlignment w:val="center"/>
              <w:rPr>
                <w:rFonts w:ascii="Arial" w:hAnsi="Arial" w:eastAsia="Arial" w:cs="Arial"/>
                <w:snapToGrid w:val="0"/>
                <w:color w:val="00000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0.00</w:t>
            </w:r>
          </w:p>
        </w:tc>
        <w:tc>
          <w:tcPr>
            <w:tcW w:w="958" w:type="dxa"/>
            <w:vAlign w:val="center"/>
          </w:tcPr>
          <w:p w14:paraId="2016690B">
            <w:pPr>
              <w:keepNext w:val="0"/>
              <w:keepLines w:val="0"/>
              <w:widowControl/>
              <w:suppressLineNumbers w:val="0"/>
              <w:jc w:val="center"/>
              <w:textAlignment w:val="center"/>
              <w:rPr>
                <w:rFonts w:ascii="Arial" w:hAnsi="Arial" w:eastAsia="Arial" w:cs="Arial"/>
                <w:snapToGrid w:val="0"/>
                <w:color w:val="00000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0.00</w:t>
            </w:r>
          </w:p>
        </w:tc>
        <w:tc>
          <w:tcPr>
            <w:tcW w:w="960" w:type="dxa"/>
            <w:vAlign w:val="center"/>
          </w:tcPr>
          <w:p w14:paraId="4D734BF4">
            <w:pPr>
              <w:jc w:val="center"/>
              <w:rPr>
                <w:rFonts w:ascii="Arial" w:hAnsi="Arial" w:eastAsia="Arial" w:cs="Arial"/>
                <w:snapToGrid w:val="0"/>
                <w:color w:val="000000"/>
                <w:sz w:val="21"/>
                <w:szCs w:val="21"/>
                <w:lang w:val="en-US" w:eastAsia="en-US" w:bidi="ar-SA"/>
              </w:rPr>
            </w:pPr>
          </w:p>
        </w:tc>
        <w:tc>
          <w:tcPr>
            <w:tcW w:w="1079" w:type="dxa"/>
            <w:vAlign w:val="center"/>
          </w:tcPr>
          <w:p w14:paraId="5567D620">
            <w:pPr>
              <w:keepNext w:val="0"/>
              <w:keepLines w:val="0"/>
              <w:widowControl/>
              <w:suppressLineNumbers w:val="0"/>
              <w:jc w:val="center"/>
              <w:textAlignment w:val="center"/>
              <w:rPr>
                <w:rFonts w:ascii="Arial" w:hAnsi="Arial" w:eastAsia="Arial" w:cs="Arial"/>
                <w:snapToGrid w:val="0"/>
                <w:color w:val="00000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0.00</w:t>
            </w:r>
          </w:p>
        </w:tc>
        <w:tc>
          <w:tcPr>
            <w:tcW w:w="1039" w:type="dxa"/>
            <w:vAlign w:val="center"/>
          </w:tcPr>
          <w:p w14:paraId="31CE4E43">
            <w:pPr>
              <w:keepNext w:val="0"/>
              <w:keepLines w:val="0"/>
              <w:widowControl/>
              <w:suppressLineNumbers w:val="0"/>
              <w:jc w:val="center"/>
              <w:textAlignment w:val="center"/>
              <w:rPr>
                <w:rFonts w:ascii="Arial" w:hAnsi="Arial" w:eastAsia="Arial" w:cs="Arial"/>
                <w:snapToGrid w:val="0"/>
                <w:color w:val="00000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0.00</w:t>
            </w:r>
          </w:p>
        </w:tc>
        <w:tc>
          <w:tcPr>
            <w:tcW w:w="944" w:type="dxa"/>
            <w:vAlign w:val="center"/>
          </w:tcPr>
          <w:p w14:paraId="62FE64A2">
            <w:pPr>
              <w:jc w:val="center"/>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top"/>
          </w:tcPr>
          <w:p w14:paraId="60DD977F">
            <w:pPr>
              <w:kinsoku w:val="0"/>
              <w:autoSpaceDE w:val="0"/>
              <w:autoSpaceDN w:val="0"/>
              <w:adjustRightInd w:val="0"/>
              <w:snapToGrid w:val="0"/>
              <w:jc w:val="center"/>
              <w:textAlignment w:val="baseline"/>
              <w:rPr>
                <w:rFonts w:ascii="Arial" w:hAnsi="Arial" w:eastAsia="Arial" w:cs="Arial"/>
                <w:snapToGrid w:val="0"/>
                <w:color w:val="000000"/>
                <w:sz w:val="21"/>
                <w:szCs w:val="21"/>
                <w:lang w:val="en-US" w:eastAsia="en-US" w:bidi="ar-SA"/>
              </w:rPr>
            </w:pPr>
            <w:r>
              <w:rPr>
                <w:rFonts w:hint="eastAsia" w:ascii="仿宋" w:hAnsi="仿宋" w:eastAsia="仿宋" w:cs="仿宋"/>
                <w:snapToGrid w:val="0"/>
                <w:color w:val="000000"/>
                <w:sz w:val="21"/>
                <w:szCs w:val="21"/>
                <w:highlight w:val="none"/>
                <w:lang w:val="en-US" w:eastAsia="en-US" w:bidi="ar-SA"/>
              </w:rPr>
              <w:t>坚持以预算管理为中心，推行精细化管理，加强财务日常监管</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453E7D95">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袁焕</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2024年6月3日</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15842897555 </w:t>
      </w:r>
      <w:r>
        <w:rPr>
          <w:rFonts w:ascii="仿宋_GB2312" w:hAnsi="宋体" w:eastAsia="仿宋_GB2312" w:cs="宋体"/>
          <w:snapToGrid w:val="0"/>
          <w:color w:val="000000"/>
          <w:sz w:val="21"/>
          <w:szCs w:val="21"/>
          <w:lang w:val="en-US" w:eastAsia="zh-CN" w:bidi="ar-SA"/>
        </w:rPr>
        <w:t xml:space="preserve">   单位负责人签字：</w:t>
      </w:r>
    </w:p>
    <w:p w14:paraId="138D6D2C">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汨罗市市场监督管理局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3805.01</w:t>
            </w:r>
          </w:p>
        </w:tc>
        <w:tc>
          <w:tcPr>
            <w:tcW w:w="1298" w:type="dxa"/>
            <w:vAlign w:val="center"/>
          </w:tcPr>
          <w:p w14:paraId="78350D28">
            <w:pPr>
              <w:keepNext w:val="0"/>
              <w:keepLines w:val="0"/>
              <w:widowControl/>
              <w:suppressLineNumbers w:val="0"/>
              <w:jc w:val="center"/>
              <w:textAlignment w:val="center"/>
              <w:rPr>
                <w:rFonts w:ascii="仿宋_GB2312" w:eastAsia="仿宋_GB2312"/>
                <w:kern w:val="0"/>
              </w:rPr>
            </w:pPr>
            <w:r>
              <w:rPr>
                <w:rFonts w:hint="eastAsia" w:ascii="仿宋_GB2312" w:eastAsia="仿宋_GB2312"/>
                <w:kern w:val="0"/>
                <w:lang w:val="en-US" w:eastAsia="zh-CN"/>
              </w:rPr>
              <w:t>5084.24</w:t>
            </w:r>
          </w:p>
        </w:tc>
        <w:tc>
          <w:tcPr>
            <w:tcW w:w="1269" w:type="dxa"/>
            <w:vAlign w:val="center"/>
          </w:tcPr>
          <w:p w14:paraId="5FDA3D24">
            <w:pPr>
              <w:keepNext w:val="0"/>
              <w:keepLines w:val="0"/>
              <w:widowControl/>
              <w:suppressLineNumbers w:val="0"/>
              <w:jc w:val="center"/>
              <w:textAlignment w:val="center"/>
              <w:rPr>
                <w:rFonts w:ascii="仿宋_GB2312" w:eastAsia="仿宋_GB2312"/>
                <w:kern w:val="0"/>
              </w:rPr>
            </w:pPr>
            <w:r>
              <w:rPr>
                <w:rFonts w:hint="eastAsia" w:ascii="仿宋_GB2312" w:eastAsia="仿宋_GB2312"/>
                <w:kern w:val="0"/>
                <w:lang w:val="en-US" w:eastAsia="zh-CN"/>
              </w:rPr>
              <w:t>5084.24</w:t>
            </w:r>
          </w:p>
        </w:tc>
        <w:tc>
          <w:tcPr>
            <w:tcW w:w="699" w:type="dxa"/>
            <w:vAlign w:val="center"/>
          </w:tcPr>
          <w:p w14:paraId="47D16717">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869" w:type="dxa"/>
            <w:vAlign w:val="center"/>
          </w:tcPr>
          <w:p w14:paraId="0424998F">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100.00%</w:t>
            </w:r>
          </w:p>
        </w:tc>
        <w:tc>
          <w:tcPr>
            <w:tcW w:w="1423" w:type="dxa"/>
            <w:vAlign w:val="center"/>
          </w:tcPr>
          <w:p w14:paraId="4BE68CE2">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10.00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4980.84</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w:t>
            </w:r>
            <w:r>
              <w:rPr>
                <w:rFonts w:hint="eastAsia" w:ascii="仿宋_GB2312" w:hAnsi="宋体" w:eastAsia="仿宋_GB2312" w:cs="宋体"/>
                <w:kern w:val="0"/>
                <w:highlight w:val="none"/>
                <w:lang w:val="en-US" w:eastAsia="zh-CN"/>
              </w:rPr>
              <w:t>3624.89</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r>
              <w:rPr>
                <w:rFonts w:hint="eastAsia" w:ascii="仿宋_GB2312" w:hAnsi="宋体" w:eastAsia="仿宋_GB2312" w:cs="宋体"/>
                <w:kern w:val="0"/>
                <w:highlight w:val="none"/>
                <w:lang w:val="en-US" w:eastAsia="zh-CN"/>
              </w:rPr>
              <w:t>1459.35</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103.40</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保证我局各项工作的正常运转；全力推动商事制度改革，激发市场主体活力，促进经济社会发展；全力推动食品安全监管，保障群众生命财产安全，维护社会大局稳定；全力推动品牌建设及知识产权保护，提高地域品牌知名度，提升地方产业价值链；全力推动市场监管，维护消费者合法权益，营造和谐消费环境。</w:t>
            </w:r>
          </w:p>
        </w:tc>
        <w:tc>
          <w:tcPr>
            <w:tcW w:w="4260" w:type="dxa"/>
            <w:gridSpan w:val="4"/>
            <w:vAlign w:val="center"/>
          </w:tcPr>
          <w:p w14:paraId="156E0DC0">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各项工作的正常运转；全力推动商事制度改革，激发市场主体活力，促进经济社会发展；全力推动食品安全监管，保障群众生命财产安全，维护社会大局稳定；全力推动品牌建设及知识产权保护，提高地域品牌知名度，提升地方产业价值链；全力推动市场监管，维护消费者合法权益，营造和谐消费环境。</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创业主体新增率</w:t>
            </w:r>
          </w:p>
        </w:tc>
        <w:tc>
          <w:tcPr>
            <w:tcW w:w="1298" w:type="dxa"/>
            <w:vAlign w:val="center"/>
          </w:tcPr>
          <w:p w14:paraId="2A374824">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269" w:type="dxa"/>
            <w:vAlign w:val="center"/>
          </w:tcPr>
          <w:p w14:paraId="708D788A">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699" w:type="dxa"/>
            <w:vAlign w:val="center"/>
          </w:tcPr>
          <w:p w14:paraId="567F5E54">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2.5</w:t>
            </w:r>
          </w:p>
        </w:tc>
        <w:tc>
          <w:tcPr>
            <w:tcW w:w="869" w:type="dxa"/>
            <w:vAlign w:val="center"/>
          </w:tcPr>
          <w:p w14:paraId="2717B7C4">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2.5</w:t>
            </w:r>
          </w:p>
        </w:tc>
        <w:tc>
          <w:tcPr>
            <w:tcW w:w="1423" w:type="dxa"/>
            <w:vAlign w:val="center"/>
          </w:tcPr>
          <w:p w14:paraId="7CF9B186">
            <w:pPr>
              <w:spacing w:line="240" w:lineRule="auto"/>
              <w:ind w:firstLine="420" w:firstLineChars="0"/>
              <w:jc w:val="center"/>
              <w:rPr>
                <w:rFonts w:ascii="仿宋_GB2312" w:eastAsia="仿宋_GB2312"/>
                <w:kern w:val="0"/>
              </w:rPr>
            </w:pPr>
          </w:p>
        </w:tc>
      </w:tr>
      <w:tr w14:paraId="12D6E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73D6DA5">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9E800E1">
            <w:pPr>
              <w:spacing w:line="240" w:lineRule="auto"/>
              <w:ind w:firstLine="420"/>
              <w:jc w:val="center"/>
              <w:rPr>
                <w:rFonts w:ascii="仿宋_GB2312" w:eastAsia="仿宋_GB2312"/>
                <w:kern w:val="0"/>
              </w:rPr>
            </w:pPr>
          </w:p>
        </w:tc>
        <w:tc>
          <w:tcPr>
            <w:tcW w:w="1249" w:type="dxa"/>
            <w:vAlign w:val="center"/>
          </w:tcPr>
          <w:p w14:paraId="628393C4">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药品安全监管率</w:t>
            </w:r>
          </w:p>
        </w:tc>
        <w:tc>
          <w:tcPr>
            <w:tcW w:w="1298" w:type="dxa"/>
            <w:vAlign w:val="center"/>
          </w:tcPr>
          <w:p w14:paraId="3B0379E0">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269" w:type="dxa"/>
            <w:vAlign w:val="center"/>
          </w:tcPr>
          <w:p w14:paraId="66E2557D">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699" w:type="dxa"/>
            <w:vAlign w:val="center"/>
          </w:tcPr>
          <w:p w14:paraId="75021C55">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2.5</w:t>
            </w:r>
          </w:p>
        </w:tc>
        <w:tc>
          <w:tcPr>
            <w:tcW w:w="869" w:type="dxa"/>
            <w:vAlign w:val="center"/>
          </w:tcPr>
          <w:p w14:paraId="225445FC">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2.5</w:t>
            </w:r>
          </w:p>
        </w:tc>
        <w:tc>
          <w:tcPr>
            <w:tcW w:w="1423" w:type="dxa"/>
            <w:vAlign w:val="center"/>
          </w:tcPr>
          <w:p w14:paraId="3167D7FC">
            <w:pPr>
              <w:spacing w:line="240" w:lineRule="auto"/>
              <w:ind w:firstLine="420" w:firstLineChars="0"/>
              <w:jc w:val="center"/>
              <w:rPr>
                <w:rFonts w:ascii="仿宋_GB2312" w:eastAsia="仿宋_GB2312"/>
                <w:kern w:val="0"/>
              </w:rPr>
            </w:pPr>
          </w:p>
        </w:tc>
      </w:tr>
      <w:tr w14:paraId="0BD3D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0302ECF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10F2383">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D8EA4C9">
            <w:pPr>
              <w:spacing w:line="240" w:lineRule="auto"/>
              <w:ind w:firstLine="420"/>
              <w:jc w:val="center"/>
              <w:rPr>
                <w:rFonts w:ascii="仿宋_GB2312" w:eastAsia="仿宋_GB2312"/>
                <w:kern w:val="0"/>
              </w:rPr>
            </w:pPr>
          </w:p>
        </w:tc>
        <w:tc>
          <w:tcPr>
            <w:tcW w:w="1249" w:type="dxa"/>
            <w:vAlign w:val="center"/>
          </w:tcPr>
          <w:p w14:paraId="63A3132D">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食品安全监管率</w:t>
            </w:r>
          </w:p>
        </w:tc>
        <w:tc>
          <w:tcPr>
            <w:tcW w:w="1298" w:type="dxa"/>
            <w:vAlign w:val="center"/>
          </w:tcPr>
          <w:p w14:paraId="471932A8">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269" w:type="dxa"/>
            <w:vAlign w:val="center"/>
          </w:tcPr>
          <w:p w14:paraId="6D4B8804">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699" w:type="dxa"/>
            <w:vAlign w:val="center"/>
          </w:tcPr>
          <w:p w14:paraId="364CC46F">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2.5</w:t>
            </w:r>
          </w:p>
        </w:tc>
        <w:tc>
          <w:tcPr>
            <w:tcW w:w="869" w:type="dxa"/>
            <w:vAlign w:val="center"/>
          </w:tcPr>
          <w:p w14:paraId="08F3F9D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2.5</w:t>
            </w:r>
          </w:p>
        </w:tc>
        <w:tc>
          <w:tcPr>
            <w:tcW w:w="1423" w:type="dxa"/>
            <w:vAlign w:val="center"/>
          </w:tcPr>
          <w:p w14:paraId="63A33D65">
            <w:pPr>
              <w:spacing w:line="240" w:lineRule="auto"/>
              <w:ind w:firstLine="420" w:firstLineChars="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14:paraId="54116FE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特种设备安全监管率</w:t>
            </w:r>
          </w:p>
        </w:tc>
        <w:tc>
          <w:tcPr>
            <w:tcW w:w="1298" w:type="dxa"/>
            <w:vAlign w:val="center"/>
          </w:tcPr>
          <w:p w14:paraId="15CE1D7F">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269" w:type="dxa"/>
            <w:vAlign w:val="center"/>
          </w:tcPr>
          <w:p w14:paraId="346D111F">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699" w:type="dxa"/>
            <w:vAlign w:val="center"/>
          </w:tcPr>
          <w:p w14:paraId="4812C5E9">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2.5</w:t>
            </w:r>
          </w:p>
        </w:tc>
        <w:tc>
          <w:tcPr>
            <w:tcW w:w="869" w:type="dxa"/>
            <w:vAlign w:val="center"/>
          </w:tcPr>
          <w:p w14:paraId="4266548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2.5</w:t>
            </w:r>
          </w:p>
        </w:tc>
        <w:tc>
          <w:tcPr>
            <w:tcW w:w="1423" w:type="dxa"/>
            <w:vAlign w:val="center"/>
          </w:tcPr>
          <w:p w14:paraId="01001FE5">
            <w:pPr>
              <w:spacing w:line="240" w:lineRule="auto"/>
              <w:ind w:firstLine="420" w:firstLineChars="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推动品牌建设、打假扫劣、受理投诉举报</w:t>
            </w:r>
          </w:p>
        </w:tc>
        <w:tc>
          <w:tcPr>
            <w:tcW w:w="1298" w:type="dxa"/>
            <w:vAlign w:val="center"/>
          </w:tcPr>
          <w:p w14:paraId="1A5ADA3A">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达到相关的标准、水平及效果</w:t>
            </w:r>
          </w:p>
        </w:tc>
        <w:tc>
          <w:tcPr>
            <w:tcW w:w="1269" w:type="dxa"/>
            <w:vAlign w:val="center"/>
          </w:tcPr>
          <w:p w14:paraId="54075F0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全部完成</w:t>
            </w:r>
          </w:p>
        </w:tc>
        <w:tc>
          <w:tcPr>
            <w:tcW w:w="699" w:type="dxa"/>
            <w:vAlign w:val="center"/>
          </w:tcPr>
          <w:p w14:paraId="5580FC8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69" w:type="dxa"/>
            <w:vAlign w:val="center"/>
          </w:tcPr>
          <w:p w14:paraId="0982B11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1423" w:type="dxa"/>
            <w:vAlign w:val="center"/>
          </w:tcPr>
          <w:p w14:paraId="09E0DC5F">
            <w:pPr>
              <w:spacing w:line="240" w:lineRule="auto"/>
              <w:ind w:firstLine="420" w:firstLineChars="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2023年12月31日前完成</w:t>
            </w:r>
          </w:p>
        </w:tc>
        <w:tc>
          <w:tcPr>
            <w:tcW w:w="1298" w:type="dxa"/>
            <w:vAlign w:val="center"/>
          </w:tcPr>
          <w:p w14:paraId="479FA5D5">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按时完成</w:t>
            </w:r>
          </w:p>
        </w:tc>
        <w:tc>
          <w:tcPr>
            <w:tcW w:w="1269" w:type="dxa"/>
            <w:vAlign w:val="center"/>
          </w:tcPr>
          <w:p w14:paraId="5C1B340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按时完成</w:t>
            </w:r>
          </w:p>
        </w:tc>
        <w:tc>
          <w:tcPr>
            <w:tcW w:w="699" w:type="dxa"/>
            <w:vAlign w:val="center"/>
          </w:tcPr>
          <w:p w14:paraId="4C56B99F">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69" w:type="dxa"/>
            <w:vAlign w:val="center"/>
          </w:tcPr>
          <w:p w14:paraId="5DA34835">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1423" w:type="dxa"/>
            <w:vAlign w:val="center"/>
          </w:tcPr>
          <w:p w14:paraId="7BF8C6A4">
            <w:pPr>
              <w:spacing w:line="240" w:lineRule="auto"/>
              <w:ind w:firstLine="420" w:firstLineChars="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检测数据公信率</w:t>
            </w:r>
          </w:p>
        </w:tc>
        <w:tc>
          <w:tcPr>
            <w:tcW w:w="1298" w:type="dxa"/>
            <w:vAlign w:val="center"/>
          </w:tcPr>
          <w:p w14:paraId="078289F3">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269" w:type="dxa"/>
            <w:vAlign w:val="center"/>
          </w:tcPr>
          <w:p w14:paraId="7A453B87">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699" w:type="dxa"/>
            <w:vAlign w:val="center"/>
          </w:tcPr>
          <w:p w14:paraId="415A3F60">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69" w:type="dxa"/>
            <w:vAlign w:val="center"/>
          </w:tcPr>
          <w:p w14:paraId="2AC58B95">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1423" w:type="dxa"/>
            <w:vAlign w:val="center"/>
          </w:tcPr>
          <w:p w14:paraId="63D43995">
            <w:pPr>
              <w:spacing w:line="240" w:lineRule="auto"/>
              <w:ind w:firstLine="420" w:firstLineChars="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服务对象满意率</w:t>
            </w:r>
          </w:p>
        </w:tc>
        <w:tc>
          <w:tcPr>
            <w:tcW w:w="1298" w:type="dxa"/>
            <w:vAlign w:val="center"/>
          </w:tcPr>
          <w:p w14:paraId="6E8C4873">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269" w:type="dxa"/>
            <w:vAlign w:val="center"/>
          </w:tcPr>
          <w:p w14:paraId="4886005B">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699" w:type="dxa"/>
            <w:vAlign w:val="center"/>
          </w:tcPr>
          <w:p w14:paraId="75FAE414">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69" w:type="dxa"/>
            <w:vAlign w:val="center"/>
          </w:tcPr>
          <w:p w14:paraId="3309901E">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1423" w:type="dxa"/>
            <w:vAlign w:val="center"/>
          </w:tcPr>
          <w:p w14:paraId="4D65F265">
            <w:pPr>
              <w:spacing w:line="240" w:lineRule="auto"/>
              <w:ind w:firstLine="420" w:firstLineChars="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生态环境改善状况</w:t>
            </w:r>
          </w:p>
        </w:tc>
        <w:tc>
          <w:tcPr>
            <w:tcW w:w="1298" w:type="dxa"/>
            <w:vAlign w:val="center"/>
          </w:tcPr>
          <w:p w14:paraId="45B96CBB">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有所改善</w:t>
            </w:r>
          </w:p>
        </w:tc>
        <w:tc>
          <w:tcPr>
            <w:tcW w:w="1269" w:type="dxa"/>
            <w:vAlign w:val="center"/>
          </w:tcPr>
          <w:p w14:paraId="35C3564D">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有所改善</w:t>
            </w:r>
          </w:p>
        </w:tc>
        <w:tc>
          <w:tcPr>
            <w:tcW w:w="699" w:type="dxa"/>
            <w:vAlign w:val="center"/>
          </w:tcPr>
          <w:p w14:paraId="6A822248">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69" w:type="dxa"/>
            <w:vAlign w:val="center"/>
          </w:tcPr>
          <w:p w14:paraId="73C931F8">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1423" w:type="dxa"/>
            <w:vAlign w:val="center"/>
          </w:tcPr>
          <w:p w14:paraId="0E6767B7">
            <w:pPr>
              <w:spacing w:line="240" w:lineRule="auto"/>
              <w:ind w:firstLine="420" w:firstLineChars="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firstLineChars="0"/>
              <w:jc w:val="center"/>
              <w:rPr>
                <w:rFonts w:ascii="仿宋_GB2312" w:eastAsia="仿宋_GB2312"/>
                <w:kern w:val="0"/>
              </w:rPr>
            </w:pPr>
          </w:p>
        </w:tc>
        <w:tc>
          <w:tcPr>
            <w:tcW w:w="1298" w:type="dxa"/>
            <w:vAlign w:val="center"/>
          </w:tcPr>
          <w:p w14:paraId="055B34ED">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持续</w:t>
            </w:r>
          </w:p>
        </w:tc>
        <w:tc>
          <w:tcPr>
            <w:tcW w:w="1269" w:type="dxa"/>
            <w:vAlign w:val="center"/>
          </w:tcPr>
          <w:p w14:paraId="46B41467">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持续</w:t>
            </w:r>
          </w:p>
        </w:tc>
        <w:tc>
          <w:tcPr>
            <w:tcW w:w="699" w:type="dxa"/>
            <w:vAlign w:val="center"/>
          </w:tcPr>
          <w:p w14:paraId="447C4D99">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69" w:type="dxa"/>
            <w:vAlign w:val="center"/>
          </w:tcPr>
          <w:p w14:paraId="71C7C72F">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1423" w:type="dxa"/>
            <w:vAlign w:val="center"/>
          </w:tcPr>
          <w:p w14:paraId="04D49FFC">
            <w:pPr>
              <w:spacing w:line="240" w:lineRule="auto"/>
              <w:ind w:firstLine="420" w:firstLineChars="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服务对象满意率</w:t>
            </w:r>
          </w:p>
        </w:tc>
        <w:tc>
          <w:tcPr>
            <w:tcW w:w="1298" w:type="dxa"/>
            <w:vAlign w:val="center"/>
          </w:tcPr>
          <w:p w14:paraId="6ABEB3E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≥95%</w:t>
            </w:r>
          </w:p>
        </w:tc>
        <w:tc>
          <w:tcPr>
            <w:tcW w:w="1269" w:type="dxa"/>
            <w:vAlign w:val="center"/>
          </w:tcPr>
          <w:p w14:paraId="31B5B329">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699" w:type="dxa"/>
            <w:vAlign w:val="center"/>
          </w:tcPr>
          <w:p w14:paraId="41D3F37B">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69" w:type="dxa"/>
            <w:vAlign w:val="center"/>
          </w:tcPr>
          <w:p w14:paraId="19FFC8CC">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1423" w:type="dxa"/>
            <w:vAlign w:val="center"/>
          </w:tcPr>
          <w:p w14:paraId="0412303D">
            <w:pPr>
              <w:spacing w:line="240" w:lineRule="auto"/>
              <w:ind w:firstLine="420" w:firstLineChars="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3805.01</w:t>
            </w:r>
          </w:p>
        </w:tc>
        <w:tc>
          <w:tcPr>
            <w:tcW w:w="1298" w:type="dxa"/>
            <w:vAlign w:val="center"/>
          </w:tcPr>
          <w:p w14:paraId="15ECA8D3">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节约高效</w:t>
            </w:r>
          </w:p>
        </w:tc>
        <w:tc>
          <w:tcPr>
            <w:tcW w:w="1269" w:type="dxa"/>
            <w:vAlign w:val="center"/>
          </w:tcPr>
          <w:p w14:paraId="3C328246">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完成</w:t>
            </w:r>
          </w:p>
        </w:tc>
        <w:tc>
          <w:tcPr>
            <w:tcW w:w="699" w:type="dxa"/>
            <w:vAlign w:val="center"/>
          </w:tcPr>
          <w:p w14:paraId="42BD2B94">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69" w:type="dxa"/>
            <w:vAlign w:val="center"/>
          </w:tcPr>
          <w:p w14:paraId="786F4305">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9</w:t>
            </w:r>
          </w:p>
        </w:tc>
        <w:tc>
          <w:tcPr>
            <w:tcW w:w="1423" w:type="dxa"/>
            <w:vAlign w:val="center"/>
          </w:tcPr>
          <w:p w14:paraId="0F79A5E1">
            <w:pPr>
              <w:spacing w:line="240" w:lineRule="auto"/>
              <w:ind w:firstLine="420" w:firstLineChars="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对社会发展可能造成的负面影响</w:t>
            </w:r>
          </w:p>
        </w:tc>
        <w:tc>
          <w:tcPr>
            <w:tcW w:w="1298" w:type="dxa"/>
            <w:vAlign w:val="center"/>
          </w:tcPr>
          <w:p w14:paraId="09361E43">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1269" w:type="dxa"/>
            <w:vAlign w:val="center"/>
          </w:tcPr>
          <w:p w14:paraId="32DCD303">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699" w:type="dxa"/>
            <w:vAlign w:val="center"/>
          </w:tcPr>
          <w:p w14:paraId="765229A3">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69" w:type="dxa"/>
            <w:vAlign w:val="center"/>
          </w:tcPr>
          <w:p w14:paraId="4012A71B">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1423" w:type="dxa"/>
            <w:vAlign w:val="center"/>
          </w:tcPr>
          <w:p w14:paraId="6A85C036">
            <w:pPr>
              <w:spacing w:line="240" w:lineRule="auto"/>
              <w:ind w:firstLine="420" w:firstLineChars="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对自然生态环境造成的负面影响</w:t>
            </w:r>
          </w:p>
        </w:tc>
        <w:tc>
          <w:tcPr>
            <w:tcW w:w="1298" w:type="dxa"/>
            <w:vAlign w:val="center"/>
          </w:tcPr>
          <w:p w14:paraId="789CDCB9">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1269" w:type="dxa"/>
            <w:vAlign w:val="center"/>
          </w:tcPr>
          <w:p w14:paraId="4E354EE6">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699" w:type="dxa"/>
            <w:vAlign w:val="center"/>
          </w:tcPr>
          <w:p w14:paraId="6C36DE67">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69" w:type="dxa"/>
            <w:vAlign w:val="center"/>
          </w:tcPr>
          <w:p w14:paraId="6B31F2AB">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1423" w:type="dxa"/>
            <w:vAlign w:val="center"/>
          </w:tcPr>
          <w:p w14:paraId="14ED7F29">
            <w:pPr>
              <w:spacing w:line="240" w:lineRule="auto"/>
              <w:ind w:firstLine="420" w:firstLineChars="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袁焕</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2024年6月3日</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15842897555 </w:t>
      </w:r>
      <w:r>
        <w:rPr>
          <w:rFonts w:ascii="仿宋_GB2312" w:hAnsi="宋体" w:eastAsia="仿宋_GB2312" w:cs="宋体"/>
          <w:snapToGrid w:val="0"/>
          <w:color w:val="000000"/>
          <w:sz w:val="21"/>
          <w:szCs w:val="21"/>
          <w:lang w:val="en-US" w:eastAsia="zh-CN" w:bidi="ar-SA"/>
        </w:rPr>
        <w:t xml:space="preserve">   单位负责人签字：</w:t>
      </w:r>
    </w:p>
    <w:p w14:paraId="39D9853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8E43DD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45E3FF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3E09D3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9E0D27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897033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C87C26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0B165D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06019D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C7619B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EEB36F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B5522F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61D956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71F087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1F1104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28D23AB">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2E18B034">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1712CC19">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532A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70DDF2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19970E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创建省级食品安全示范县</w:t>
            </w:r>
          </w:p>
        </w:tc>
      </w:tr>
      <w:tr w14:paraId="119D7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75EECA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71A4104">
            <w:pPr>
              <w:spacing w:line="240" w:lineRule="auto"/>
              <w:ind w:firstLine="420"/>
              <w:jc w:val="center"/>
              <w:rPr>
                <w:rFonts w:ascii="仿宋_GB2312" w:hAnsi="宋体" w:eastAsia="仿宋_GB2312" w:cs="宋体"/>
                <w:kern w:val="0"/>
                <w:lang w:eastAsia="zh-CN"/>
              </w:rPr>
            </w:pPr>
          </w:p>
        </w:tc>
        <w:tc>
          <w:tcPr>
            <w:tcW w:w="1099" w:type="dxa"/>
            <w:vAlign w:val="center"/>
          </w:tcPr>
          <w:p w14:paraId="1E2E729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E9A2C7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EB64D4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汨罗市市场监督管理局</w:t>
            </w:r>
          </w:p>
        </w:tc>
      </w:tr>
      <w:tr w14:paraId="4E568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A3A8E0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2F4C48D">
            <w:pPr>
              <w:spacing w:line="240" w:lineRule="auto"/>
              <w:ind w:firstLine="420"/>
              <w:jc w:val="center"/>
              <w:rPr>
                <w:rFonts w:ascii="仿宋_GB2312" w:hAnsi="宋体" w:eastAsia="仿宋_GB2312" w:cs="宋体"/>
                <w:kern w:val="0"/>
                <w:lang w:eastAsia="zh-CN"/>
              </w:rPr>
            </w:pPr>
          </w:p>
        </w:tc>
        <w:tc>
          <w:tcPr>
            <w:tcW w:w="1020" w:type="dxa"/>
            <w:vAlign w:val="center"/>
          </w:tcPr>
          <w:p w14:paraId="636F81F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7A8B24C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87D062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CC0EC0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0098D2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691878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E8B27D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4D1445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FAA248E">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5083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52336A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0737B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085AEBC">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123</w:t>
            </w:r>
          </w:p>
        </w:tc>
        <w:tc>
          <w:tcPr>
            <w:tcW w:w="1099" w:type="dxa"/>
            <w:vAlign w:val="center"/>
          </w:tcPr>
          <w:p w14:paraId="7688599C">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123</w:t>
            </w:r>
          </w:p>
        </w:tc>
        <w:tc>
          <w:tcPr>
            <w:tcW w:w="1099" w:type="dxa"/>
            <w:vAlign w:val="center"/>
          </w:tcPr>
          <w:p w14:paraId="2EED004C">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123</w:t>
            </w:r>
          </w:p>
        </w:tc>
        <w:tc>
          <w:tcPr>
            <w:tcW w:w="809" w:type="dxa"/>
            <w:vAlign w:val="center"/>
          </w:tcPr>
          <w:p w14:paraId="7EE8FC29">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10</w:t>
            </w:r>
          </w:p>
        </w:tc>
        <w:tc>
          <w:tcPr>
            <w:tcW w:w="849" w:type="dxa"/>
            <w:vAlign w:val="center"/>
          </w:tcPr>
          <w:p w14:paraId="313AF8F8">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100.00%</w:t>
            </w:r>
          </w:p>
        </w:tc>
        <w:tc>
          <w:tcPr>
            <w:tcW w:w="1383" w:type="dxa"/>
            <w:vAlign w:val="center"/>
          </w:tcPr>
          <w:p w14:paraId="1097305E">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10.00</w:t>
            </w:r>
          </w:p>
        </w:tc>
      </w:tr>
      <w:tr w14:paraId="5DE8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77A26E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A517A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B005A6F">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1099" w:type="dxa"/>
            <w:vAlign w:val="center"/>
          </w:tcPr>
          <w:p w14:paraId="1181A486">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1099" w:type="dxa"/>
            <w:vAlign w:val="center"/>
          </w:tcPr>
          <w:p w14:paraId="027B9D79">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809" w:type="dxa"/>
            <w:vAlign w:val="center"/>
          </w:tcPr>
          <w:p w14:paraId="45E32044">
            <w:pPr>
              <w:jc w:val="center"/>
              <w:rPr>
                <w:rFonts w:ascii="仿宋_GB2312" w:hAnsi="宋体" w:eastAsia="仿宋_GB2312" w:cs="宋体"/>
                <w:kern w:val="0"/>
                <w:lang w:eastAsia="zh-CN"/>
              </w:rPr>
            </w:pPr>
          </w:p>
        </w:tc>
        <w:tc>
          <w:tcPr>
            <w:tcW w:w="849" w:type="dxa"/>
            <w:vAlign w:val="center"/>
          </w:tcPr>
          <w:p w14:paraId="569EFBE7">
            <w:pPr>
              <w:jc w:val="center"/>
              <w:rPr>
                <w:rFonts w:ascii="仿宋_GB2312" w:hAnsi="宋体" w:eastAsia="仿宋_GB2312" w:cs="宋体"/>
                <w:kern w:val="0"/>
                <w:lang w:eastAsia="zh-CN"/>
              </w:rPr>
            </w:pPr>
          </w:p>
        </w:tc>
        <w:tc>
          <w:tcPr>
            <w:tcW w:w="1383" w:type="dxa"/>
            <w:vAlign w:val="center"/>
          </w:tcPr>
          <w:p w14:paraId="74E5FF86">
            <w:pPr>
              <w:jc w:val="center"/>
              <w:rPr>
                <w:rFonts w:ascii="仿宋_GB2312" w:hAnsi="宋体" w:eastAsia="仿宋_GB2312" w:cs="宋体"/>
                <w:kern w:val="0"/>
                <w:lang w:eastAsia="zh-CN"/>
              </w:rPr>
            </w:pPr>
          </w:p>
        </w:tc>
      </w:tr>
      <w:tr w14:paraId="49951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AF2FCD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B73C82D">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C34C50E">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1099" w:type="dxa"/>
            <w:vAlign w:val="center"/>
          </w:tcPr>
          <w:p w14:paraId="73FDB6B4">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1099" w:type="dxa"/>
            <w:vAlign w:val="center"/>
          </w:tcPr>
          <w:p w14:paraId="70C741D6">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809" w:type="dxa"/>
            <w:vAlign w:val="center"/>
          </w:tcPr>
          <w:p w14:paraId="27334997">
            <w:pPr>
              <w:jc w:val="center"/>
              <w:rPr>
                <w:rFonts w:ascii="仿宋_GB2312" w:hAnsi="宋体" w:eastAsia="仿宋_GB2312" w:cs="宋体"/>
                <w:kern w:val="0"/>
                <w:lang w:eastAsia="zh-CN"/>
              </w:rPr>
            </w:pPr>
          </w:p>
        </w:tc>
        <w:tc>
          <w:tcPr>
            <w:tcW w:w="849" w:type="dxa"/>
            <w:vAlign w:val="center"/>
          </w:tcPr>
          <w:p w14:paraId="4A93466A">
            <w:pPr>
              <w:jc w:val="center"/>
              <w:rPr>
                <w:rFonts w:ascii="仿宋_GB2312" w:hAnsi="宋体" w:eastAsia="仿宋_GB2312" w:cs="宋体"/>
                <w:kern w:val="0"/>
                <w:lang w:eastAsia="zh-CN"/>
              </w:rPr>
            </w:pPr>
          </w:p>
        </w:tc>
        <w:tc>
          <w:tcPr>
            <w:tcW w:w="1383" w:type="dxa"/>
            <w:vAlign w:val="center"/>
          </w:tcPr>
          <w:p w14:paraId="15EA7F82">
            <w:pPr>
              <w:jc w:val="center"/>
              <w:rPr>
                <w:rFonts w:ascii="仿宋_GB2312" w:hAnsi="宋体" w:eastAsia="仿宋_GB2312" w:cs="宋体"/>
                <w:kern w:val="0"/>
                <w:lang w:eastAsia="zh-CN"/>
              </w:rPr>
            </w:pPr>
          </w:p>
        </w:tc>
      </w:tr>
      <w:tr w14:paraId="610CF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083C0B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1612BA8">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397CBAB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123</w:t>
            </w:r>
          </w:p>
        </w:tc>
        <w:tc>
          <w:tcPr>
            <w:tcW w:w="1099" w:type="dxa"/>
            <w:vAlign w:val="center"/>
          </w:tcPr>
          <w:p w14:paraId="61F348E6">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123</w:t>
            </w:r>
          </w:p>
        </w:tc>
        <w:tc>
          <w:tcPr>
            <w:tcW w:w="1099" w:type="dxa"/>
            <w:vAlign w:val="center"/>
          </w:tcPr>
          <w:p w14:paraId="74E09DAB">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123</w:t>
            </w:r>
          </w:p>
        </w:tc>
        <w:tc>
          <w:tcPr>
            <w:tcW w:w="809" w:type="dxa"/>
            <w:vAlign w:val="center"/>
          </w:tcPr>
          <w:p w14:paraId="58AA2C33">
            <w:pPr>
              <w:keepNext w:val="0"/>
              <w:keepLines w:val="0"/>
              <w:widowControl/>
              <w:suppressLineNumbers w:val="0"/>
              <w:jc w:val="center"/>
              <w:textAlignment w:val="center"/>
              <w:rPr>
                <w:rFonts w:ascii="仿宋_GB2312" w:hAnsi="宋体" w:eastAsia="仿宋_GB2312" w:cs="宋体"/>
                <w:kern w:val="0"/>
              </w:rPr>
            </w:pPr>
          </w:p>
        </w:tc>
        <w:tc>
          <w:tcPr>
            <w:tcW w:w="849" w:type="dxa"/>
            <w:vAlign w:val="center"/>
          </w:tcPr>
          <w:p w14:paraId="799DE1F5">
            <w:pPr>
              <w:keepNext w:val="0"/>
              <w:keepLines w:val="0"/>
              <w:widowControl/>
              <w:suppressLineNumbers w:val="0"/>
              <w:jc w:val="center"/>
              <w:textAlignment w:val="center"/>
              <w:rPr>
                <w:rFonts w:ascii="仿宋_GB2312" w:hAnsi="宋体" w:eastAsia="仿宋_GB2312" w:cs="宋体"/>
                <w:kern w:val="0"/>
              </w:rPr>
            </w:pPr>
          </w:p>
        </w:tc>
        <w:tc>
          <w:tcPr>
            <w:tcW w:w="1383" w:type="dxa"/>
            <w:vAlign w:val="center"/>
          </w:tcPr>
          <w:p w14:paraId="22950306">
            <w:pPr>
              <w:keepNext w:val="0"/>
              <w:keepLines w:val="0"/>
              <w:widowControl/>
              <w:suppressLineNumbers w:val="0"/>
              <w:jc w:val="center"/>
              <w:textAlignment w:val="center"/>
              <w:rPr>
                <w:rFonts w:ascii="仿宋_GB2312" w:hAnsi="宋体" w:eastAsia="仿宋_GB2312" w:cs="宋体"/>
                <w:kern w:val="0"/>
              </w:rPr>
            </w:pPr>
          </w:p>
        </w:tc>
      </w:tr>
      <w:tr w14:paraId="17A43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624FC4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4287A9F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FF8409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626D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3FB72D2">
            <w:pPr>
              <w:spacing w:line="240" w:lineRule="auto"/>
              <w:ind w:firstLine="420"/>
              <w:jc w:val="center"/>
              <w:rPr>
                <w:rFonts w:ascii="仿宋_GB2312" w:hAnsi="宋体" w:eastAsia="仿宋_GB2312" w:cs="宋体"/>
                <w:kern w:val="0"/>
              </w:rPr>
            </w:pPr>
          </w:p>
        </w:tc>
        <w:tc>
          <w:tcPr>
            <w:tcW w:w="4396" w:type="dxa"/>
            <w:gridSpan w:val="4"/>
            <w:vAlign w:val="center"/>
          </w:tcPr>
          <w:p w14:paraId="524F833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0"/>
                <w:szCs w:val="20"/>
                <w:u w:val="none"/>
                <w:lang w:val="en-US" w:eastAsia="zh-CN" w:bidi="ar"/>
              </w:rPr>
              <w:t>2023年创建省级食品安全示范县目标任务</w:t>
            </w:r>
          </w:p>
        </w:tc>
        <w:tc>
          <w:tcPr>
            <w:tcW w:w="4140" w:type="dxa"/>
            <w:gridSpan w:val="4"/>
            <w:vAlign w:val="center"/>
          </w:tcPr>
          <w:p w14:paraId="21668F4F">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0"/>
                <w:szCs w:val="20"/>
                <w:u w:val="none"/>
                <w:lang w:val="en-US" w:eastAsia="zh-CN" w:bidi="ar"/>
              </w:rPr>
              <w:t>2023年创建省级食品安全示范县目标任务</w:t>
            </w:r>
          </w:p>
        </w:tc>
      </w:tr>
      <w:tr w14:paraId="581D2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52F43AF">
            <w:pPr>
              <w:spacing w:line="240" w:lineRule="auto"/>
              <w:ind w:firstLine="420"/>
              <w:jc w:val="center"/>
              <w:rPr>
                <w:rFonts w:ascii="仿宋_GB2312" w:hAnsi="宋体" w:eastAsia="仿宋_GB2312" w:cs="宋体"/>
                <w:kern w:val="0"/>
              </w:rPr>
            </w:pPr>
          </w:p>
          <w:p w14:paraId="2115AFA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5EBC7CC">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1B90A41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56E468FD">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2633FDA2">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75A5559A">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1C7A5858">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0E003DD2">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E0FB8A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93A5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DE80089">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1EAA88C4">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1EF3F98C">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27F9AC6">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0884C2A5">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食品安全群众满意度</w:t>
            </w:r>
          </w:p>
        </w:tc>
        <w:tc>
          <w:tcPr>
            <w:tcW w:w="1099" w:type="dxa"/>
            <w:vAlign w:val="center"/>
          </w:tcPr>
          <w:p w14:paraId="39B7C7D5">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≥75%</w:t>
            </w:r>
          </w:p>
        </w:tc>
        <w:tc>
          <w:tcPr>
            <w:tcW w:w="1099" w:type="dxa"/>
            <w:vAlign w:val="center"/>
          </w:tcPr>
          <w:p w14:paraId="65C227D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≥75%</w:t>
            </w:r>
          </w:p>
        </w:tc>
        <w:tc>
          <w:tcPr>
            <w:tcW w:w="809" w:type="dxa"/>
            <w:vAlign w:val="center"/>
          </w:tcPr>
          <w:p w14:paraId="62BD0F3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3</w:t>
            </w:r>
          </w:p>
        </w:tc>
        <w:tc>
          <w:tcPr>
            <w:tcW w:w="849" w:type="dxa"/>
            <w:vAlign w:val="center"/>
          </w:tcPr>
          <w:p w14:paraId="06494D5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2.00</w:t>
            </w:r>
          </w:p>
        </w:tc>
        <w:tc>
          <w:tcPr>
            <w:tcW w:w="1383" w:type="dxa"/>
            <w:vAlign w:val="center"/>
          </w:tcPr>
          <w:p w14:paraId="11B5EBE8">
            <w:pPr>
              <w:jc w:val="center"/>
              <w:rPr>
                <w:rFonts w:ascii="仿宋_GB2312" w:hAnsi="宋体" w:eastAsia="仿宋_GB2312" w:cs="宋体"/>
                <w:kern w:val="0"/>
              </w:rPr>
            </w:pPr>
          </w:p>
        </w:tc>
      </w:tr>
      <w:tr w14:paraId="5AB65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DD7E7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A936E99">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CCD6DFD">
            <w:pPr>
              <w:spacing w:line="240" w:lineRule="auto"/>
              <w:ind w:firstLine="420"/>
              <w:jc w:val="center"/>
              <w:rPr>
                <w:rFonts w:ascii="仿宋_GB2312" w:hAnsi="宋体" w:eastAsia="仿宋_GB2312" w:cs="宋体"/>
                <w:kern w:val="0"/>
              </w:rPr>
            </w:pPr>
          </w:p>
        </w:tc>
        <w:tc>
          <w:tcPr>
            <w:tcW w:w="1020" w:type="dxa"/>
            <w:vAlign w:val="center"/>
          </w:tcPr>
          <w:p w14:paraId="65568932">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示范县创建知晓率</w:t>
            </w:r>
          </w:p>
        </w:tc>
        <w:tc>
          <w:tcPr>
            <w:tcW w:w="1099" w:type="dxa"/>
            <w:vAlign w:val="center"/>
          </w:tcPr>
          <w:p w14:paraId="56A2F30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≥75%</w:t>
            </w:r>
          </w:p>
        </w:tc>
        <w:tc>
          <w:tcPr>
            <w:tcW w:w="1099" w:type="dxa"/>
            <w:vAlign w:val="center"/>
          </w:tcPr>
          <w:p w14:paraId="3BE47BA8">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≥75%</w:t>
            </w:r>
          </w:p>
        </w:tc>
        <w:tc>
          <w:tcPr>
            <w:tcW w:w="809" w:type="dxa"/>
            <w:vAlign w:val="center"/>
          </w:tcPr>
          <w:p w14:paraId="51F6D4E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3</w:t>
            </w:r>
          </w:p>
        </w:tc>
        <w:tc>
          <w:tcPr>
            <w:tcW w:w="849" w:type="dxa"/>
            <w:vAlign w:val="center"/>
          </w:tcPr>
          <w:p w14:paraId="1AC5202F">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2.00</w:t>
            </w:r>
          </w:p>
        </w:tc>
        <w:tc>
          <w:tcPr>
            <w:tcW w:w="1383" w:type="dxa"/>
            <w:vAlign w:val="center"/>
          </w:tcPr>
          <w:p w14:paraId="6053CD3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截止2023年12月，示范县创建知晓率为61%，有待进一步加强。改进措施：进一步加大宣传力度，全方位多渠道多方式全面提高示范创建知晓率</w:t>
            </w:r>
          </w:p>
        </w:tc>
      </w:tr>
      <w:tr w14:paraId="1AF75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6D8147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118917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F0CA952">
            <w:pPr>
              <w:spacing w:line="240" w:lineRule="auto"/>
              <w:ind w:firstLine="420"/>
              <w:jc w:val="center"/>
              <w:rPr>
                <w:rFonts w:ascii="仿宋_GB2312" w:hAnsi="宋体" w:eastAsia="仿宋_GB2312" w:cs="宋体"/>
                <w:kern w:val="0"/>
              </w:rPr>
            </w:pPr>
          </w:p>
        </w:tc>
        <w:tc>
          <w:tcPr>
            <w:tcW w:w="1020" w:type="dxa"/>
            <w:vAlign w:val="center"/>
          </w:tcPr>
          <w:p w14:paraId="54BB2DFB">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食品和食用农产品抽检量不低于4批次/千人（其中针对农药兽药残留额食品抽检量每年不低于2批次/千人）</w:t>
            </w:r>
          </w:p>
        </w:tc>
        <w:tc>
          <w:tcPr>
            <w:tcW w:w="1099" w:type="dxa"/>
            <w:vAlign w:val="center"/>
          </w:tcPr>
          <w:p w14:paraId="7FCD3C0C">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≥4批次/千人</w:t>
            </w:r>
          </w:p>
        </w:tc>
        <w:tc>
          <w:tcPr>
            <w:tcW w:w="1099" w:type="dxa"/>
            <w:vAlign w:val="center"/>
          </w:tcPr>
          <w:p w14:paraId="5EF9075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≥4批次/千人</w:t>
            </w:r>
          </w:p>
        </w:tc>
        <w:tc>
          <w:tcPr>
            <w:tcW w:w="809" w:type="dxa"/>
            <w:vAlign w:val="center"/>
          </w:tcPr>
          <w:p w14:paraId="1FE71F5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4</w:t>
            </w:r>
          </w:p>
        </w:tc>
        <w:tc>
          <w:tcPr>
            <w:tcW w:w="849" w:type="dxa"/>
            <w:vAlign w:val="center"/>
          </w:tcPr>
          <w:p w14:paraId="50C8041E">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3.00</w:t>
            </w:r>
          </w:p>
        </w:tc>
        <w:tc>
          <w:tcPr>
            <w:tcW w:w="1383" w:type="dxa"/>
            <w:vAlign w:val="center"/>
          </w:tcPr>
          <w:p w14:paraId="5A73FBD3">
            <w:pPr>
              <w:jc w:val="center"/>
              <w:rPr>
                <w:rFonts w:ascii="仿宋_GB2312" w:hAnsi="宋体" w:eastAsia="仿宋_GB2312" w:cs="宋体"/>
                <w:kern w:val="0"/>
              </w:rPr>
            </w:pPr>
          </w:p>
        </w:tc>
      </w:tr>
      <w:tr w14:paraId="64A2C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BC4023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54D5A23">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BEC6574">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31BF60D">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提高基层市监所标准化建设水平</w:t>
            </w:r>
          </w:p>
        </w:tc>
        <w:tc>
          <w:tcPr>
            <w:tcW w:w="1099" w:type="dxa"/>
            <w:vAlign w:val="center"/>
          </w:tcPr>
          <w:p w14:paraId="294C860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1099" w:type="dxa"/>
            <w:vAlign w:val="center"/>
          </w:tcPr>
          <w:p w14:paraId="5CB899A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809" w:type="dxa"/>
            <w:vAlign w:val="center"/>
          </w:tcPr>
          <w:p w14:paraId="4F268A99">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w:t>
            </w:r>
          </w:p>
        </w:tc>
        <w:tc>
          <w:tcPr>
            <w:tcW w:w="849" w:type="dxa"/>
            <w:vAlign w:val="center"/>
          </w:tcPr>
          <w:p w14:paraId="1427EBD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2.00</w:t>
            </w:r>
          </w:p>
        </w:tc>
        <w:tc>
          <w:tcPr>
            <w:tcW w:w="1383" w:type="dxa"/>
            <w:vAlign w:val="center"/>
          </w:tcPr>
          <w:p w14:paraId="72F347E7">
            <w:pPr>
              <w:spacing w:line="240" w:lineRule="auto"/>
              <w:ind w:firstLine="420" w:firstLineChars="0"/>
              <w:jc w:val="center"/>
              <w:rPr>
                <w:rFonts w:ascii="仿宋_GB2312" w:hAnsi="宋体" w:eastAsia="仿宋_GB2312" w:cs="宋体"/>
                <w:kern w:val="0"/>
              </w:rPr>
            </w:pPr>
          </w:p>
        </w:tc>
      </w:tr>
      <w:tr w14:paraId="6D5F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ED4EB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E4CC00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FDD1BF4">
            <w:pPr>
              <w:spacing w:line="240" w:lineRule="auto"/>
              <w:ind w:firstLine="420"/>
              <w:jc w:val="center"/>
              <w:rPr>
                <w:rFonts w:ascii="仿宋_GB2312" w:hAnsi="宋体" w:eastAsia="仿宋_GB2312" w:cs="宋体"/>
                <w:kern w:val="0"/>
              </w:rPr>
            </w:pPr>
          </w:p>
        </w:tc>
        <w:tc>
          <w:tcPr>
            <w:tcW w:w="1020" w:type="dxa"/>
            <w:vAlign w:val="center"/>
          </w:tcPr>
          <w:p w14:paraId="4ACB1CAE">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加强食品安全协管员食品安全知识培训，提高基层监管能力</w:t>
            </w:r>
          </w:p>
        </w:tc>
        <w:tc>
          <w:tcPr>
            <w:tcW w:w="1099" w:type="dxa"/>
            <w:vAlign w:val="center"/>
          </w:tcPr>
          <w:p w14:paraId="3D3128C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1099" w:type="dxa"/>
            <w:vAlign w:val="center"/>
          </w:tcPr>
          <w:p w14:paraId="791A62D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809" w:type="dxa"/>
            <w:vAlign w:val="center"/>
          </w:tcPr>
          <w:p w14:paraId="1002D9E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w:t>
            </w:r>
          </w:p>
        </w:tc>
        <w:tc>
          <w:tcPr>
            <w:tcW w:w="849" w:type="dxa"/>
            <w:vAlign w:val="center"/>
          </w:tcPr>
          <w:p w14:paraId="0FA66FA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2.00</w:t>
            </w:r>
          </w:p>
        </w:tc>
        <w:tc>
          <w:tcPr>
            <w:tcW w:w="1383" w:type="dxa"/>
            <w:vAlign w:val="center"/>
          </w:tcPr>
          <w:p w14:paraId="2E889EE0">
            <w:pPr>
              <w:spacing w:line="240" w:lineRule="auto"/>
              <w:ind w:firstLine="420" w:firstLineChars="0"/>
              <w:jc w:val="center"/>
              <w:rPr>
                <w:rFonts w:ascii="仿宋_GB2312" w:hAnsi="宋体" w:eastAsia="仿宋_GB2312" w:cs="宋体"/>
                <w:kern w:val="0"/>
              </w:rPr>
            </w:pPr>
          </w:p>
        </w:tc>
      </w:tr>
      <w:tr w14:paraId="47926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5FA398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6B133B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F58AB6D">
            <w:pPr>
              <w:spacing w:line="240" w:lineRule="auto"/>
              <w:ind w:firstLine="420"/>
              <w:jc w:val="center"/>
              <w:rPr>
                <w:rFonts w:ascii="仿宋_GB2312" w:hAnsi="宋体" w:eastAsia="仿宋_GB2312" w:cs="宋体"/>
                <w:kern w:val="0"/>
              </w:rPr>
            </w:pPr>
          </w:p>
        </w:tc>
        <w:tc>
          <w:tcPr>
            <w:tcW w:w="1020" w:type="dxa"/>
            <w:vAlign w:val="center"/>
          </w:tcPr>
          <w:p w14:paraId="116078CC">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加快推进“互联网+明厨亮灶”推广和普及</w:t>
            </w:r>
          </w:p>
        </w:tc>
        <w:tc>
          <w:tcPr>
            <w:tcW w:w="1099" w:type="dxa"/>
            <w:vAlign w:val="center"/>
          </w:tcPr>
          <w:p w14:paraId="0351D66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1099" w:type="dxa"/>
            <w:vAlign w:val="center"/>
          </w:tcPr>
          <w:p w14:paraId="14BCB89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809" w:type="dxa"/>
            <w:vAlign w:val="center"/>
          </w:tcPr>
          <w:p w14:paraId="7557DAE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w:t>
            </w:r>
          </w:p>
        </w:tc>
        <w:tc>
          <w:tcPr>
            <w:tcW w:w="849" w:type="dxa"/>
            <w:vAlign w:val="center"/>
          </w:tcPr>
          <w:p w14:paraId="3D33D6C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2.00</w:t>
            </w:r>
          </w:p>
        </w:tc>
        <w:tc>
          <w:tcPr>
            <w:tcW w:w="1383" w:type="dxa"/>
            <w:vAlign w:val="center"/>
          </w:tcPr>
          <w:p w14:paraId="63A93ADD">
            <w:pPr>
              <w:spacing w:line="240" w:lineRule="auto"/>
              <w:ind w:firstLine="420" w:firstLineChars="0"/>
              <w:jc w:val="center"/>
              <w:rPr>
                <w:rFonts w:ascii="仿宋_GB2312" w:hAnsi="宋体" w:eastAsia="仿宋_GB2312" w:cs="宋体"/>
                <w:kern w:val="0"/>
              </w:rPr>
            </w:pPr>
          </w:p>
        </w:tc>
      </w:tr>
      <w:tr w14:paraId="22AF2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5EA20A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F69503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08F3F3E">
            <w:pPr>
              <w:spacing w:line="240" w:lineRule="auto"/>
              <w:ind w:firstLine="420"/>
              <w:jc w:val="center"/>
              <w:rPr>
                <w:rFonts w:ascii="仿宋_GB2312" w:hAnsi="宋体" w:eastAsia="仿宋_GB2312" w:cs="宋体"/>
                <w:kern w:val="0"/>
              </w:rPr>
            </w:pPr>
          </w:p>
        </w:tc>
        <w:tc>
          <w:tcPr>
            <w:tcW w:w="1020" w:type="dxa"/>
            <w:vAlign w:val="center"/>
          </w:tcPr>
          <w:p w14:paraId="5C78ABC1">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推进农贸市场、大型商超的快检中心的建设和食品检测中心建设</w:t>
            </w:r>
          </w:p>
        </w:tc>
        <w:tc>
          <w:tcPr>
            <w:tcW w:w="1099" w:type="dxa"/>
            <w:vAlign w:val="center"/>
          </w:tcPr>
          <w:p w14:paraId="1DE9927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1099" w:type="dxa"/>
            <w:vAlign w:val="center"/>
          </w:tcPr>
          <w:p w14:paraId="5C14E82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809" w:type="dxa"/>
            <w:vAlign w:val="center"/>
          </w:tcPr>
          <w:p w14:paraId="314A014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w:t>
            </w:r>
          </w:p>
        </w:tc>
        <w:tc>
          <w:tcPr>
            <w:tcW w:w="849" w:type="dxa"/>
            <w:vAlign w:val="center"/>
          </w:tcPr>
          <w:p w14:paraId="730030D2">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2.00</w:t>
            </w:r>
          </w:p>
        </w:tc>
        <w:tc>
          <w:tcPr>
            <w:tcW w:w="1383" w:type="dxa"/>
            <w:vAlign w:val="center"/>
          </w:tcPr>
          <w:p w14:paraId="2B5124C6">
            <w:pPr>
              <w:spacing w:line="240" w:lineRule="auto"/>
              <w:ind w:firstLine="420" w:firstLineChars="0"/>
              <w:jc w:val="center"/>
              <w:rPr>
                <w:rFonts w:ascii="仿宋_GB2312" w:hAnsi="宋体" w:eastAsia="仿宋_GB2312" w:cs="宋体"/>
                <w:kern w:val="0"/>
              </w:rPr>
            </w:pPr>
          </w:p>
        </w:tc>
      </w:tr>
      <w:tr w14:paraId="2EFE0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ED889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F6FC46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DFC0600">
            <w:pPr>
              <w:spacing w:line="240" w:lineRule="auto"/>
              <w:ind w:firstLine="420"/>
              <w:jc w:val="center"/>
              <w:rPr>
                <w:rFonts w:ascii="仿宋_GB2312" w:hAnsi="宋体" w:eastAsia="仿宋_GB2312" w:cs="宋体"/>
                <w:kern w:val="0"/>
              </w:rPr>
            </w:pPr>
          </w:p>
        </w:tc>
        <w:tc>
          <w:tcPr>
            <w:tcW w:w="1020" w:type="dxa"/>
            <w:vAlign w:val="center"/>
          </w:tcPr>
          <w:p w14:paraId="7CC834B7">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加强农村集体聚餐管理及农村集体聚餐厨师培训和管理</w:t>
            </w:r>
          </w:p>
        </w:tc>
        <w:tc>
          <w:tcPr>
            <w:tcW w:w="1099" w:type="dxa"/>
            <w:vAlign w:val="center"/>
          </w:tcPr>
          <w:p w14:paraId="2A8F549B">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1099" w:type="dxa"/>
            <w:vAlign w:val="center"/>
          </w:tcPr>
          <w:p w14:paraId="280128B8">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809" w:type="dxa"/>
            <w:vAlign w:val="center"/>
          </w:tcPr>
          <w:p w14:paraId="60C5C8D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w:t>
            </w:r>
          </w:p>
        </w:tc>
        <w:tc>
          <w:tcPr>
            <w:tcW w:w="849" w:type="dxa"/>
            <w:vAlign w:val="center"/>
          </w:tcPr>
          <w:p w14:paraId="582DFCA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383" w:type="dxa"/>
            <w:vAlign w:val="center"/>
          </w:tcPr>
          <w:p w14:paraId="7CF1FF7B">
            <w:pPr>
              <w:spacing w:line="240" w:lineRule="auto"/>
              <w:ind w:firstLine="420" w:firstLineChars="0"/>
              <w:jc w:val="center"/>
              <w:rPr>
                <w:rFonts w:ascii="仿宋_GB2312" w:hAnsi="宋体" w:eastAsia="仿宋_GB2312" w:cs="宋体"/>
                <w:kern w:val="0"/>
              </w:rPr>
            </w:pPr>
          </w:p>
        </w:tc>
      </w:tr>
      <w:tr w14:paraId="52D2D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17489C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9CE242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84E7316">
            <w:pPr>
              <w:spacing w:line="240" w:lineRule="auto"/>
              <w:ind w:firstLine="420"/>
              <w:jc w:val="center"/>
              <w:rPr>
                <w:rFonts w:ascii="仿宋_GB2312" w:hAnsi="宋体" w:eastAsia="仿宋_GB2312" w:cs="宋体"/>
                <w:kern w:val="0"/>
              </w:rPr>
            </w:pPr>
          </w:p>
        </w:tc>
        <w:tc>
          <w:tcPr>
            <w:tcW w:w="1020" w:type="dxa"/>
            <w:vAlign w:val="center"/>
          </w:tcPr>
          <w:p w14:paraId="2657C4B0">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推进学校、食品相关企业、农村集体聚餐食品安全责任险的普及</w:t>
            </w:r>
          </w:p>
        </w:tc>
        <w:tc>
          <w:tcPr>
            <w:tcW w:w="1099" w:type="dxa"/>
            <w:vAlign w:val="center"/>
          </w:tcPr>
          <w:p w14:paraId="434EF25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1099" w:type="dxa"/>
            <w:vAlign w:val="center"/>
          </w:tcPr>
          <w:p w14:paraId="5FF6A6F8">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809" w:type="dxa"/>
            <w:vAlign w:val="center"/>
          </w:tcPr>
          <w:p w14:paraId="6BBBE15C">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w:t>
            </w:r>
          </w:p>
        </w:tc>
        <w:tc>
          <w:tcPr>
            <w:tcW w:w="849" w:type="dxa"/>
            <w:vAlign w:val="center"/>
          </w:tcPr>
          <w:p w14:paraId="701E28E7">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383" w:type="dxa"/>
            <w:vAlign w:val="center"/>
          </w:tcPr>
          <w:p w14:paraId="40809314">
            <w:pPr>
              <w:spacing w:line="240" w:lineRule="auto"/>
              <w:ind w:firstLine="420" w:firstLineChars="0"/>
              <w:jc w:val="center"/>
              <w:rPr>
                <w:rFonts w:ascii="仿宋_GB2312" w:hAnsi="宋体" w:eastAsia="仿宋_GB2312" w:cs="宋体"/>
                <w:kern w:val="0"/>
              </w:rPr>
            </w:pPr>
          </w:p>
        </w:tc>
      </w:tr>
      <w:tr w14:paraId="033BE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62506A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BACA61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75C2DC5">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029A88C6">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任务完成时间</w:t>
            </w:r>
          </w:p>
        </w:tc>
        <w:tc>
          <w:tcPr>
            <w:tcW w:w="1099" w:type="dxa"/>
            <w:vAlign w:val="center"/>
          </w:tcPr>
          <w:p w14:paraId="7EBCDB3B">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2023.12.31前</w:t>
            </w:r>
          </w:p>
        </w:tc>
        <w:tc>
          <w:tcPr>
            <w:tcW w:w="1099" w:type="dxa"/>
            <w:vAlign w:val="center"/>
          </w:tcPr>
          <w:p w14:paraId="7E154775">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2023.12.31前</w:t>
            </w:r>
          </w:p>
        </w:tc>
        <w:tc>
          <w:tcPr>
            <w:tcW w:w="809" w:type="dxa"/>
            <w:vAlign w:val="center"/>
          </w:tcPr>
          <w:p w14:paraId="2ECE447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2B5D8FEC">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21E44468">
            <w:pPr>
              <w:spacing w:line="240" w:lineRule="auto"/>
              <w:ind w:firstLine="420" w:firstLineChars="0"/>
              <w:jc w:val="center"/>
              <w:rPr>
                <w:rFonts w:ascii="仿宋_GB2312" w:hAnsi="宋体" w:eastAsia="仿宋_GB2312" w:cs="宋体"/>
                <w:kern w:val="0"/>
              </w:rPr>
            </w:pPr>
          </w:p>
        </w:tc>
      </w:tr>
      <w:tr w14:paraId="4DE8D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51F6E76">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A18FB4C">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705E7BBE">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1F97A1C">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7581A11B">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促进经济发展</w:t>
            </w:r>
          </w:p>
        </w:tc>
        <w:tc>
          <w:tcPr>
            <w:tcW w:w="1099" w:type="dxa"/>
            <w:vAlign w:val="center"/>
          </w:tcPr>
          <w:p w14:paraId="7D0C8536">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有所提升</w:t>
            </w:r>
          </w:p>
        </w:tc>
        <w:tc>
          <w:tcPr>
            <w:tcW w:w="1099" w:type="dxa"/>
            <w:vAlign w:val="center"/>
          </w:tcPr>
          <w:p w14:paraId="5EAC54F8">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有所提升</w:t>
            </w:r>
          </w:p>
        </w:tc>
        <w:tc>
          <w:tcPr>
            <w:tcW w:w="809" w:type="dxa"/>
            <w:vAlign w:val="center"/>
          </w:tcPr>
          <w:p w14:paraId="404D652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18BE1D5B">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707C97F3">
            <w:pPr>
              <w:jc w:val="center"/>
              <w:rPr>
                <w:rFonts w:ascii="仿宋_GB2312" w:hAnsi="宋体" w:eastAsia="仿宋_GB2312" w:cs="宋体"/>
                <w:kern w:val="0"/>
              </w:rPr>
            </w:pPr>
          </w:p>
        </w:tc>
      </w:tr>
      <w:tr w14:paraId="30DEA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2BCA7D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8FC7F8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6176352">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33F93300">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把食品安全基础工作抓实打牢，把食品安全工作做得更精准、更扎实、更规范，为全市群众创建放心安心的食品安全环境</w:t>
            </w:r>
          </w:p>
        </w:tc>
        <w:tc>
          <w:tcPr>
            <w:tcW w:w="1099" w:type="dxa"/>
            <w:vAlign w:val="center"/>
          </w:tcPr>
          <w:p w14:paraId="5119141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逐步加强</w:t>
            </w:r>
          </w:p>
        </w:tc>
        <w:tc>
          <w:tcPr>
            <w:tcW w:w="1099" w:type="dxa"/>
            <w:vAlign w:val="center"/>
          </w:tcPr>
          <w:p w14:paraId="573AE7C5">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逐步加强</w:t>
            </w:r>
          </w:p>
        </w:tc>
        <w:tc>
          <w:tcPr>
            <w:tcW w:w="809" w:type="dxa"/>
            <w:vAlign w:val="center"/>
          </w:tcPr>
          <w:p w14:paraId="048D25D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17A78CCF">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9.00</w:t>
            </w:r>
          </w:p>
        </w:tc>
        <w:tc>
          <w:tcPr>
            <w:tcW w:w="1383" w:type="dxa"/>
            <w:vAlign w:val="center"/>
          </w:tcPr>
          <w:p w14:paraId="06F5FC55">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持续压紧压实各方责任，进一步细化措施、找差距、补短板、抓落实、促提升，严格监管执法，着力防范化解风险隐患，确保全市不发生食品安全事故和重大舆情事件，确保人民群众对食品安全的满意度继续提升</w:t>
            </w:r>
          </w:p>
        </w:tc>
      </w:tr>
      <w:tr w14:paraId="4C02F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0EC914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43A155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EE2DE0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23F1A072">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生态环境改善状态</w:t>
            </w:r>
          </w:p>
        </w:tc>
        <w:tc>
          <w:tcPr>
            <w:tcW w:w="1099" w:type="dxa"/>
            <w:vAlign w:val="center"/>
          </w:tcPr>
          <w:p w14:paraId="1FD3B0E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有所改善</w:t>
            </w:r>
          </w:p>
        </w:tc>
        <w:tc>
          <w:tcPr>
            <w:tcW w:w="1099" w:type="dxa"/>
            <w:vAlign w:val="center"/>
          </w:tcPr>
          <w:p w14:paraId="54A24FD7">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有所改善</w:t>
            </w:r>
          </w:p>
        </w:tc>
        <w:tc>
          <w:tcPr>
            <w:tcW w:w="809" w:type="dxa"/>
            <w:vAlign w:val="center"/>
          </w:tcPr>
          <w:p w14:paraId="5183BC56">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453B5CDB">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7AC05342">
            <w:pPr>
              <w:jc w:val="center"/>
              <w:rPr>
                <w:rFonts w:ascii="仿宋_GB2312" w:hAnsi="宋体" w:eastAsia="仿宋_GB2312" w:cs="宋体"/>
                <w:kern w:val="0"/>
              </w:rPr>
            </w:pPr>
          </w:p>
        </w:tc>
      </w:tr>
      <w:tr w14:paraId="46566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73DB1A9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CF24167">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DAD2D93">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29513F28">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把食品安全基础工作抓实打牢，把食品安全工作做得更精准、更扎实、更规范，为全市群众创建放心安心的食品安全环境</w:t>
            </w:r>
          </w:p>
        </w:tc>
        <w:tc>
          <w:tcPr>
            <w:tcW w:w="1099" w:type="dxa"/>
            <w:vAlign w:val="center"/>
          </w:tcPr>
          <w:p w14:paraId="2A9C59C8">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1099" w:type="dxa"/>
            <w:vAlign w:val="center"/>
          </w:tcPr>
          <w:p w14:paraId="437541B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逐步提高</w:t>
            </w:r>
          </w:p>
        </w:tc>
        <w:tc>
          <w:tcPr>
            <w:tcW w:w="809" w:type="dxa"/>
            <w:vAlign w:val="center"/>
          </w:tcPr>
          <w:p w14:paraId="4AD3230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5D8F5379">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4.00</w:t>
            </w:r>
          </w:p>
        </w:tc>
        <w:tc>
          <w:tcPr>
            <w:tcW w:w="1383" w:type="dxa"/>
            <w:vAlign w:val="center"/>
          </w:tcPr>
          <w:p w14:paraId="34D060AF">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持续压紧压实各方责任，进一步细化措施、找差距、补短板、抓落实、促提升，严格监管执法，着力防范化解风险隐患，确保全市不发生食品安全事故和重大舆情事件，确保人民群众对食品安全的满意度继续提升</w:t>
            </w:r>
          </w:p>
        </w:tc>
      </w:tr>
      <w:tr w14:paraId="0101A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C542214">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63C2C5E2">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9F0AAFB">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1677C15B">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民众对食品安全群众满意度</w:t>
            </w:r>
          </w:p>
        </w:tc>
        <w:tc>
          <w:tcPr>
            <w:tcW w:w="1099" w:type="dxa"/>
            <w:vAlign w:val="center"/>
          </w:tcPr>
          <w:p w14:paraId="24B60392">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≥95%</w:t>
            </w:r>
          </w:p>
        </w:tc>
        <w:tc>
          <w:tcPr>
            <w:tcW w:w="1099" w:type="dxa"/>
            <w:vAlign w:val="center"/>
          </w:tcPr>
          <w:p w14:paraId="28DBFEDB">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95%</w:t>
            </w:r>
          </w:p>
        </w:tc>
        <w:tc>
          <w:tcPr>
            <w:tcW w:w="809" w:type="dxa"/>
            <w:vAlign w:val="center"/>
          </w:tcPr>
          <w:p w14:paraId="2714AC0C">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highlight w:val="none"/>
                <w:u w:val="none"/>
                <w:lang w:val="en-US" w:eastAsia="zh-CN" w:bidi="ar"/>
              </w:rPr>
              <w:t>10</w:t>
            </w:r>
          </w:p>
        </w:tc>
        <w:tc>
          <w:tcPr>
            <w:tcW w:w="849" w:type="dxa"/>
            <w:vAlign w:val="center"/>
          </w:tcPr>
          <w:p w14:paraId="21B1AB9E">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highlight w:val="none"/>
                <w:u w:val="none"/>
                <w:lang w:val="en-US" w:eastAsia="zh-CN" w:bidi="ar"/>
              </w:rPr>
              <w:t>10.00</w:t>
            </w:r>
          </w:p>
        </w:tc>
        <w:tc>
          <w:tcPr>
            <w:tcW w:w="1383" w:type="dxa"/>
            <w:vAlign w:val="center"/>
          </w:tcPr>
          <w:p w14:paraId="7B85BE86">
            <w:pPr>
              <w:keepNext w:val="0"/>
              <w:keepLines w:val="0"/>
              <w:widowControl/>
              <w:suppressLineNumbers w:val="0"/>
              <w:jc w:val="center"/>
              <w:textAlignment w:val="center"/>
              <w:rPr>
                <w:rFonts w:ascii="仿宋_GB2312" w:hAnsi="宋体" w:eastAsia="仿宋_GB2312" w:cs="宋体"/>
                <w:kern w:val="0"/>
              </w:rPr>
            </w:pPr>
          </w:p>
        </w:tc>
      </w:tr>
      <w:tr w14:paraId="18961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24FB3FF">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3335E719">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E2F915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1283D710">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1236D8ED">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123</w:t>
            </w:r>
          </w:p>
        </w:tc>
        <w:tc>
          <w:tcPr>
            <w:tcW w:w="1099" w:type="dxa"/>
            <w:vAlign w:val="center"/>
          </w:tcPr>
          <w:p w14:paraId="2F61A227">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节约高效</w:t>
            </w:r>
          </w:p>
        </w:tc>
        <w:tc>
          <w:tcPr>
            <w:tcW w:w="1099" w:type="dxa"/>
            <w:vAlign w:val="center"/>
          </w:tcPr>
          <w:p w14:paraId="67BF615B">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完成</w:t>
            </w:r>
          </w:p>
        </w:tc>
        <w:tc>
          <w:tcPr>
            <w:tcW w:w="809" w:type="dxa"/>
            <w:vAlign w:val="center"/>
          </w:tcPr>
          <w:p w14:paraId="5D76CBE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48C78EC2">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0C4CE4F8">
            <w:pPr>
              <w:spacing w:line="240" w:lineRule="auto"/>
              <w:ind w:firstLine="420" w:firstLineChars="0"/>
              <w:jc w:val="center"/>
              <w:rPr>
                <w:rFonts w:ascii="仿宋_GB2312" w:hAnsi="宋体" w:eastAsia="仿宋_GB2312" w:cs="宋体"/>
                <w:kern w:val="0"/>
              </w:rPr>
            </w:pPr>
          </w:p>
        </w:tc>
      </w:tr>
      <w:tr w14:paraId="6E576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BD1C4C8">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58ED6B6">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E35A693">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344A2732">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对社会发展可能造成的负面影响</w:t>
            </w:r>
          </w:p>
        </w:tc>
        <w:tc>
          <w:tcPr>
            <w:tcW w:w="1099" w:type="dxa"/>
            <w:vAlign w:val="center"/>
          </w:tcPr>
          <w:p w14:paraId="7E765D26">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1099" w:type="dxa"/>
            <w:vAlign w:val="center"/>
          </w:tcPr>
          <w:p w14:paraId="312A5E6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809" w:type="dxa"/>
            <w:vAlign w:val="center"/>
          </w:tcPr>
          <w:p w14:paraId="5BB63298">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2C78A938">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79370DF8">
            <w:pPr>
              <w:spacing w:line="240" w:lineRule="auto"/>
              <w:ind w:firstLine="420" w:firstLineChars="0"/>
              <w:jc w:val="center"/>
              <w:rPr>
                <w:rFonts w:ascii="仿宋_GB2312" w:hAnsi="宋体" w:eastAsia="仿宋_GB2312" w:cs="宋体"/>
                <w:kern w:val="0"/>
              </w:rPr>
            </w:pPr>
          </w:p>
        </w:tc>
      </w:tr>
      <w:tr w14:paraId="6FFE5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6011A8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96AA8E6">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4A140EB">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12640B1D">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对自然生态环境造成的负面影响</w:t>
            </w:r>
          </w:p>
        </w:tc>
        <w:tc>
          <w:tcPr>
            <w:tcW w:w="1099" w:type="dxa"/>
            <w:vAlign w:val="center"/>
          </w:tcPr>
          <w:p w14:paraId="30CAC2C9">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1099" w:type="dxa"/>
            <w:vAlign w:val="center"/>
          </w:tcPr>
          <w:p w14:paraId="2F226D0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809" w:type="dxa"/>
            <w:vAlign w:val="center"/>
          </w:tcPr>
          <w:p w14:paraId="0BDC5F4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748A4BC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4357C2A4">
            <w:pPr>
              <w:spacing w:line="240" w:lineRule="auto"/>
              <w:ind w:firstLine="420" w:firstLineChars="0"/>
              <w:jc w:val="center"/>
              <w:rPr>
                <w:rFonts w:ascii="仿宋_GB2312" w:hAnsi="宋体" w:eastAsia="仿宋_GB2312" w:cs="宋体"/>
                <w:kern w:val="0"/>
              </w:rPr>
            </w:pPr>
          </w:p>
        </w:tc>
      </w:tr>
      <w:tr w14:paraId="28CDD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E68998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14492EC1">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5F77C10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383" w:type="dxa"/>
            <w:vAlign w:val="center"/>
          </w:tcPr>
          <w:p w14:paraId="34B84CA7">
            <w:pPr>
              <w:spacing w:line="240" w:lineRule="auto"/>
              <w:ind w:firstLine="420"/>
              <w:jc w:val="center"/>
              <w:rPr>
                <w:rFonts w:ascii="仿宋_GB2312" w:hAnsi="宋体" w:eastAsia="仿宋_GB2312" w:cs="宋体"/>
                <w:kern w:val="0"/>
              </w:rPr>
            </w:pPr>
          </w:p>
        </w:tc>
      </w:tr>
    </w:tbl>
    <w:p w14:paraId="041133C5">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27D4B41C">
      <w:pPr>
        <w:spacing w:line="240" w:lineRule="auto"/>
        <w:ind w:firstLine="420"/>
        <w:jc w:val="left"/>
        <w:rPr>
          <w:rFonts w:ascii="宋体" w:hAnsi="宋体" w:eastAsia="宋体" w:cs="宋体"/>
          <w:kern w:val="0"/>
          <w:lang w:eastAsia="zh-CN"/>
        </w:rPr>
      </w:pPr>
    </w:p>
    <w:p w14:paraId="176A522A">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hint="eastAsia" w:ascii="仿宋_GB2312" w:hAnsi="宋体" w:eastAsia="仿宋_GB2312" w:cs="宋体"/>
          <w:snapToGrid w:val="0"/>
          <w:color w:val="000000"/>
          <w:sz w:val="21"/>
          <w:szCs w:val="21"/>
          <w:lang w:val="en-US" w:eastAsia="zh-CN" w:bidi="ar-SA"/>
        </w:rPr>
        <w:t>袁焕</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snapToGrid w:val="0"/>
          <w:color w:val="000000"/>
          <w:sz w:val="21"/>
          <w:szCs w:val="21"/>
          <w:lang w:val="en-US" w:eastAsia="zh-CN" w:bidi="ar-SA"/>
        </w:rPr>
        <w:t>2024年10月11日</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snapToGrid w:val="0"/>
          <w:color w:val="000000"/>
          <w:sz w:val="21"/>
          <w:szCs w:val="21"/>
          <w:lang w:val="en-US" w:eastAsia="zh-CN" w:bidi="ar-SA"/>
        </w:rPr>
        <w:t xml:space="preserve">15842897555  </w:t>
      </w:r>
      <w:r>
        <w:rPr>
          <w:rFonts w:hint="eastAsia" w:ascii="仿宋_GB2312" w:hAnsi="宋体" w:eastAsia="仿宋_GB2312" w:cs="宋体"/>
          <w:kern w:val="0"/>
          <w:lang w:eastAsia="zh-CN"/>
        </w:rPr>
        <w:t>单位负责人签字:</w:t>
      </w:r>
    </w:p>
    <w:p w14:paraId="36DEB725">
      <w:pPr>
        <w:rPr>
          <w:rFonts w:hint="eastAsia" w:ascii="仿宋_GB2312" w:hAnsi="宋体" w:eastAsia="仿宋_GB2312" w:cs="宋体"/>
          <w:kern w:val="0"/>
          <w:lang w:eastAsia="zh-CN"/>
        </w:rPr>
      </w:pPr>
    </w:p>
    <w:p w14:paraId="363173BA">
      <w:pPr>
        <w:rPr>
          <w:rFonts w:hint="eastAsia" w:ascii="仿宋_GB2312" w:hAnsi="宋体" w:eastAsia="仿宋_GB2312" w:cs="宋体"/>
          <w:kern w:val="0"/>
          <w:lang w:eastAsia="zh-CN"/>
        </w:rPr>
      </w:pPr>
    </w:p>
    <w:p w14:paraId="175515C2">
      <w:pPr>
        <w:rPr>
          <w:rFonts w:hint="eastAsia" w:ascii="仿宋_GB2312" w:hAnsi="宋体" w:eastAsia="仿宋_GB2312" w:cs="宋体"/>
          <w:kern w:val="0"/>
          <w:lang w:eastAsia="zh-CN"/>
        </w:rPr>
      </w:pPr>
    </w:p>
    <w:p w14:paraId="2B672132">
      <w:pPr>
        <w:rPr>
          <w:rFonts w:hint="eastAsia" w:ascii="仿宋_GB2312" w:hAnsi="宋体" w:eastAsia="仿宋_GB2312" w:cs="宋体"/>
          <w:kern w:val="0"/>
          <w:lang w:eastAsia="zh-CN"/>
        </w:rPr>
      </w:pPr>
    </w:p>
    <w:p w14:paraId="1C39E6C2">
      <w:pPr>
        <w:rPr>
          <w:rFonts w:hint="eastAsia" w:ascii="仿宋_GB2312" w:hAnsi="宋体" w:eastAsia="仿宋_GB2312" w:cs="宋体"/>
          <w:kern w:val="0"/>
          <w:lang w:eastAsia="zh-CN"/>
        </w:rPr>
      </w:pPr>
    </w:p>
    <w:p w14:paraId="02CB68EC">
      <w:pPr>
        <w:rPr>
          <w:rFonts w:hint="eastAsia" w:ascii="仿宋_GB2312" w:hAnsi="宋体" w:eastAsia="仿宋_GB2312" w:cs="宋体"/>
          <w:kern w:val="0"/>
          <w:lang w:eastAsia="zh-CN"/>
        </w:rPr>
      </w:pPr>
    </w:p>
    <w:p w14:paraId="1166647D">
      <w:pPr>
        <w:rPr>
          <w:rFonts w:hint="eastAsia" w:ascii="仿宋_GB2312" w:hAnsi="宋体" w:eastAsia="仿宋_GB2312" w:cs="宋体"/>
          <w:kern w:val="0"/>
          <w:lang w:eastAsia="zh-CN"/>
        </w:rPr>
      </w:pPr>
    </w:p>
    <w:p w14:paraId="1A806053">
      <w:pPr>
        <w:rPr>
          <w:rFonts w:hint="eastAsia" w:ascii="仿宋_GB2312" w:hAnsi="宋体" w:eastAsia="仿宋_GB2312" w:cs="宋体"/>
          <w:kern w:val="0"/>
          <w:lang w:eastAsia="zh-CN"/>
        </w:rPr>
      </w:pPr>
    </w:p>
    <w:p w14:paraId="153755FA">
      <w:pPr>
        <w:rPr>
          <w:rFonts w:hint="eastAsia" w:ascii="仿宋_GB2312" w:hAnsi="宋体" w:eastAsia="仿宋_GB2312" w:cs="宋体"/>
          <w:kern w:val="0"/>
          <w:lang w:eastAsia="zh-CN"/>
        </w:rPr>
      </w:pPr>
    </w:p>
    <w:p w14:paraId="73A77249">
      <w:pPr>
        <w:rPr>
          <w:rFonts w:hint="eastAsia" w:ascii="仿宋_GB2312" w:hAnsi="宋体" w:eastAsia="仿宋_GB2312" w:cs="宋体"/>
          <w:kern w:val="0"/>
          <w:lang w:eastAsia="zh-CN"/>
        </w:rPr>
      </w:pPr>
    </w:p>
    <w:p w14:paraId="495B49EC">
      <w:pPr>
        <w:rPr>
          <w:rFonts w:hint="eastAsia" w:ascii="仿宋_GB2312" w:hAnsi="宋体" w:eastAsia="仿宋_GB2312" w:cs="宋体"/>
          <w:kern w:val="0"/>
          <w:lang w:eastAsia="zh-CN"/>
        </w:rPr>
      </w:pPr>
    </w:p>
    <w:p w14:paraId="575E0277">
      <w:pPr>
        <w:rPr>
          <w:rFonts w:hint="eastAsia" w:ascii="仿宋_GB2312" w:hAnsi="宋体" w:eastAsia="仿宋_GB2312" w:cs="宋体"/>
          <w:kern w:val="0"/>
          <w:lang w:eastAsia="zh-CN"/>
        </w:rPr>
      </w:pPr>
    </w:p>
    <w:p w14:paraId="49F4EC08">
      <w:pPr>
        <w:rPr>
          <w:rFonts w:hint="eastAsia" w:ascii="仿宋_GB2312" w:hAnsi="宋体" w:eastAsia="仿宋_GB2312" w:cs="宋体"/>
          <w:kern w:val="0"/>
          <w:lang w:eastAsia="zh-CN"/>
        </w:rPr>
      </w:pPr>
    </w:p>
    <w:p w14:paraId="63452AAF">
      <w:pPr>
        <w:rPr>
          <w:rFonts w:hint="eastAsia" w:ascii="仿宋_GB2312" w:hAnsi="宋体" w:eastAsia="仿宋_GB2312" w:cs="宋体"/>
          <w:kern w:val="0"/>
          <w:lang w:eastAsia="zh-CN"/>
        </w:rPr>
      </w:pPr>
    </w:p>
    <w:p w14:paraId="7CDC8283">
      <w:pPr>
        <w:rPr>
          <w:rFonts w:hint="eastAsia" w:ascii="仿宋_GB2312" w:hAnsi="宋体" w:eastAsia="仿宋_GB2312" w:cs="宋体"/>
          <w:kern w:val="0"/>
          <w:lang w:eastAsia="zh-CN"/>
        </w:rPr>
      </w:pPr>
    </w:p>
    <w:p w14:paraId="35B04A92">
      <w:pPr>
        <w:rPr>
          <w:rFonts w:hint="eastAsia" w:ascii="仿宋_GB2312" w:hAnsi="宋体" w:eastAsia="仿宋_GB2312" w:cs="宋体"/>
          <w:kern w:val="0"/>
          <w:lang w:eastAsia="zh-CN"/>
        </w:rPr>
      </w:pPr>
    </w:p>
    <w:p w14:paraId="6824EC2D">
      <w:pPr>
        <w:rPr>
          <w:rFonts w:hint="eastAsia" w:ascii="仿宋_GB2312" w:hAnsi="宋体" w:eastAsia="仿宋_GB2312" w:cs="宋体"/>
          <w:kern w:val="0"/>
          <w:lang w:eastAsia="zh-CN"/>
        </w:rPr>
      </w:pPr>
    </w:p>
    <w:p w14:paraId="5332A47D">
      <w:pPr>
        <w:rPr>
          <w:rFonts w:hint="eastAsia" w:ascii="仿宋_GB2312" w:hAnsi="宋体" w:eastAsia="仿宋_GB2312" w:cs="宋体"/>
          <w:kern w:val="0"/>
          <w:lang w:eastAsia="zh-CN"/>
        </w:rPr>
      </w:pPr>
    </w:p>
    <w:p w14:paraId="10807514">
      <w:pPr>
        <w:rPr>
          <w:rFonts w:hint="eastAsia" w:ascii="仿宋_GB2312" w:hAnsi="宋体" w:eastAsia="仿宋_GB2312" w:cs="宋体"/>
          <w:kern w:val="0"/>
          <w:lang w:eastAsia="zh-CN"/>
        </w:rPr>
      </w:pPr>
    </w:p>
    <w:p w14:paraId="3979502A">
      <w:pPr>
        <w:rPr>
          <w:rFonts w:hint="eastAsia" w:ascii="仿宋_GB2312" w:hAnsi="宋体" w:eastAsia="仿宋_GB2312" w:cs="宋体"/>
          <w:kern w:val="0"/>
          <w:lang w:eastAsia="zh-CN"/>
        </w:rPr>
      </w:pPr>
    </w:p>
    <w:p w14:paraId="0ABF6FBD">
      <w:pPr>
        <w:rPr>
          <w:rFonts w:hint="eastAsia" w:ascii="仿宋_GB2312" w:hAnsi="宋体" w:eastAsia="仿宋_GB2312" w:cs="宋体"/>
          <w:kern w:val="0"/>
          <w:lang w:eastAsia="zh-CN"/>
        </w:rPr>
      </w:pPr>
    </w:p>
    <w:p w14:paraId="630C9928">
      <w:pPr>
        <w:rPr>
          <w:rFonts w:hint="eastAsia" w:ascii="仿宋_GB2312" w:hAnsi="宋体" w:eastAsia="仿宋_GB2312" w:cs="宋体"/>
          <w:kern w:val="0"/>
          <w:lang w:eastAsia="zh-CN"/>
        </w:rPr>
      </w:pPr>
    </w:p>
    <w:p w14:paraId="4DF00289">
      <w:pPr>
        <w:rPr>
          <w:rFonts w:hint="eastAsia" w:ascii="仿宋_GB2312" w:hAnsi="宋体" w:eastAsia="仿宋_GB2312" w:cs="宋体"/>
          <w:kern w:val="0"/>
          <w:lang w:eastAsia="zh-CN"/>
        </w:rPr>
      </w:pPr>
    </w:p>
    <w:p w14:paraId="05566AB0">
      <w:pPr>
        <w:rPr>
          <w:rFonts w:hint="eastAsia" w:ascii="仿宋_GB2312" w:hAnsi="宋体" w:eastAsia="仿宋_GB2312" w:cs="宋体"/>
          <w:kern w:val="0"/>
          <w:lang w:eastAsia="zh-CN"/>
        </w:rPr>
      </w:pPr>
    </w:p>
    <w:p w14:paraId="1F631896">
      <w:pPr>
        <w:rPr>
          <w:rFonts w:hint="eastAsia" w:ascii="仿宋_GB2312" w:hAnsi="宋体" w:eastAsia="仿宋_GB2312" w:cs="宋体"/>
          <w:kern w:val="0"/>
          <w:lang w:eastAsia="zh-CN"/>
        </w:rPr>
      </w:pPr>
    </w:p>
    <w:p w14:paraId="1DB41592">
      <w:pPr>
        <w:rPr>
          <w:rFonts w:hint="eastAsia" w:ascii="仿宋_GB2312" w:hAnsi="宋体" w:eastAsia="仿宋_GB2312" w:cs="宋体"/>
          <w:kern w:val="0"/>
          <w:lang w:eastAsia="zh-CN"/>
        </w:rPr>
      </w:pPr>
    </w:p>
    <w:p w14:paraId="67443AB5">
      <w:pPr>
        <w:rPr>
          <w:rFonts w:hint="eastAsia" w:ascii="仿宋_GB2312" w:hAnsi="宋体" w:eastAsia="仿宋_GB2312" w:cs="宋体"/>
          <w:kern w:val="0"/>
          <w:lang w:eastAsia="zh-CN"/>
        </w:rPr>
      </w:pPr>
    </w:p>
    <w:p w14:paraId="31E8BCF8">
      <w:pPr>
        <w:rPr>
          <w:rFonts w:hint="eastAsia" w:ascii="仿宋_GB2312" w:hAnsi="宋体" w:eastAsia="仿宋_GB2312" w:cs="宋体"/>
          <w:kern w:val="0"/>
          <w:lang w:eastAsia="zh-CN"/>
        </w:rPr>
      </w:pPr>
    </w:p>
    <w:p w14:paraId="0B7818FE">
      <w:pPr>
        <w:rPr>
          <w:rFonts w:hint="eastAsia" w:ascii="仿宋_GB2312" w:hAnsi="宋体" w:eastAsia="仿宋_GB2312" w:cs="宋体"/>
          <w:kern w:val="0"/>
          <w:lang w:eastAsia="zh-CN"/>
        </w:rPr>
      </w:pPr>
    </w:p>
    <w:p w14:paraId="7BDD67B9">
      <w:pPr>
        <w:rPr>
          <w:rFonts w:hint="eastAsia" w:ascii="仿宋_GB2312" w:hAnsi="宋体" w:eastAsia="仿宋_GB2312" w:cs="宋体"/>
          <w:kern w:val="0"/>
          <w:lang w:eastAsia="zh-CN"/>
        </w:rPr>
      </w:pPr>
    </w:p>
    <w:p w14:paraId="7558721A">
      <w:pPr>
        <w:rPr>
          <w:rFonts w:hint="eastAsia" w:ascii="仿宋_GB2312" w:hAnsi="宋体" w:eastAsia="仿宋_GB2312" w:cs="宋体"/>
          <w:kern w:val="0"/>
          <w:lang w:eastAsia="zh-CN"/>
        </w:rPr>
      </w:pPr>
    </w:p>
    <w:p w14:paraId="1871B081">
      <w:pPr>
        <w:rPr>
          <w:rFonts w:hint="eastAsia" w:ascii="仿宋_GB2312" w:hAnsi="宋体" w:eastAsia="仿宋_GB2312" w:cs="宋体"/>
          <w:kern w:val="0"/>
          <w:lang w:eastAsia="zh-CN"/>
        </w:rPr>
      </w:pPr>
    </w:p>
    <w:p w14:paraId="4E271BAE">
      <w:pPr>
        <w:rPr>
          <w:rFonts w:hint="eastAsia" w:ascii="仿宋_GB2312" w:hAnsi="宋体" w:eastAsia="仿宋_GB2312" w:cs="宋体"/>
          <w:kern w:val="0"/>
          <w:lang w:eastAsia="zh-CN"/>
        </w:rPr>
      </w:pPr>
    </w:p>
    <w:p w14:paraId="5FFAA0E6">
      <w:pPr>
        <w:rPr>
          <w:rFonts w:hint="eastAsia" w:ascii="仿宋_GB2312" w:hAnsi="宋体" w:eastAsia="仿宋_GB2312" w:cs="宋体"/>
          <w:kern w:val="0"/>
          <w:lang w:eastAsia="zh-CN"/>
        </w:rPr>
      </w:pPr>
    </w:p>
    <w:p w14:paraId="69587881">
      <w:pPr>
        <w:rPr>
          <w:rFonts w:hint="eastAsia" w:ascii="仿宋_GB2312" w:hAnsi="宋体" w:eastAsia="仿宋_GB2312" w:cs="宋体"/>
          <w:kern w:val="0"/>
          <w:lang w:eastAsia="zh-CN"/>
        </w:rPr>
      </w:pPr>
    </w:p>
    <w:p w14:paraId="0F70B5EF">
      <w:pPr>
        <w:rPr>
          <w:rFonts w:hint="eastAsia" w:ascii="仿宋_GB2312" w:hAnsi="宋体" w:eastAsia="仿宋_GB2312" w:cs="宋体"/>
          <w:kern w:val="0"/>
          <w:lang w:eastAsia="zh-CN"/>
        </w:rPr>
      </w:pPr>
    </w:p>
    <w:p w14:paraId="2FDD3ACA">
      <w:pPr>
        <w:kinsoku w:val="0"/>
        <w:autoSpaceDE w:val="0"/>
        <w:autoSpaceDN w:val="0"/>
        <w:adjustRightInd w:val="0"/>
        <w:snapToGrid w:val="0"/>
        <w:spacing w:line="240" w:lineRule="auto"/>
        <w:ind w:firstLine="544" w:firstLineChars="200"/>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4363E271">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1213064A">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189D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024B591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3E85F83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食品安全抽检专项</w:t>
            </w:r>
          </w:p>
        </w:tc>
      </w:tr>
      <w:tr w14:paraId="471AA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F2EFB5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7BEA8618">
            <w:pPr>
              <w:spacing w:line="240" w:lineRule="auto"/>
              <w:ind w:firstLine="420"/>
              <w:jc w:val="center"/>
              <w:rPr>
                <w:rFonts w:ascii="仿宋_GB2312" w:hAnsi="宋体" w:eastAsia="仿宋_GB2312" w:cs="宋体"/>
                <w:kern w:val="0"/>
                <w:lang w:eastAsia="zh-CN"/>
              </w:rPr>
            </w:pPr>
          </w:p>
        </w:tc>
        <w:tc>
          <w:tcPr>
            <w:tcW w:w="1099" w:type="dxa"/>
            <w:vAlign w:val="center"/>
          </w:tcPr>
          <w:p w14:paraId="76AFFAC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CE7A17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B5873D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汨罗市市场监督管理局</w:t>
            </w:r>
          </w:p>
        </w:tc>
      </w:tr>
      <w:tr w14:paraId="0824C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E51799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EEA3935">
            <w:pPr>
              <w:spacing w:line="240" w:lineRule="auto"/>
              <w:ind w:firstLine="420"/>
              <w:jc w:val="center"/>
              <w:rPr>
                <w:rFonts w:ascii="仿宋_GB2312" w:hAnsi="宋体" w:eastAsia="仿宋_GB2312" w:cs="宋体"/>
                <w:kern w:val="0"/>
                <w:lang w:eastAsia="zh-CN"/>
              </w:rPr>
            </w:pPr>
          </w:p>
        </w:tc>
        <w:tc>
          <w:tcPr>
            <w:tcW w:w="1020" w:type="dxa"/>
            <w:vAlign w:val="center"/>
          </w:tcPr>
          <w:p w14:paraId="2CA0BED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13866DA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173882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D60133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F18851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2E0C45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3C46626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6F9112A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0CACCF4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3711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46766D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32E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F52FD2B">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55</w:t>
            </w:r>
          </w:p>
        </w:tc>
        <w:tc>
          <w:tcPr>
            <w:tcW w:w="1099" w:type="dxa"/>
            <w:vAlign w:val="center"/>
          </w:tcPr>
          <w:p w14:paraId="1E1426A6">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55</w:t>
            </w:r>
          </w:p>
        </w:tc>
        <w:tc>
          <w:tcPr>
            <w:tcW w:w="1099" w:type="dxa"/>
            <w:vAlign w:val="center"/>
          </w:tcPr>
          <w:p w14:paraId="0845627A">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55</w:t>
            </w:r>
          </w:p>
        </w:tc>
        <w:tc>
          <w:tcPr>
            <w:tcW w:w="809" w:type="dxa"/>
            <w:vAlign w:val="center"/>
          </w:tcPr>
          <w:p w14:paraId="28A991E4">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10</w:t>
            </w:r>
          </w:p>
        </w:tc>
        <w:tc>
          <w:tcPr>
            <w:tcW w:w="849" w:type="dxa"/>
            <w:vAlign w:val="center"/>
          </w:tcPr>
          <w:p w14:paraId="6BD6ABCD">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100.00%</w:t>
            </w:r>
          </w:p>
        </w:tc>
        <w:tc>
          <w:tcPr>
            <w:tcW w:w="1383" w:type="dxa"/>
            <w:vAlign w:val="center"/>
          </w:tcPr>
          <w:p w14:paraId="13566067">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10.00</w:t>
            </w:r>
          </w:p>
        </w:tc>
      </w:tr>
      <w:tr w14:paraId="42DB8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4B64D9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8A8CED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5134F22">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1099" w:type="dxa"/>
            <w:vAlign w:val="center"/>
          </w:tcPr>
          <w:p w14:paraId="29DDA6D9">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1099" w:type="dxa"/>
            <w:vAlign w:val="center"/>
          </w:tcPr>
          <w:p w14:paraId="2C7B3836">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809" w:type="dxa"/>
            <w:vAlign w:val="center"/>
          </w:tcPr>
          <w:p w14:paraId="462D6F53">
            <w:pPr>
              <w:jc w:val="center"/>
              <w:rPr>
                <w:rFonts w:ascii="仿宋_GB2312" w:hAnsi="宋体" w:eastAsia="仿宋_GB2312" w:cs="宋体"/>
                <w:kern w:val="0"/>
                <w:lang w:eastAsia="zh-CN"/>
              </w:rPr>
            </w:pPr>
          </w:p>
        </w:tc>
        <w:tc>
          <w:tcPr>
            <w:tcW w:w="849" w:type="dxa"/>
            <w:vAlign w:val="center"/>
          </w:tcPr>
          <w:p w14:paraId="2449E052">
            <w:pPr>
              <w:jc w:val="center"/>
              <w:rPr>
                <w:rFonts w:ascii="仿宋_GB2312" w:hAnsi="宋体" w:eastAsia="仿宋_GB2312" w:cs="宋体"/>
                <w:kern w:val="0"/>
                <w:lang w:eastAsia="zh-CN"/>
              </w:rPr>
            </w:pPr>
          </w:p>
        </w:tc>
        <w:tc>
          <w:tcPr>
            <w:tcW w:w="1383" w:type="dxa"/>
            <w:vAlign w:val="center"/>
          </w:tcPr>
          <w:p w14:paraId="5227EB54">
            <w:pPr>
              <w:jc w:val="center"/>
              <w:rPr>
                <w:rFonts w:ascii="仿宋_GB2312" w:hAnsi="宋体" w:eastAsia="仿宋_GB2312" w:cs="宋体"/>
                <w:kern w:val="0"/>
                <w:lang w:eastAsia="zh-CN"/>
              </w:rPr>
            </w:pPr>
          </w:p>
        </w:tc>
      </w:tr>
      <w:tr w14:paraId="4A8AE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3CEE49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E308C2C">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7BAA3FDD">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1099" w:type="dxa"/>
            <w:vAlign w:val="center"/>
          </w:tcPr>
          <w:p w14:paraId="47E9BB03">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1099" w:type="dxa"/>
            <w:vAlign w:val="center"/>
          </w:tcPr>
          <w:p w14:paraId="628BC714">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809" w:type="dxa"/>
            <w:vAlign w:val="center"/>
          </w:tcPr>
          <w:p w14:paraId="774BDEB8">
            <w:pPr>
              <w:jc w:val="center"/>
              <w:rPr>
                <w:rFonts w:ascii="仿宋_GB2312" w:hAnsi="宋体" w:eastAsia="仿宋_GB2312" w:cs="宋体"/>
                <w:kern w:val="0"/>
                <w:lang w:eastAsia="zh-CN"/>
              </w:rPr>
            </w:pPr>
          </w:p>
        </w:tc>
        <w:tc>
          <w:tcPr>
            <w:tcW w:w="849" w:type="dxa"/>
            <w:vAlign w:val="center"/>
          </w:tcPr>
          <w:p w14:paraId="4B6715A6">
            <w:pPr>
              <w:jc w:val="center"/>
              <w:rPr>
                <w:rFonts w:ascii="仿宋_GB2312" w:hAnsi="宋体" w:eastAsia="仿宋_GB2312" w:cs="宋体"/>
                <w:kern w:val="0"/>
                <w:lang w:eastAsia="zh-CN"/>
              </w:rPr>
            </w:pPr>
          </w:p>
        </w:tc>
        <w:tc>
          <w:tcPr>
            <w:tcW w:w="1383" w:type="dxa"/>
            <w:vAlign w:val="center"/>
          </w:tcPr>
          <w:p w14:paraId="1C76D98A">
            <w:pPr>
              <w:jc w:val="center"/>
              <w:rPr>
                <w:rFonts w:ascii="仿宋_GB2312" w:hAnsi="宋体" w:eastAsia="仿宋_GB2312" w:cs="宋体"/>
                <w:kern w:val="0"/>
                <w:lang w:eastAsia="zh-CN"/>
              </w:rPr>
            </w:pPr>
          </w:p>
        </w:tc>
      </w:tr>
      <w:tr w14:paraId="682A5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29D973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EFC6148">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0FA84DB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55</w:t>
            </w:r>
          </w:p>
        </w:tc>
        <w:tc>
          <w:tcPr>
            <w:tcW w:w="1099" w:type="dxa"/>
            <w:vAlign w:val="center"/>
          </w:tcPr>
          <w:p w14:paraId="47D87BD6">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55</w:t>
            </w:r>
          </w:p>
        </w:tc>
        <w:tc>
          <w:tcPr>
            <w:tcW w:w="1099" w:type="dxa"/>
            <w:vAlign w:val="center"/>
          </w:tcPr>
          <w:p w14:paraId="7EE40B1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55</w:t>
            </w:r>
          </w:p>
        </w:tc>
        <w:tc>
          <w:tcPr>
            <w:tcW w:w="809" w:type="dxa"/>
            <w:vAlign w:val="center"/>
          </w:tcPr>
          <w:p w14:paraId="77AAF194">
            <w:pPr>
              <w:keepNext w:val="0"/>
              <w:keepLines w:val="0"/>
              <w:widowControl/>
              <w:suppressLineNumbers w:val="0"/>
              <w:jc w:val="center"/>
              <w:textAlignment w:val="center"/>
              <w:rPr>
                <w:rFonts w:ascii="仿宋_GB2312" w:hAnsi="宋体" w:eastAsia="仿宋_GB2312" w:cs="宋体"/>
                <w:kern w:val="0"/>
              </w:rPr>
            </w:pPr>
          </w:p>
        </w:tc>
        <w:tc>
          <w:tcPr>
            <w:tcW w:w="849" w:type="dxa"/>
            <w:vAlign w:val="center"/>
          </w:tcPr>
          <w:p w14:paraId="5ABECCF1">
            <w:pPr>
              <w:keepNext w:val="0"/>
              <w:keepLines w:val="0"/>
              <w:widowControl/>
              <w:suppressLineNumbers w:val="0"/>
              <w:jc w:val="center"/>
              <w:textAlignment w:val="center"/>
              <w:rPr>
                <w:rFonts w:ascii="仿宋_GB2312" w:hAnsi="宋体" w:eastAsia="仿宋_GB2312" w:cs="宋体"/>
                <w:kern w:val="0"/>
              </w:rPr>
            </w:pPr>
          </w:p>
        </w:tc>
        <w:tc>
          <w:tcPr>
            <w:tcW w:w="1383" w:type="dxa"/>
            <w:vAlign w:val="center"/>
          </w:tcPr>
          <w:p w14:paraId="450B54F5">
            <w:pPr>
              <w:keepNext w:val="0"/>
              <w:keepLines w:val="0"/>
              <w:widowControl/>
              <w:suppressLineNumbers w:val="0"/>
              <w:jc w:val="center"/>
              <w:textAlignment w:val="center"/>
              <w:rPr>
                <w:rFonts w:ascii="仿宋_GB2312" w:hAnsi="宋体" w:eastAsia="仿宋_GB2312" w:cs="宋体"/>
                <w:kern w:val="0"/>
              </w:rPr>
            </w:pPr>
          </w:p>
        </w:tc>
      </w:tr>
      <w:tr w14:paraId="73AD1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2753949">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415193D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A020DA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10175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D092A8B">
            <w:pPr>
              <w:spacing w:line="240" w:lineRule="auto"/>
              <w:ind w:firstLine="420"/>
              <w:jc w:val="center"/>
              <w:rPr>
                <w:rFonts w:ascii="仿宋_GB2312" w:hAnsi="宋体" w:eastAsia="仿宋_GB2312" w:cs="宋体"/>
                <w:kern w:val="0"/>
              </w:rPr>
            </w:pPr>
          </w:p>
        </w:tc>
        <w:tc>
          <w:tcPr>
            <w:tcW w:w="4396" w:type="dxa"/>
            <w:gridSpan w:val="4"/>
            <w:vAlign w:val="center"/>
          </w:tcPr>
          <w:p w14:paraId="54CEE3DC">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0"/>
                <w:szCs w:val="20"/>
                <w:u w:val="none"/>
                <w:lang w:val="en-US" w:eastAsia="zh-CN" w:bidi="ar"/>
              </w:rPr>
              <w:t>完成本年度1300批次食品安全监督抽检和700批次食用农产品监督抽检</w:t>
            </w:r>
          </w:p>
        </w:tc>
        <w:tc>
          <w:tcPr>
            <w:tcW w:w="4140" w:type="dxa"/>
            <w:gridSpan w:val="4"/>
            <w:vAlign w:val="center"/>
          </w:tcPr>
          <w:p w14:paraId="5F71D3AE">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0"/>
                <w:szCs w:val="20"/>
                <w:u w:val="none"/>
                <w:lang w:val="en-US" w:eastAsia="zh-CN" w:bidi="ar"/>
              </w:rPr>
              <w:t>完成本年度1300批次市县食品安全监督抽检和700批次市县专项食用农产品监督抽检</w:t>
            </w:r>
          </w:p>
        </w:tc>
      </w:tr>
      <w:tr w14:paraId="417B8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4CC9D1BB">
            <w:pPr>
              <w:spacing w:line="240" w:lineRule="auto"/>
              <w:ind w:firstLine="420"/>
              <w:jc w:val="center"/>
              <w:rPr>
                <w:rFonts w:ascii="仿宋_GB2312" w:hAnsi="宋体" w:eastAsia="仿宋_GB2312" w:cs="宋体"/>
                <w:kern w:val="0"/>
              </w:rPr>
            </w:pPr>
          </w:p>
          <w:p w14:paraId="03B7E90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5E8DC836">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1DFC5D4E">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7D769BBF">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0D2470BF">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259698F3">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7BC29A7B">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53D15C2">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2BA7C55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227BF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458C7DE">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0FE5757">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52BB2EE5">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758E569">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8BA3832">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食品安全监督抽检</w:t>
            </w:r>
          </w:p>
        </w:tc>
        <w:tc>
          <w:tcPr>
            <w:tcW w:w="1099" w:type="dxa"/>
            <w:vAlign w:val="center"/>
          </w:tcPr>
          <w:p w14:paraId="1482BD6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1300批次</w:t>
            </w:r>
          </w:p>
        </w:tc>
        <w:tc>
          <w:tcPr>
            <w:tcW w:w="1099" w:type="dxa"/>
            <w:vAlign w:val="center"/>
          </w:tcPr>
          <w:p w14:paraId="2E78475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1300批次</w:t>
            </w:r>
          </w:p>
        </w:tc>
        <w:tc>
          <w:tcPr>
            <w:tcW w:w="809" w:type="dxa"/>
            <w:vAlign w:val="center"/>
          </w:tcPr>
          <w:p w14:paraId="075AF33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2436C457">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1E7AB9B6">
            <w:pPr>
              <w:spacing w:line="240" w:lineRule="auto"/>
              <w:ind w:firstLine="420" w:firstLineChars="0"/>
              <w:jc w:val="center"/>
              <w:rPr>
                <w:rFonts w:ascii="仿宋_GB2312" w:hAnsi="宋体" w:eastAsia="仿宋_GB2312" w:cs="宋体"/>
                <w:kern w:val="0"/>
              </w:rPr>
            </w:pPr>
          </w:p>
        </w:tc>
      </w:tr>
      <w:tr w14:paraId="62911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668EA7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75A2D78">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CC2DF7C">
            <w:pPr>
              <w:spacing w:line="240" w:lineRule="auto"/>
              <w:ind w:firstLine="420"/>
              <w:jc w:val="center"/>
              <w:rPr>
                <w:rFonts w:ascii="仿宋_GB2312" w:hAnsi="宋体" w:eastAsia="仿宋_GB2312" w:cs="宋体"/>
                <w:kern w:val="0"/>
              </w:rPr>
            </w:pPr>
          </w:p>
        </w:tc>
        <w:tc>
          <w:tcPr>
            <w:tcW w:w="1020" w:type="dxa"/>
            <w:vAlign w:val="center"/>
          </w:tcPr>
          <w:p w14:paraId="2D02AB7E">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食用农产品监督抽检</w:t>
            </w:r>
          </w:p>
        </w:tc>
        <w:tc>
          <w:tcPr>
            <w:tcW w:w="1099" w:type="dxa"/>
            <w:vAlign w:val="center"/>
          </w:tcPr>
          <w:p w14:paraId="1706F7C9">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700批次</w:t>
            </w:r>
          </w:p>
        </w:tc>
        <w:tc>
          <w:tcPr>
            <w:tcW w:w="1099" w:type="dxa"/>
            <w:vAlign w:val="center"/>
          </w:tcPr>
          <w:p w14:paraId="36C4B79E">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1300批次</w:t>
            </w:r>
          </w:p>
        </w:tc>
        <w:tc>
          <w:tcPr>
            <w:tcW w:w="809" w:type="dxa"/>
            <w:vAlign w:val="center"/>
          </w:tcPr>
          <w:p w14:paraId="19DB26BC">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24359D8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073DEDC9">
            <w:pPr>
              <w:spacing w:line="240" w:lineRule="auto"/>
              <w:ind w:firstLine="420" w:firstLineChars="0"/>
              <w:jc w:val="center"/>
              <w:rPr>
                <w:rFonts w:ascii="仿宋_GB2312" w:hAnsi="宋体" w:eastAsia="仿宋_GB2312" w:cs="宋体"/>
                <w:kern w:val="0"/>
              </w:rPr>
            </w:pPr>
          </w:p>
        </w:tc>
      </w:tr>
      <w:tr w14:paraId="0789F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BCD31F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3BBC2C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4CC9D96">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565CA015">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上年度不合格食品跟踪抽检全覆盖</w:t>
            </w:r>
          </w:p>
        </w:tc>
        <w:tc>
          <w:tcPr>
            <w:tcW w:w="1099" w:type="dxa"/>
            <w:vAlign w:val="center"/>
          </w:tcPr>
          <w:p w14:paraId="6BCF41DB">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099" w:type="dxa"/>
            <w:vAlign w:val="center"/>
          </w:tcPr>
          <w:p w14:paraId="0272089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4181CB19">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3</w:t>
            </w:r>
          </w:p>
        </w:tc>
        <w:tc>
          <w:tcPr>
            <w:tcW w:w="849" w:type="dxa"/>
            <w:vAlign w:val="center"/>
          </w:tcPr>
          <w:p w14:paraId="04575F3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3.00</w:t>
            </w:r>
          </w:p>
        </w:tc>
        <w:tc>
          <w:tcPr>
            <w:tcW w:w="1383" w:type="dxa"/>
            <w:vAlign w:val="center"/>
          </w:tcPr>
          <w:p w14:paraId="26AF47D7">
            <w:pPr>
              <w:spacing w:line="240" w:lineRule="auto"/>
              <w:ind w:firstLine="420" w:firstLineChars="0"/>
              <w:jc w:val="center"/>
              <w:rPr>
                <w:rFonts w:ascii="仿宋_GB2312" w:hAnsi="宋体" w:eastAsia="仿宋_GB2312" w:cs="宋体"/>
                <w:kern w:val="0"/>
              </w:rPr>
            </w:pPr>
          </w:p>
        </w:tc>
      </w:tr>
      <w:tr w14:paraId="49A6A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FB727A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30B4AA6">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8821DD5">
            <w:pPr>
              <w:spacing w:line="240" w:lineRule="auto"/>
              <w:ind w:firstLine="420"/>
              <w:jc w:val="center"/>
              <w:rPr>
                <w:rFonts w:ascii="仿宋_GB2312" w:hAnsi="宋体" w:eastAsia="仿宋_GB2312" w:cs="宋体"/>
                <w:kern w:val="0"/>
              </w:rPr>
            </w:pPr>
          </w:p>
        </w:tc>
        <w:tc>
          <w:tcPr>
            <w:tcW w:w="1020" w:type="dxa"/>
            <w:vAlign w:val="center"/>
          </w:tcPr>
          <w:p w14:paraId="3500CBDF">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抽检公示率</w:t>
            </w:r>
          </w:p>
        </w:tc>
        <w:tc>
          <w:tcPr>
            <w:tcW w:w="1099" w:type="dxa"/>
            <w:vAlign w:val="center"/>
          </w:tcPr>
          <w:p w14:paraId="3D6E19FE">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099" w:type="dxa"/>
            <w:vAlign w:val="center"/>
          </w:tcPr>
          <w:p w14:paraId="7B4679A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79D48519">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3</w:t>
            </w:r>
          </w:p>
        </w:tc>
        <w:tc>
          <w:tcPr>
            <w:tcW w:w="849" w:type="dxa"/>
            <w:vAlign w:val="center"/>
          </w:tcPr>
          <w:p w14:paraId="52A984E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3.00</w:t>
            </w:r>
          </w:p>
        </w:tc>
        <w:tc>
          <w:tcPr>
            <w:tcW w:w="1383" w:type="dxa"/>
            <w:vAlign w:val="center"/>
          </w:tcPr>
          <w:p w14:paraId="5FBC8898">
            <w:pPr>
              <w:spacing w:line="240" w:lineRule="auto"/>
              <w:ind w:firstLine="420" w:firstLineChars="0"/>
              <w:jc w:val="center"/>
              <w:rPr>
                <w:rFonts w:ascii="仿宋_GB2312" w:hAnsi="宋体" w:eastAsia="仿宋_GB2312" w:cs="宋体"/>
                <w:kern w:val="0"/>
              </w:rPr>
            </w:pPr>
          </w:p>
        </w:tc>
      </w:tr>
      <w:tr w14:paraId="660B7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EBF151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3A7E8A6">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B008D55">
            <w:pPr>
              <w:spacing w:line="240" w:lineRule="auto"/>
              <w:ind w:firstLine="420"/>
              <w:jc w:val="center"/>
              <w:rPr>
                <w:rFonts w:ascii="仿宋_GB2312" w:hAnsi="宋体" w:eastAsia="仿宋_GB2312" w:cs="宋体"/>
                <w:kern w:val="0"/>
              </w:rPr>
            </w:pPr>
          </w:p>
        </w:tc>
        <w:tc>
          <w:tcPr>
            <w:tcW w:w="1020" w:type="dxa"/>
            <w:vAlign w:val="center"/>
          </w:tcPr>
          <w:p w14:paraId="72B80A01">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国抽系统数据录入率</w:t>
            </w:r>
          </w:p>
        </w:tc>
        <w:tc>
          <w:tcPr>
            <w:tcW w:w="1099" w:type="dxa"/>
            <w:vAlign w:val="center"/>
          </w:tcPr>
          <w:p w14:paraId="419DA15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099" w:type="dxa"/>
            <w:vAlign w:val="center"/>
          </w:tcPr>
          <w:p w14:paraId="5353D9B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0445F59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4</w:t>
            </w:r>
          </w:p>
        </w:tc>
        <w:tc>
          <w:tcPr>
            <w:tcW w:w="849" w:type="dxa"/>
            <w:vAlign w:val="center"/>
          </w:tcPr>
          <w:p w14:paraId="4ABA7682">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4.00</w:t>
            </w:r>
          </w:p>
        </w:tc>
        <w:tc>
          <w:tcPr>
            <w:tcW w:w="1383" w:type="dxa"/>
            <w:vAlign w:val="center"/>
          </w:tcPr>
          <w:p w14:paraId="22E53C24">
            <w:pPr>
              <w:spacing w:line="240" w:lineRule="auto"/>
              <w:ind w:firstLine="420" w:firstLineChars="0"/>
              <w:jc w:val="center"/>
              <w:rPr>
                <w:rFonts w:ascii="仿宋_GB2312" w:hAnsi="宋体" w:eastAsia="仿宋_GB2312" w:cs="宋体"/>
                <w:kern w:val="0"/>
              </w:rPr>
            </w:pPr>
          </w:p>
        </w:tc>
      </w:tr>
      <w:tr w14:paraId="4FCAE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053A40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DE3C0B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3D7E2E4">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48A17DA6">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任务完成时间</w:t>
            </w:r>
          </w:p>
        </w:tc>
        <w:tc>
          <w:tcPr>
            <w:tcW w:w="1099" w:type="dxa"/>
            <w:vAlign w:val="center"/>
          </w:tcPr>
          <w:p w14:paraId="5A8785B6">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2023年12月31日前</w:t>
            </w:r>
          </w:p>
        </w:tc>
        <w:tc>
          <w:tcPr>
            <w:tcW w:w="1099" w:type="dxa"/>
            <w:vAlign w:val="center"/>
          </w:tcPr>
          <w:p w14:paraId="3765521B">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2023年12月31日前</w:t>
            </w:r>
          </w:p>
        </w:tc>
        <w:tc>
          <w:tcPr>
            <w:tcW w:w="809" w:type="dxa"/>
            <w:vAlign w:val="center"/>
          </w:tcPr>
          <w:p w14:paraId="73B833E6">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6E19E90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7039912E">
            <w:pPr>
              <w:spacing w:line="240" w:lineRule="auto"/>
              <w:ind w:firstLine="420" w:firstLineChars="0"/>
              <w:jc w:val="center"/>
              <w:rPr>
                <w:rFonts w:ascii="仿宋_GB2312" w:hAnsi="宋体" w:eastAsia="仿宋_GB2312" w:cs="宋体"/>
                <w:kern w:val="0"/>
              </w:rPr>
            </w:pPr>
          </w:p>
        </w:tc>
      </w:tr>
      <w:tr w14:paraId="532FF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09AA1CD">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9ACFBC0">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120BDE9">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660C13E">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0B4BA1E2">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kern w:val="0"/>
                <w:sz w:val="18"/>
                <w:szCs w:val="18"/>
                <w:highlight w:val="none"/>
                <w:lang w:val="en-US" w:eastAsia="zh-CN"/>
              </w:rPr>
              <w:t>促进经济发展</w:t>
            </w:r>
          </w:p>
        </w:tc>
        <w:tc>
          <w:tcPr>
            <w:tcW w:w="1099" w:type="dxa"/>
            <w:vAlign w:val="center"/>
          </w:tcPr>
          <w:p w14:paraId="0B61B6BF">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highlight w:val="none"/>
                <w:u w:val="none"/>
                <w:lang w:val="en-US" w:eastAsia="zh-CN" w:bidi="ar"/>
              </w:rPr>
              <w:t>有所提升</w:t>
            </w:r>
          </w:p>
        </w:tc>
        <w:tc>
          <w:tcPr>
            <w:tcW w:w="1099" w:type="dxa"/>
            <w:vAlign w:val="center"/>
          </w:tcPr>
          <w:p w14:paraId="6CFF716C">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highlight w:val="none"/>
                <w:u w:val="none"/>
                <w:lang w:val="en-US" w:eastAsia="zh-CN" w:bidi="ar"/>
              </w:rPr>
              <w:t>有所提升</w:t>
            </w:r>
          </w:p>
        </w:tc>
        <w:tc>
          <w:tcPr>
            <w:tcW w:w="809" w:type="dxa"/>
            <w:vAlign w:val="center"/>
          </w:tcPr>
          <w:p w14:paraId="451F974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highlight w:val="none"/>
                <w:u w:val="none"/>
                <w:lang w:val="en-US" w:eastAsia="zh-CN" w:bidi="ar"/>
              </w:rPr>
              <w:t>10</w:t>
            </w:r>
          </w:p>
        </w:tc>
        <w:tc>
          <w:tcPr>
            <w:tcW w:w="849" w:type="dxa"/>
            <w:vAlign w:val="center"/>
          </w:tcPr>
          <w:p w14:paraId="03559038">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highlight w:val="none"/>
                <w:u w:val="none"/>
                <w:lang w:val="en-US" w:eastAsia="zh-CN" w:bidi="ar"/>
              </w:rPr>
              <w:t>10.00</w:t>
            </w:r>
          </w:p>
        </w:tc>
        <w:tc>
          <w:tcPr>
            <w:tcW w:w="1383" w:type="dxa"/>
            <w:vAlign w:val="center"/>
          </w:tcPr>
          <w:p w14:paraId="6D622F4E">
            <w:pPr>
              <w:spacing w:line="240" w:lineRule="auto"/>
              <w:ind w:firstLine="420" w:firstLineChars="0"/>
              <w:jc w:val="center"/>
              <w:rPr>
                <w:rFonts w:ascii="仿宋_GB2312" w:hAnsi="宋体" w:eastAsia="仿宋_GB2312" w:cs="宋体"/>
                <w:kern w:val="0"/>
              </w:rPr>
            </w:pPr>
          </w:p>
        </w:tc>
      </w:tr>
      <w:tr w14:paraId="0AC3A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6077C1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0D171C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E3C4A6">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17AD17CC">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食品环境安全得到加强</w:t>
            </w:r>
          </w:p>
        </w:tc>
        <w:tc>
          <w:tcPr>
            <w:tcW w:w="1099" w:type="dxa"/>
            <w:vAlign w:val="center"/>
          </w:tcPr>
          <w:p w14:paraId="66EB800F">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逐步加强</w:t>
            </w:r>
          </w:p>
        </w:tc>
        <w:tc>
          <w:tcPr>
            <w:tcW w:w="1099" w:type="dxa"/>
            <w:vAlign w:val="center"/>
          </w:tcPr>
          <w:p w14:paraId="54659AA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得到加强</w:t>
            </w:r>
          </w:p>
        </w:tc>
        <w:tc>
          <w:tcPr>
            <w:tcW w:w="809" w:type="dxa"/>
            <w:vAlign w:val="center"/>
          </w:tcPr>
          <w:p w14:paraId="0929E6E7">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6C03D17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9.00</w:t>
            </w:r>
          </w:p>
        </w:tc>
        <w:tc>
          <w:tcPr>
            <w:tcW w:w="1383" w:type="dxa"/>
            <w:vAlign w:val="center"/>
          </w:tcPr>
          <w:p w14:paraId="0815545C">
            <w:pPr>
              <w:spacing w:line="240" w:lineRule="auto"/>
              <w:ind w:firstLine="420" w:firstLineChars="0"/>
              <w:jc w:val="center"/>
              <w:rPr>
                <w:rFonts w:ascii="仿宋_GB2312" w:hAnsi="宋体" w:eastAsia="仿宋_GB2312" w:cs="宋体"/>
                <w:kern w:val="0"/>
              </w:rPr>
            </w:pPr>
          </w:p>
        </w:tc>
      </w:tr>
      <w:tr w14:paraId="6A33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F0C3C2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C798B1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0F7958C">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1032949E">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生态环境改善状况</w:t>
            </w:r>
          </w:p>
        </w:tc>
        <w:tc>
          <w:tcPr>
            <w:tcW w:w="1099" w:type="dxa"/>
            <w:vAlign w:val="center"/>
          </w:tcPr>
          <w:p w14:paraId="5F362F28">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有所改善</w:t>
            </w:r>
          </w:p>
        </w:tc>
        <w:tc>
          <w:tcPr>
            <w:tcW w:w="1099" w:type="dxa"/>
            <w:vAlign w:val="center"/>
          </w:tcPr>
          <w:p w14:paraId="342E1D9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有所改善</w:t>
            </w:r>
          </w:p>
        </w:tc>
        <w:tc>
          <w:tcPr>
            <w:tcW w:w="809" w:type="dxa"/>
            <w:vAlign w:val="center"/>
          </w:tcPr>
          <w:p w14:paraId="23880AA2">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1759F507">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4C1DFAE5">
            <w:pPr>
              <w:spacing w:line="240" w:lineRule="auto"/>
              <w:ind w:firstLine="420" w:firstLineChars="0"/>
              <w:jc w:val="center"/>
              <w:rPr>
                <w:rFonts w:ascii="仿宋_GB2312" w:hAnsi="宋体" w:eastAsia="仿宋_GB2312" w:cs="宋体"/>
                <w:kern w:val="0"/>
              </w:rPr>
            </w:pPr>
          </w:p>
        </w:tc>
      </w:tr>
      <w:tr w14:paraId="58FF3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440A23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E00A86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9540458">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69FB120">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食品安全质量</w:t>
            </w:r>
          </w:p>
        </w:tc>
        <w:tc>
          <w:tcPr>
            <w:tcW w:w="1099" w:type="dxa"/>
            <w:vAlign w:val="center"/>
          </w:tcPr>
          <w:p w14:paraId="5EFFD16C">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持续提高</w:t>
            </w:r>
          </w:p>
        </w:tc>
        <w:tc>
          <w:tcPr>
            <w:tcW w:w="1099" w:type="dxa"/>
            <w:vAlign w:val="center"/>
          </w:tcPr>
          <w:p w14:paraId="65CFFDBE">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持续提高</w:t>
            </w:r>
          </w:p>
        </w:tc>
        <w:tc>
          <w:tcPr>
            <w:tcW w:w="809" w:type="dxa"/>
            <w:vAlign w:val="center"/>
          </w:tcPr>
          <w:p w14:paraId="146590EE">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1068CC89">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4.00</w:t>
            </w:r>
          </w:p>
        </w:tc>
        <w:tc>
          <w:tcPr>
            <w:tcW w:w="1383" w:type="dxa"/>
            <w:vAlign w:val="center"/>
          </w:tcPr>
          <w:p w14:paraId="0F88F3F8">
            <w:pPr>
              <w:spacing w:line="240" w:lineRule="auto"/>
              <w:ind w:firstLine="420" w:firstLineChars="0"/>
              <w:jc w:val="center"/>
              <w:rPr>
                <w:rFonts w:ascii="仿宋_GB2312" w:hAnsi="宋体" w:eastAsia="仿宋_GB2312" w:cs="宋体"/>
                <w:kern w:val="0"/>
              </w:rPr>
            </w:pPr>
          </w:p>
        </w:tc>
      </w:tr>
      <w:tr w14:paraId="5AA10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723DA1D">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05E6B4EC">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BA7F9CD">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59F93AF4">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highlight w:val="none"/>
                <w:u w:val="none"/>
                <w:lang w:val="en-US" w:eastAsia="zh-CN" w:bidi="ar"/>
              </w:rPr>
              <w:t>食品生产、经营者对食品抽检实施过程满意度</w:t>
            </w:r>
          </w:p>
        </w:tc>
        <w:tc>
          <w:tcPr>
            <w:tcW w:w="1099" w:type="dxa"/>
            <w:vAlign w:val="center"/>
          </w:tcPr>
          <w:p w14:paraId="18D68CB7">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highlight w:val="none"/>
                <w:u w:val="none"/>
                <w:lang w:val="en-US" w:eastAsia="zh-CN" w:bidi="ar"/>
              </w:rPr>
              <w:t>≥95%</w:t>
            </w:r>
          </w:p>
        </w:tc>
        <w:tc>
          <w:tcPr>
            <w:tcW w:w="1099" w:type="dxa"/>
            <w:vAlign w:val="center"/>
          </w:tcPr>
          <w:p w14:paraId="232392B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highlight w:val="none"/>
                <w:u w:val="none"/>
                <w:lang w:val="en-US" w:eastAsia="zh-CN" w:bidi="ar"/>
              </w:rPr>
              <w:t>95%</w:t>
            </w:r>
          </w:p>
        </w:tc>
        <w:tc>
          <w:tcPr>
            <w:tcW w:w="809" w:type="dxa"/>
            <w:vAlign w:val="center"/>
          </w:tcPr>
          <w:p w14:paraId="138DF95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highlight w:val="none"/>
                <w:u w:val="none"/>
                <w:lang w:val="en-US" w:eastAsia="zh-CN" w:bidi="ar"/>
              </w:rPr>
              <w:t>10</w:t>
            </w:r>
          </w:p>
        </w:tc>
        <w:tc>
          <w:tcPr>
            <w:tcW w:w="849" w:type="dxa"/>
            <w:vAlign w:val="center"/>
          </w:tcPr>
          <w:p w14:paraId="0E1981E5">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highlight w:val="none"/>
                <w:u w:val="none"/>
                <w:lang w:val="en-US" w:eastAsia="zh-CN" w:bidi="ar"/>
              </w:rPr>
              <w:t>10.00</w:t>
            </w:r>
          </w:p>
        </w:tc>
        <w:tc>
          <w:tcPr>
            <w:tcW w:w="1383" w:type="dxa"/>
            <w:vAlign w:val="center"/>
          </w:tcPr>
          <w:p w14:paraId="299A1717">
            <w:pPr>
              <w:spacing w:line="240" w:lineRule="auto"/>
              <w:ind w:firstLine="420" w:firstLineChars="0"/>
              <w:jc w:val="center"/>
              <w:rPr>
                <w:rFonts w:ascii="仿宋_GB2312" w:hAnsi="宋体" w:eastAsia="仿宋_GB2312" w:cs="宋体"/>
                <w:kern w:val="0"/>
              </w:rPr>
            </w:pPr>
          </w:p>
        </w:tc>
      </w:tr>
      <w:tr w14:paraId="12C24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B195549">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2BE6F63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6F271DFE">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vMerge w:val="restart"/>
            <w:tcBorders>
              <w:top w:val="nil"/>
            </w:tcBorders>
            <w:vAlign w:val="center"/>
          </w:tcPr>
          <w:p w14:paraId="15B4A46E">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322522DB">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食品安全监督抽检</w:t>
            </w:r>
          </w:p>
        </w:tc>
        <w:tc>
          <w:tcPr>
            <w:tcW w:w="1099" w:type="dxa"/>
            <w:vAlign w:val="center"/>
          </w:tcPr>
          <w:p w14:paraId="1A6A126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其中260批次每批次680元，另1040批次需购样费</w:t>
            </w:r>
          </w:p>
        </w:tc>
        <w:tc>
          <w:tcPr>
            <w:tcW w:w="1099" w:type="dxa"/>
            <w:vAlign w:val="center"/>
          </w:tcPr>
          <w:p w14:paraId="01EFE3D5">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其中260批次每批次680元，另1040批次需购样费</w:t>
            </w:r>
          </w:p>
        </w:tc>
        <w:tc>
          <w:tcPr>
            <w:tcW w:w="809" w:type="dxa"/>
            <w:vAlign w:val="center"/>
          </w:tcPr>
          <w:p w14:paraId="2EB90AB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4A865C48">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5ACB0A97">
            <w:pPr>
              <w:spacing w:line="240" w:lineRule="auto"/>
              <w:ind w:firstLine="420" w:firstLineChars="0"/>
              <w:jc w:val="center"/>
              <w:rPr>
                <w:rFonts w:ascii="仿宋_GB2312" w:hAnsi="宋体" w:eastAsia="仿宋_GB2312" w:cs="宋体"/>
                <w:kern w:val="0"/>
              </w:rPr>
            </w:pPr>
          </w:p>
        </w:tc>
      </w:tr>
      <w:tr w14:paraId="2F422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26CCE84">
            <w:pPr>
              <w:spacing w:line="240" w:lineRule="auto"/>
              <w:ind w:firstLine="420"/>
              <w:jc w:val="center"/>
              <w:rPr>
                <w:rFonts w:ascii="仿宋_GB2312" w:hAnsi="宋体" w:eastAsia="仿宋_GB2312" w:cs="宋体"/>
                <w:kern w:val="0"/>
              </w:rPr>
            </w:pPr>
          </w:p>
        </w:tc>
        <w:tc>
          <w:tcPr>
            <w:tcW w:w="1059" w:type="dxa"/>
            <w:vMerge w:val="continue"/>
            <w:vAlign w:val="center"/>
          </w:tcPr>
          <w:p w14:paraId="5C60F315">
            <w:pPr>
              <w:spacing w:line="240" w:lineRule="auto"/>
              <w:jc w:val="center"/>
              <w:rPr>
                <w:rFonts w:hint="eastAsia" w:ascii="仿宋_GB2312" w:eastAsia="仿宋_GB2312"/>
                <w:kern w:val="0"/>
                <w:lang w:val="en-US" w:eastAsia="zh-CN"/>
              </w:rPr>
            </w:pPr>
          </w:p>
        </w:tc>
        <w:tc>
          <w:tcPr>
            <w:tcW w:w="1218" w:type="dxa"/>
            <w:vMerge w:val="continue"/>
            <w:vAlign w:val="center"/>
          </w:tcPr>
          <w:p w14:paraId="3491483E">
            <w:pPr>
              <w:spacing w:line="240" w:lineRule="auto"/>
              <w:jc w:val="center"/>
              <w:rPr>
                <w:rFonts w:hint="eastAsia" w:ascii="仿宋_GB2312" w:eastAsia="仿宋_GB2312"/>
                <w:kern w:val="0"/>
                <w:lang w:eastAsia="zh-CN"/>
              </w:rPr>
            </w:pPr>
          </w:p>
        </w:tc>
        <w:tc>
          <w:tcPr>
            <w:tcW w:w="1020" w:type="dxa"/>
            <w:vAlign w:val="center"/>
          </w:tcPr>
          <w:p w14:paraId="6850C06B">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食用农产品监督抽检</w:t>
            </w:r>
          </w:p>
        </w:tc>
        <w:tc>
          <w:tcPr>
            <w:tcW w:w="1099" w:type="dxa"/>
            <w:vAlign w:val="center"/>
          </w:tcPr>
          <w:p w14:paraId="54AE5E9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530元/批次</w:t>
            </w:r>
          </w:p>
        </w:tc>
        <w:tc>
          <w:tcPr>
            <w:tcW w:w="1099" w:type="dxa"/>
            <w:vAlign w:val="center"/>
          </w:tcPr>
          <w:p w14:paraId="3E973C9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530元/批次</w:t>
            </w:r>
          </w:p>
        </w:tc>
        <w:tc>
          <w:tcPr>
            <w:tcW w:w="809" w:type="dxa"/>
            <w:vAlign w:val="center"/>
          </w:tcPr>
          <w:p w14:paraId="6B2BB43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500F503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434D5762">
            <w:pPr>
              <w:spacing w:line="240" w:lineRule="auto"/>
              <w:ind w:firstLine="420" w:firstLineChars="0"/>
              <w:jc w:val="center"/>
              <w:rPr>
                <w:rFonts w:ascii="仿宋_GB2312" w:hAnsi="宋体" w:eastAsia="仿宋_GB2312" w:cs="宋体"/>
                <w:kern w:val="0"/>
              </w:rPr>
            </w:pPr>
          </w:p>
        </w:tc>
      </w:tr>
      <w:tr w14:paraId="1B485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4531F3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37ACEAD">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14E6CA7">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5061DED1">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对社会发展可能造成的负面影响</w:t>
            </w:r>
          </w:p>
        </w:tc>
        <w:tc>
          <w:tcPr>
            <w:tcW w:w="1099" w:type="dxa"/>
            <w:vAlign w:val="center"/>
          </w:tcPr>
          <w:p w14:paraId="47CDB5D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1099" w:type="dxa"/>
            <w:vAlign w:val="center"/>
          </w:tcPr>
          <w:p w14:paraId="6F19459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809" w:type="dxa"/>
            <w:vAlign w:val="center"/>
          </w:tcPr>
          <w:p w14:paraId="5F7C1F7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3A9F8D49">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5E08BFB4">
            <w:pPr>
              <w:spacing w:line="240" w:lineRule="auto"/>
              <w:ind w:firstLine="420" w:firstLineChars="0"/>
              <w:jc w:val="center"/>
              <w:rPr>
                <w:rFonts w:ascii="仿宋_GB2312" w:hAnsi="宋体" w:eastAsia="仿宋_GB2312" w:cs="宋体"/>
                <w:kern w:val="0"/>
              </w:rPr>
            </w:pPr>
          </w:p>
        </w:tc>
      </w:tr>
      <w:tr w14:paraId="4F2C8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4013CA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87BA2F2">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3CCBF8E">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14B35ED9">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对自然生态环境造成的负面影响</w:t>
            </w:r>
          </w:p>
        </w:tc>
        <w:tc>
          <w:tcPr>
            <w:tcW w:w="1099" w:type="dxa"/>
            <w:vAlign w:val="center"/>
          </w:tcPr>
          <w:p w14:paraId="2459CDB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1099" w:type="dxa"/>
            <w:vAlign w:val="center"/>
          </w:tcPr>
          <w:p w14:paraId="47E549B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809" w:type="dxa"/>
            <w:vAlign w:val="center"/>
          </w:tcPr>
          <w:p w14:paraId="4FACA6A7">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16C19E9F">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65D0EA2C">
            <w:pPr>
              <w:spacing w:line="240" w:lineRule="auto"/>
              <w:ind w:firstLine="420" w:firstLineChars="0"/>
              <w:jc w:val="center"/>
              <w:rPr>
                <w:rFonts w:ascii="仿宋_GB2312" w:hAnsi="宋体" w:eastAsia="仿宋_GB2312" w:cs="宋体"/>
                <w:kern w:val="0"/>
              </w:rPr>
            </w:pPr>
          </w:p>
        </w:tc>
      </w:tr>
      <w:tr w14:paraId="620CE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2ED0A8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D441024">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0E63539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2FC37985">
            <w:pPr>
              <w:spacing w:line="240" w:lineRule="auto"/>
              <w:ind w:firstLine="420"/>
              <w:jc w:val="center"/>
              <w:rPr>
                <w:rFonts w:ascii="仿宋_GB2312" w:hAnsi="宋体" w:eastAsia="仿宋_GB2312" w:cs="宋体"/>
                <w:kern w:val="0"/>
              </w:rPr>
            </w:pPr>
          </w:p>
        </w:tc>
      </w:tr>
    </w:tbl>
    <w:p w14:paraId="4665427B">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2EC210B">
      <w:pPr>
        <w:spacing w:line="240" w:lineRule="auto"/>
        <w:ind w:firstLine="420"/>
        <w:jc w:val="left"/>
        <w:rPr>
          <w:rFonts w:ascii="宋体" w:hAnsi="宋体" w:eastAsia="宋体" w:cs="宋体"/>
          <w:kern w:val="0"/>
          <w:lang w:eastAsia="zh-CN"/>
        </w:rPr>
      </w:pPr>
    </w:p>
    <w:p w14:paraId="15850E7A">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hint="eastAsia" w:ascii="仿宋_GB2312" w:hAnsi="宋体" w:eastAsia="仿宋_GB2312" w:cs="宋体"/>
          <w:snapToGrid w:val="0"/>
          <w:color w:val="000000"/>
          <w:sz w:val="21"/>
          <w:szCs w:val="21"/>
          <w:lang w:val="en-US" w:eastAsia="zh-CN" w:bidi="ar-SA"/>
        </w:rPr>
        <w:t>袁焕</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snapToGrid w:val="0"/>
          <w:color w:val="000000"/>
          <w:sz w:val="21"/>
          <w:szCs w:val="21"/>
          <w:lang w:val="en-US" w:eastAsia="zh-CN" w:bidi="ar-SA"/>
        </w:rPr>
        <w:t>2024年10月11日</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snapToGrid w:val="0"/>
          <w:color w:val="000000"/>
          <w:sz w:val="21"/>
          <w:szCs w:val="21"/>
          <w:lang w:val="en-US" w:eastAsia="zh-CN" w:bidi="ar-SA"/>
        </w:rPr>
        <w:t xml:space="preserve">15842897555  </w:t>
      </w:r>
      <w:r>
        <w:rPr>
          <w:rFonts w:hint="eastAsia" w:ascii="仿宋_GB2312" w:hAnsi="宋体" w:eastAsia="仿宋_GB2312" w:cs="宋体"/>
          <w:kern w:val="0"/>
          <w:lang w:eastAsia="zh-CN"/>
        </w:rPr>
        <w:t>单位负责人签字:</w:t>
      </w:r>
    </w:p>
    <w:p w14:paraId="363F0EFF">
      <w:pPr>
        <w:rPr>
          <w:rFonts w:hint="eastAsia" w:ascii="仿宋_GB2312" w:hAnsi="宋体" w:eastAsia="仿宋_GB2312" w:cs="宋体"/>
          <w:kern w:val="0"/>
          <w:lang w:eastAsia="zh-CN"/>
        </w:rPr>
      </w:pPr>
    </w:p>
    <w:p w14:paraId="0FF08782">
      <w:pPr>
        <w:rPr>
          <w:rFonts w:hint="eastAsia" w:ascii="仿宋_GB2312" w:hAnsi="宋体" w:eastAsia="仿宋_GB2312" w:cs="宋体"/>
          <w:kern w:val="0"/>
          <w:lang w:eastAsia="zh-CN"/>
        </w:rPr>
      </w:pPr>
    </w:p>
    <w:p w14:paraId="21DAEB1F">
      <w:pPr>
        <w:rPr>
          <w:rFonts w:hint="eastAsia" w:ascii="仿宋_GB2312" w:hAnsi="宋体" w:eastAsia="仿宋_GB2312" w:cs="宋体"/>
          <w:kern w:val="0"/>
          <w:lang w:eastAsia="zh-CN"/>
        </w:rPr>
      </w:pPr>
    </w:p>
    <w:p w14:paraId="37EDC9B3">
      <w:pPr>
        <w:rPr>
          <w:rFonts w:hint="eastAsia" w:ascii="仿宋_GB2312" w:hAnsi="宋体" w:eastAsia="仿宋_GB2312" w:cs="宋体"/>
          <w:kern w:val="0"/>
          <w:lang w:eastAsia="zh-CN"/>
        </w:rPr>
      </w:pPr>
    </w:p>
    <w:p w14:paraId="6DD37694">
      <w:pPr>
        <w:rPr>
          <w:rFonts w:hint="eastAsia" w:ascii="仿宋_GB2312" w:hAnsi="宋体" w:eastAsia="仿宋_GB2312" w:cs="宋体"/>
          <w:kern w:val="0"/>
          <w:lang w:eastAsia="zh-CN"/>
        </w:rPr>
      </w:pPr>
    </w:p>
    <w:p w14:paraId="4F8DB8E2">
      <w:pPr>
        <w:rPr>
          <w:rFonts w:hint="eastAsia" w:ascii="仿宋_GB2312" w:hAnsi="宋体" w:eastAsia="仿宋_GB2312" w:cs="宋体"/>
          <w:kern w:val="0"/>
          <w:lang w:eastAsia="zh-CN"/>
        </w:rPr>
      </w:pPr>
    </w:p>
    <w:p w14:paraId="251681AC">
      <w:pPr>
        <w:rPr>
          <w:rFonts w:hint="eastAsia" w:ascii="仿宋_GB2312" w:hAnsi="宋体" w:eastAsia="仿宋_GB2312" w:cs="宋体"/>
          <w:kern w:val="0"/>
          <w:lang w:eastAsia="zh-CN"/>
        </w:rPr>
      </w:pPr>
    </w:p>
    <w:p w14:paraId="699625B6">
      <w:pPr>
        <w:rPr>
          <w:rFonts w:hint="eastAsia" w:ascii="仿宋_GB2312" w:hAnsi="宋体" w:eastAsia="仿宋_GB2312" w:cs="宋体"/>
          <w:kern w:val="0"/>
          <w:lang w:eastAsia="zh-CN"/>
        </w:rPr>
      </w:pPr>
    </w:p>
    <w:p w14:paraId="747E99B3">
      <w:pPr>
        <w:rPr>
          <w:rFonts w:hint="eastAsia" w:ascii="仿宋_GB2312" w:hAnsi="宋体" w:eastAsia="仿宋_GB2312" w:cs="宋体"/>
          <w:kern w:val="0"/>
          <w:lang w:eastAsia="zh-CN"/>
        </w:rPr>
      </w:pPr>
    </w:p>
    <w:p w14:paraId="6C82EC34">
      <w:pPr>
        <w:rPr>
          <w:rFonts w:hint="eastAsia" w:ascii="仿宋_GB2312" w:hAnsi="宋体" w:eastAsia="仿宋_GB2312" w:cs="宋体"/>
          <w:kern w:val="0"/>
          <w:lang w:eastAsia="zh-CN"/>
        </w:rPr>
      </w:pPr>
    </w:p>
    <w:p w14:paraId="56E652ED">
      <w:pPr>
        <w:rPr>
          <w:rFonts w:hint="eastAsia" w:ascii="仿宋_GB2312" w:hAnsi="宋体" w:eastAsia="仿宋_GB2312" w:cs="宋体"/>
          <w:kern w:val="0"/>
          <w:lang w:eastAsia="zh-CN"/>
        </w:rPr>
      </w:pPr>
    </w:p>
    <w:p w14:paraId="1C8D637F">
      <w:pPr>
        <w:rPr>
          <w:rFonts w:hint="eastAsia" w:ascii="仿宋_GB2312" w:hAnsi="宋体" w:eastAsia="仿宋_GB2312" w:cs="宋体"/>
          <w:kern w:val="0"/>
          <w:lang w:eastAsia="zh-CN"/>
        </w:rPr>
      </w:pPr>
    </w:p>
    <w:p w14:paraId="36E40A53">
      <w:pPr>
        <w:rPr>
          <w:rFonts w:hint="eastAsia" w:ascii="仿宋_GB2312" w:hAnsi="宋体" w:eastAsia="仿宋_GB2312" w:cs="宋体"/>
          <w:kern w:val="0"/>
          <w:lang w:eastAsia="zh-CN"/>
        </w:rPr>
      </w:pPr>
    </w:p>
    <w:p w14:paraId="45C61A30">
      <w:pPr>
        <w:rPr>
          <w:rFonts w:hint="eastAsia" w:ascii="仿宋_GB2312" w:hAnsi="宋体" w:eastAsia="仿宋_GB2312" w:cs="宋体"/>
          <w:kern w:val="0"/>
          <w:lang w:eastAsia="zh-CN"/>
        </w:rPr>
      </w:pPr>
    </w:p>
    <w:p w14:paraId="5E79DA9A">
      <w:pPr>
        <w:rPr>
          <w:rFonts w:hint="eastAsia" w:ascii="仿宋_GB2312" w:hAnsi="宋体" w:eastAsia="仿宋_GB2312" w:cs="宋体"/>
          <w:kern w:val="0"/>
          <w:lang w:eastAsia="zh-CN"/>
        </w:rPr>
      </w:pPr>
    </w:p>
    <w:p w14:paraId="67D7D2DC">
      <w:pPr>
        <w:rPr>
          <w:rFonts w:hint="eastAsia" w:ascii="仿宋_GB2312" w:hAnsi="宋体" w:eastAsia="仿宋_GB2312" w:cs="宋体"/>
          <w:kern w:val="0"/>
          <w:lang w:eastAsia="zh-CN"/>
        </w:rPr>
      </w:pPr>
    </w:p>
    <w:p w14:paraId="581A393D">
      <w:pPr>
        <w:rPr>
          <w:rFonts w:hint="eastAsia" w:ascii="仿宋_GB2312" w:hAnsi="宋体" w:eastAsia="仿宋_GB2312" w:cs="宋体"/>
          <w:kern w:val="0"/>
          <w:lang w:eastAsia="zh-CN"/>
        </w:rPr>
      </w:pPr>
    </w:p>
    <w:p w14:paraId="76228247">
      <w:pPr>
        <w:rPr>
          <w:rFonts w:hint="eastAsia" w:ascii="仿宋_GB2312" w:hAnsi="宋体" w:eastAsia="仿宋_GB2312" w:cs="宋体"/>
          <w:kern w:val="0"/>
          <w:lang w:eastAsia="zh-CN"/>
        </w:rPr>
      </w:pPr>
    </w:p>
    <w:p w14:paraId="696EE030">
      <w:pPr>
        <w:rPr>
          <w:rFonts w:hint="eastAsia" w:ascii="仿宋_GB2312" w:hAnsi="宋体" w:eastAsia="仿宋_GB2312" w:cs="宋体"/>
          <w:kern w:val="0"/>
          <w:lang w:eastAsia="zh-CN"/>
        </w:rPr>
      </w:pPr>
    </w:p>
    <w:p w14:paraId="6D9A8991">
      <w:pPr>
        <w:rPr>
          <w:rFonts w:hint="eastAsia" w:ascii="仿宋_GB2312" w:hAnsi="宋体" w:eastAsia="仿宋_GB2312" w:cs="宋体"/>
          <w:kern w:val="0"/>
          <w:lang w:eastAsia="zh-CN"/>
        </w:rPr>
      </w:pPr>
    </w:p>
    <w:p w14:paraId="58BE9780">
      <w:pPr>
        <w:rPr>
          <w:rFonts w:hint="eastAsia" w:ascii="仿宋_GB2312" w:hAnsi="宋体" w:eastAsia="仿宋_GB2312" w:cs="宋体"/>
          <w:kern w:val="0"/>
          <w:lang w:eastAsia="zh-CN"/>
        </w:rPr>
      </w:pPr>
    </w:p>
    <w:p w14:paraId="3EB1F3A5">
      <w:pPr>
        <w:rPr>
          <w:rFonts w:hint="eastAsia" w:ascii="仿宋_GB2312" w:hAnsi="宋体" w:eastAsia="仿宋_GB2312" w:cs="宋体"/>
          <w:kern w:val="0"/>
          <w:lang w:eastAsia="zh-CN"/>
        </w:rPr>
      </w:pPr>
    </w:p>
    <w:p w14:paraId="39637669">
      <w:pPr>
        <w:rPr>
          <w:rFonts w:hint="eastAsia" w:ascii="仿宋_GB2312" w:hAnsi="宋体" w:eastAsia="仿宋_GB2312" w:cs="宋体"/>
          <w:kern w:val="0"/>
          <w:lang w:eastAsia="zh-CN"/>
        </w:rPr>
      </w:pPr>
    </w:p>
    <w:p w14:paraId="4EE02B52">
      <w:pPr>
        <w:rPr>
          <w:rFonts w:hint="eastAsia" w:ascii="仿宋_GB2312" w:hAnsi="宋体" w:eastAsia="仿宋_GB2312" w:cs="宋体"/>
          <w:kern w:val="0"/>
          <w:lang w:eastAsia="zh-CN"/>
        </w:rPr>
      </w:pPr>
    </w:p>
    <w:p w14:paraId="07046669">
      <w:pPr>
        <w:rPr>
          <w:rFonts w:hint="eastAsia" w:ascii="仿宋_GB2312" w:hAnsi="宋体" w:eastAsia="仿宋_GB2312" w:cs="宋体"/>
          <w:kern w:val="0"/>
          <w:lang w:eastAsia="zh-CN"/>
        </w:rPr>
      </w:pPr>
    </w:p>
    <w:p w14:paraId="5E4582EA">
      <w:pPr>
        <w:rPr>
          <w:rFonts w:hint="eastAsia" w:ascii="仿宋_GB2312" w:hAnsi="宋体" w:eastAsia="仿宋_GB2312" w:cs="宋体"/>
          <w:kern w:val="0"/>
          <w:lang w:eastAsia="zh-CN"/>
        </w:rPr>
      </w:pPr>
    </w:p>
    <w:p w14:paraId="6F3C4236">
      <w:pPr>
        <w:rPr>
          <w:rFonts w:hint="eastAsia" w:ascii="仿宋_GB2312" w:hAnsi="宋体" w:eastAsia="仿宋_GB2312" w:cs="宋体"/>
          <w:kern w:val="0"/>
          <w:lang w:eastAsia="zh-CN"/>
        </w:rPr>
      </w:pPr>
    </w:p>
    <w:p w14:paraId="35FF7131">
      <w:pPr>
        <w:rPr>
          <w:rFonts w:hint="eastAsia" w:ascii="仿宋_GB2312" w:hAnsi="宋体" w:eastAsia="仿宋_GB2312" w:cs="宋体"/>
          <w:kern w:val="0"/>
          <w:lang w:eastAsia="zh-CN"/>
        </w:rPr>
      </w:pPr>
    </w:p>
    <w:p w14:paraId="08C90633">
      <w:pPr>
        <w:rPr>
          <w:rFonts w:hint="eastAsia" w:ascii="仿宋_GB2312" w:hAnsi="宋体" w:eastAsia="仿宋_GB2312" w:cs="宋体"/>
          <w:kern w:val="0"/>
          <w:lang w:eastAsia="zh-CN"/>
        </w:rPr>
      </w:pPr>
    </w:p>
    <w:p w14:paraId="2AB028C2">
      <w:pPr>
        <w:rPr>
          <w:rFonts w:hint="eastAsia" w:ascii="仿宋_GB2312" w:hAnsi="宋体" w:eastAsia="仿宋_GB2312" w:cs="宋体"/>
          <w:kern w:val="0"/>
          <w:lang w:eastAsia="zh-CN"/>
        </w:rPr>
      </w:pPr>
    </w:p>
    <w:p w14:paraId="6C2E47FB">
      <w:pPr>
        <w:rPr>
          <w:rFonts w:hint="eastAsia" w:ascii="仿宋_GB2312" w:hAnsi="宋体" w:eastAsia="仿宋_GB2312" w:cs="宋体"/>
          <w:kern w:val="0"/>
          <w:lang w:eastAsia="zh-CN"/>
        </w:rPr>
      </w:pPr>
    </w:p>
    <w:p w14:paraId="1497C530">
      <w:pPr>
        <w:rPr>
          <w:rFonts w:hint="eastAsia" w:ascii="仿宋_GB2312" w:hAnsi="宋体" w:eastAsia="仿宋_GB2312" w:cs="宋体"/>
          <w:kern w:val="0"/>
          <w:lang w:eastAsia="zh-CN"/>
        </w:rPr>
      </w:pPr>
    </w:p>
    <w:p w14:paraId="4D505349">
      <w:pPr>
        <w:rPr>
          <w:rFonts w:hint="eastAsia" w:ascii="仿宋_GB2312" w:hAnsi="宋体" w:eastAsia="仿宋_GB2312" w:cs="宋体"/>
          <w:kern w:val="0"/>
          <w:lang w:eastAsia="zh-CN"/>
        </w:rPr>
      </w:pPr>
    </w:p>
    <w:p w14:paraId="5C534297">
      <w:pPr>
        <w:rPr>
          <w:rFonts w:hint="eastAsia" w:ascii="仿宋_GB2312" w:hAnsi="宋体" w:eastAsia="仿宋_GB2312" w:cs="宋体"/>
          <w:kern w:val="0"/>
          <w:lang w:eastAsia="zh-CN"/>
        </w:rPr>
      </w:pPr>
    </w:p>
    <w:p w14:paraId="3420F7AC">
      <w:pPr>
        <w:rPr>
          <w:rFonts w:hint="eastAsia" w:ascii="仿宋_GB2312" w:hAnsi="宋体" w:eastAsia="仿宋_GB2312" w:cs="宋体"/>
          <w:kern w:val="0"/>
          <w:lang w:eastAsia="zh-CN"/>
        </w:rPr>
      </w:pPr>
    </w:p>
    <w:p w14:paraId="178E3C99">
      <w:pPr>
        <w:rPr>
          <w:rFonts w:hint="eastAsia" w:ascii="仿宋_GB2312" w:hAnsi="宋体" w:eastAsia="仿宋_GB2312" w:cs="宋体"/>
          <w:kern w:val="0"/>
          <w:lang w:eastAsia="zh-CN"/>
        </w:rPr>
      </w:pPr>
    </w:p>
    <w:p w14:paraId="3BB28DC2">
      <w:pPr>
        <w:rPr>
          <w:rFonts w:hint="eastAsia" w:ascii="仿宋_GB2312" w:hAnsi="宋体" w:eastAsia="仿宋_GB2312" w:cs="宋体"/>
          <w:kern w:val="0"/>
          <w:lang w:eastAsia="zh-CN"/>
        </w:rPr>
      </w:pPr>
    </w:p>
    <w:p w14:paraId="0C2D9AE1">
      <w:pPr>
        <w:rPr>
          <w:rFonts w:hint="eastAsia" w:ascii="仿宋_GB2312" w:hAnsi="宋体" w:eastAsia="仿宋_GB2312" w:cs="宋体"/>
          <w:kern w:val="0"/>
          <w:lang w:eastAsia="zh-CN"/>
        </w:rPr>
      </w:pPr>
    </w:p>
    <w:p w14:paraId="12C41DD2">
      <w:pPr>
        <w:kinsoku w:val="0"/>
        <w:autoSpaceDE w:val="0"/>
        <w:autoSpaceDN w:val="0"/>
        <w:adjustRightInd w:val="0"/>
        <w:snapToGrid w:val="0"/>
        <w:spacing w:line="240" w:lineRule="auto"/>
        <w:ind w:firstLine="544" w:firstLineChars="200"/>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22B2404F">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7270A15A">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18C3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ECB343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A41A8B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质量强市和质量考核</w:t>
            </w:r>
          </w:p>
        </w:tc>
      </w:tr>
      <w:tr w14:paraId="18452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C7B113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1DF315D8">
            <w:pPr>
              <w:spacing w:line="240" w:lineRule="auto"/>
              <w:ind w:firstLine="420"/>
              <w:jc w:val="center"/>
              <w:rPr>
                <w:rFonts w:ascii="仿宋_GB2312" w:hAnsi="宋体" w:eastAsia="仿宋_GB2312" w:cs="宋体"/>
                <w:kern w:val="0"/>
                <w:lang w:eastAsia="zh-CN"/>
              </w:rPr>
            </w:pPr>
          </w:p>
        </w:tc>
        <w:tc>
          <w:tcPr>
            <w:tcW w:w="1099" w:type="dxa"/>
            <w:vAlign w:val="center"/>
          </w:tcPr>
          <w:p w14:paraId="1E36367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20C868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E078D0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汨罗市市场监督管理局</w:t>
            </w:r>
          </w:p>
        </w:tc>
      </w:tr>
      <w:tr w14:paraId="77DC1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E6C9B6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6BDC0A6">
            <w:pPr>
              <w:spacing w:line="240" w:lineRule="auto"/>
              <w:ind w:firstLine="420"/>
              <w:jc w:val="center"/>
              <w:rPr>
                <w:rFonts w:ascii="仿宋_GB2312" w:hAnsi="宋体" w:eastAsia="仿宋_GB2312" w:cs="宋体"/>
                <w:kern w:val="0"/>
                <w:lang w:eastAsia="zh-CN"/>
              </w:rPr>
            </w:pPr>
          </w:p>
        </w:tc>
        <w:tc>
          <w:tcPr>
            <w:tcW w:w="1020" w:type="dxa"/>
            <w:vAlign w:val="center"/>
          </w:tcPr>
          <w:p w14:paraId="4B5B254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63C0B8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84C06D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551286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F5BEB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14FB9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5D4CFE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660D22F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EE1E08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78500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61BFEC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C13F09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B250B08">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100</w:t>
            </w:r>
          </w:p>
        </w:tc>
        <w:tc>
          <w:tcPr>
            <w:tcW w:w="1099" w:type="dxa"/>
            <w:vAlign w:val="center"/>
          </w:tcPr>
          <w:p w14:paraId="42598157">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100</w:t>
            </w:r>
          </w:p>
        </w:tc>
        <w:tc>
          <w:tcPr>
            <w:tcW w:w="1099" w:type="dxa"/>
            <w:vAlign w:val="center"/>
          </w:tcPr>
          <w:p w14:paraId="0DFD69CE">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100</w:t>
            </w:r>
          </w:p>
        </w:tc>
        <w:tc>
          <w:tcPr>
            <w:tcW w:w="809" w:type="dxa"/>
            <w:vAlign w:val="center"/>
          </w:tcPr>
          <w:p w14:paraId="3736D52B">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10</w:t>
            </w:r>
          </w:p>
        </w:tc>
        <w:tc>
          <w:tcPr>
            <w:tcW w:w="849" w:type="dxa"/>
            <w:vAlign w:val="center"/>
          </w:tcPr>
          <w:p w14:paraId="2B2340DC">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100.00%</w:t>
            </w:r>
          </w:p>
        </w:tc>
        <w:tc>
          <w:tcPr>
            <w:tcW w:w="1383" w:type="dxa"/>
            <w:vAlign w:val="center"/>
          </w:tcPr>
          <w:p w14:paraId="64571B32">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10.00</w:t>
            </w:r>
          </w:p>
        </w:tc>
      </w:tr>
      <w:tr w14:paraId="39777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917ADB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F520F2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5C01C5F">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1099" w:type="dxa"/>
            <w:vAlign w:val="center"/>
          </w:tcPr>
          <w:p w14:paraId="6128BB48">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1099" w:type="dxa"/>
            <w:vAlign w:val="center"/>
          </w:tcPr>
          <w:p w14:paraId="2B981B55">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809" w:type="dxa"/>
            <w:vAlign w:val="center"/>
          </w:tcPr>
          <w:p w14:paraId="27E00179">
            <w:pPr>
              <w:jc w:val="center"/>
              <w:rPr>
                <w:rFonts w:ascii="仿宋_GB2312" w:hAnsi="宋体" w:eastAsia="仿宋_GB2312" w:cs="宋体"/>
                <w:kern w:val="0"/>
                <w:lang w:eastAsia="zh-CN"/>
              </w:rPr>
            </w:pPr>
          </w:p>
        </w:tc>
        <w:tc>
          <w:tcPr>
            <w:tcW w:w="849" w:type="dxa"/>
            <w:vAlign w:val="center"/>
          </w:tcPr>
          <w:p w14:paraId="05154196">
            <w:pPr>
              <w:jc w:val="center"/>
              <w:rPr>
                <w:rFonts w:ascii="仿宋_GB2312" w:hAnsi="宋体" w:eastAsia="仿宋_GB2312" w:cs="宋体"/>
                <w:kern w:val="0"/>
                <w:lang w:eastAsia="zh-CN"/>
              </w:rPr>
            </w:pPr>
          </w:p>
        </w:tc>
        <w:tc>
          <w:tcPr>
            <w:tcW w:w="1383" w:type="dxa"/>
            <w:vAlign w:val="center"/>
          </w:tcPr>
          <w:p w14:paraId="7E1C5655">
            <w:pPr>
              <w:jc w:val="center"/>
              <w:rPr>
                <w:rFonts w:ascii="仿宋_GB2312" w:hAnsi="宋体" w:eastAsia="仿宋_GB2312" w:cs="宋体"/>
                <w:kern w:val="0"/>
                <w:lang w:eastAsia="zh-CN"/>
              </w:rPr>
            </w:pPr>
          </w:p>
        </w:tc>
      </w:tr>
      <w:tr w14:paraId="64EA6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A7A0E9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2746B48">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899757C">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1099" w:type="dxa"/>
            <w:vAlign w:val="center"/>
          </w:tcPr>
          <w:p w14:paraId="75D405EB">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1099" w:type="dxa"/>
            <w:vAlign w:val="center"/>
          </w:tcPr>
          <w:p w14:paraId="22FCA9B6">
            <w:pPr>
              <w:keepNext w:val="0"/>
              <w:keepLines w:val="0"/>
              <w:widowControl/>
              <w:suppressLineNumbers w:val="0"/>
              <w:jc w:val="center"/>
              <w:textAlignment w:val="center"/>
              <w:rPr>
                <w:rFonts w:ascii="仿宋_GB2312" w:hAnsi="宋体" w:eastAsia="仿宋_GB2312" w:cs="宋体"/>
                <w:kern w:val="0"/>
                <w:lang w:eastAsia="zh-CN"/>
              </w:rPr>
            </w:pPr>
            <w:r>
              <w:rPr>
                <w:rFonts w:hint="eastAsia" w:ascii="仿宋" w:hAnsi="仿宋" w:eastAsia="仿宋" w:cs="仿宋"/>
                <w:i w:val="0"/>
                <w:iCs w:val="0"/>
                <w:snapToGrid w:val="0"/>
                <w:color w:val="000000"/>
                <w:kern w:val="0"/>
                <w:sz w:val="21"/>
                <w:szCs w:val="21"/>
                <w:u w:val="none"/>
                <w:lang w:val="en-US" w:eastAsia="zh-CN" w:bidi="ar"/>
              </w:rPr>
              <w:t>0</w:t>
            </w:r>
          </w:p>
        </w:tc>
        <w:tc>
          <w:tcPr>
            <w:tcW w:w="809" w:type="dxa"/>
            <w:vAlign w:val="center"/>
          </w:tcPr>
          <w:p w14:paraId="5C09C28D">
            <w:pPr>
              <w:jc w:val="center"/>
              <w:rPr>
                <w:rFonts w:ascii="仿宋_GB2312" w:hAnsi="宋体" w:eastAsia="仿宋_GB2312" w:cs="宋体"/>
                <w:kern w:val="0"/>
                <w:lang w:eastAsia="zh-CN"/>
              </w:rPr>
            </w:pPr>
          </w:p>
        </w:tc>
        <w:tc>
          <w:tcPr>
            <w:tcW w:w="849" w:type="dxa"/>
            <w:vAlign w:val="center"/>
          </w:tcPr>
          <w:p w14:paraId="3F1776DE">
            <w:pPr>
              <w:jc w:val="center"/>
              <w:rPr>
                <w:rFonts w:ascii="仿宋_GB2312" w:hAnsi="宋体" w:eastAsia="仿宋_GB2312" w:cs="宋体"/>
                <w:kern w:val="0"/>
                <w:lang w:eastAsia="zh-CN"/>
              </w:rPr>
            </w:pPr>
          </w:p>
        </w:tc>
        <w:tc>
          <w:tcPr>
            <w:tcW w:w="1383" w:type="dxa"/>
            <w:vAlign w:val="center"/>
          </w:tcPr>
          <w:p w14:paraId="2CE34A3B">
            <w:pPr>
              <w:jc w:val="center"/>
              <w:rPr>
                <w:rFonts w:ascii="仿宋_GB2312" w:hAnsi="宋体" w:eastAsia="仿宋_GB2312" w:cs="宋体"/>
                <w:kern w:val="0"/>
                <w:lang w:eastAsia="zh-CN"/>
              </w:rPr>
            </w:pPr>
          </w:p>
        </w:tc>
      </w:tr>
      <w:tr w14:paraId="47670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B0E1F7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86F794E">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FE71232">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100</w:t>
            </w:r>
          </w:p>
        </w:tc>
        <w:tc>
          <w:tcPr>
            <w:tcW w:w="1099" w:type="dxa"/>
            <w:vAlign w:val="center"/>
          </w:tcPr>
          <w:p w14:paraId="0EF05B27">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100</w:t>
            </w:r>
          </w:p>
        </w:tc>
        <w:tc>
          <w:tcPr>
            <w:tcW w:w="1099" w:type="dxa"/>
            <w:vAlign w:val="center"/>
          </w:tcPr>
          <w:p w14:paraId="78415052">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100</w:t>
            </w:r>
          </w:p>
        </w:tc>
        <w:tc>
          <w:tcPr>
            <w:tcW w:w="809" w:type="dxa"/>
            <w:vAlign w:val="center"/>
          </w:tcPr>
          <w:p w14:paraId="09425B0A">
            <w:pPr>
              <w:keepNext w:val="0"/>
              <w:keepLines w:val="0"/>
              <w:widowControl/>
              <w:suppressLineNumbers w:val="0"/>
              <w:jc w:val="center"/>
              <w:textAlignment w:val="center"/>
              <w:rPr>
                <w:rFonts w:ascii="仿宋_GB2312" w:hAnsi="宋体" w:eastAsia="仿宋_GB2312" w:cs="宋体"/>
                <w:kern w:val="0"/>
              </w:rPr>
            </w:pPr>
          </w:p>
        </w:tc>
        <w:tc>
          <w:tcPr>
            <w:tcW w:w="849" w:type="dxa"/>
            <w:vAlign w:val="center"/>
          </w:tcPr>
          <w:p w14:paraId="192DB187">
            <w:pPr>
              <w:keepNext w:val="0"/>
              <w:keepLines w:val="0"/>
              <w:widowControl/>
              <w:suppressLineNumbers w:val="0"/>
              <w:jc w:val="center"/>
              <w:textAlignment w:val="center"/>
              <w:rPr>
                <w:rFonts w:ascii="仿宋_GB2312" w:hAnsi="宋体" w:eastAsia="仿宋_GB2312" w:cs="宋体"/>
                <w:kern w:val="0"/>
              </w:rPr>
            </w:pPr>
          </w:p>
        </w:tc>
        <w:tc>
          <w:tcPr>
            <w:tcW w:w="1383" w:type="dxa"/>
            <w:vAlign w:val="center"/>
          </w:tcPr>
          <w:p w14:paraId="3F3B1474">
            <w:pPr>
              <w:keepNext w:val="0"/>
              <w:keepLines w:val="0"/>
              <w:widowControl/>
              <w:suppressLineNumbers w:val="0"/>
              <w:jc w:val="center"/>
              <w:textAlignment w:val="center"/>
              <w:rPr>
                <w:rFonts w:ascii="仿宋_GB2312" w:hAnsi="宋体" w:eastAsia="仿宋_GB2312" w:cs="宋体"/>
                <w:kern w:val="0"/>
              </w:rPr>
            </w:pPr>
          </w:p>
        </w:tc>
      </w:tr>
      <w:tr w14:paraId="6730F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4FBA00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4115A0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356EFD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3FEA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79295A3">
            <w:pPr>
              <w:spacing w:line="240" w:lineRule="auto"/>
              <w:ind w:firstLine="420"/>
              <w:jc w:val="center"/>
              <w:rPr>
                <w:rFonts w:ascii="仿宋_GB2312" w:hAnsi="宋体" w:eastAsia="仿宋_GB2312" w:cs="宋体"/>
                <w:kern w:val="0"/>
              </w:rPr>
            </w:pPr>
          </w:p>
        </w:tc>
        <w:tc>
          <w:tcPr>
            <w:tcW w:w="4396" w:type="dxa"/>
            <w:gridSpan w:val="4"/>
            <w:vAlign w:val="center"/>
          </w:tcPr>
          <w:p w14:paraId="1411BB75">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推进质量强市，开展质量提升行动和质量考核工作</w:t>
            </w:r>
          </w:p>
        </w:tc>
        <w:tc>
          <w:tcPr>
            <w:tcW w:w="4140" w:type="dxa"/>
            <w:gridSpan w:val="4"/>
            <w:vAlign w:val="center"/>
          </w:tcPr>
          <w:p w14:paraId="122C6687">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推进质量强市，开展质量提升行动和质量考核工作</w:t>
            </w:r>
          </w:p>
        </w:tc>
      </w:tr>
      <w:tr w14:paraId="38D95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6BA9DE9">
            <w:pPr>
              <w:spacing w:line="240" w:lineRule="auto"/>
              <w:ind w:firstLine="420"/>
              <w:jc w:val="center"/>
              <w:rPr>
                <w:rFonts w:ascii="仿宋_GB2312" w:hAnsi="宋体" w:eastAsia="仿宋_GB2312" w:cs="宋体"/>
                <w:kern w:val="0"/>
              </w:rPr>
            </w:pPr>
          </w:p>
          <w:p w14:paraId="665545E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2835C906">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4FB8C5C7">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35803906">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2D1AD4E5">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D736FFD">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5228D99">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049874F6">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2A4BE35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B21B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6168DF">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2DE75D2A">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E2A3852">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04FB89A">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594D9607">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宣传推广先进质量管理理念</w:t>
            </w:r>
          </w:p>
        </w:tc>
        <w:tc>
          <w:tcPr>
            <w:tcW w:w="1099" w:type="dxa"/>
            <w:vAlign w:val="center"/>
          </w:tcPr>
          <w:p w14:paraId="2D48DAA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5次</w:t>
            </w:r>
          </w:p>
        </w:tc>
        <w:tc>
          <w:tcPr>
            <w:tcW w:w="1099" w:type="dxa"/>
            <w:vAlign w:val="center"/>
          </w:tcPr>
          <w:p w14:paraId="3B618E49">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5次</w:t>
            </w:r>
          </w:p>
        </w:tc>
        <w:tc>
          <w:tcPr>
            <w:tcW w:w="809" w:type="dxa"/>
            <w:vAlign w:val="center"/>
          </w:tcPr>
          <w:p w14:paraId="3419ACEE">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727E56AF">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29160D0A">
            <w:pPr>
              <w:spacing w:line="240" w:lineRule="auto"/>
              <w:ind w:firstLine="420" w:firstLineChars="0"/>
              <w:jc w:val="center"/>
              <w:rPr>
                <w:rFonts w:ascii="仿宋_GB2312" w:hAnsi="宋体" w:eastAsia="仿宋_GB2312" w:cs="宋体"/>
                <w:kern w:val="0"/>
              </w:rPr>
            </w:pPr>
          </w:p>
        </w:tc>
      </w:tr>
      <w:tr w14:paraId="449E0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C468F9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6E58DF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957F973">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2A31D485">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迎接市级政府质量工作考核。开展对县级政府质量工作考核工作。组织质量强市领导小组成员单位联络员督导检查。</w:t>
            </w:r>
          </w:p>
        </w:tc>
        <w:tc>
          <w:tcPr>
            <w:tcW w:w="1099" w:type="dxa"/>
            <w:vAlign w:val="center"/>
          </w:tcPr>
          <w:p w14:paraId="2EA4913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099" w:type="dxa"/>
            <w:vAlign w:val="center"/>
          </w:tcPr>
          <w:p w14:paraId="38E9BCE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448D2EB5">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5D8030E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28470D03">
            <w:pPr>
              <w:spacing w:line="240" w:lineRule="auto"/>
              <w:ind w:firstLine="420" w:firstLineChars="0"/>
              <w:jc w:val="center"/>
              <w:rPr>
                <w:rFonts w:ascii="仿宋_GB2312" w:hAnsi="宋体" w:eastAsia="仿宋_GB2312" w:cs="宋体"/>
                <w:kern w:val="0"/>
              </w:rPr>
            </w:pPr>
          </w:p>
        </w:tc>
      </w:tr>
      <w:tr w14:paraId="6A2BA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B0B3FB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0AD685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3E880CE">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675A953">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任务完成时间</w:t>
            </w:r>
          </w:p>
        </w:tc>
        <w:tc>
          <w:tcPr>
            <w:tcW w:w="1099" w:type="dxa"/>
            <w:vAlign w:val="center"/>
          </w:tcPr>
          <w:p w14:paraId="26F654D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2023年12月30日前</w:t>
            </w:r>
          </w:p>
        </w:tc>
        <w:tc>
          <w:tcPr>
            <w:tcW w:w="1099" w:type="dxa"/>
            <w:vAlign w:val="center"/>
          </w:tcPr>
          <w:p w14:paraId="77C07FEC">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3798BC0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0102D17F">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1F49CDF0">
            <w:pPr>
              <w:spacing w:line="240" w:lineRule="auto"/>
              <w:ind w:firstLine="420" w:firstLineChars="0"/>
              <w:jc w:val="center"/>
              <w:rPr>
                <w:rFonts w:ascii="仿宋_GB2312" w:hAnsi="宋体" w:eastAsia="仿宋_GB2312" w:cs="宋体"/>
                <w:kern w:val="0"/>
              </w:rPr>
            </w:pPr>
          </w:p>
        </w:tc>
      </w:tr>
      <w:tr w14:paraId="498DD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68B9579">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48A8A9A">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E6FBB08">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A4FD0C0">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08AC7BFA">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促进企业导入卓越绩效管理模式</w:t>
            </w:r>
          </w:p>
        </w:tc>
        <w:tc>
          <w:tcPr>
            <w:tcW w:w="1099" w:type="dxa"/>
            <w:vAlign w:val="center"/>
          </w:tcPr>
          <w:p w14:paraId="0D07A13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1099" w:type="dxa"/>
            <w:vAlign w:val="center"/>
          </w:tcPr>
          <w:p w14:paraId="4F703CB6">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4B3D74AE">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626AA7BC">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412EF0BD">
            <w:pPr>
              <w:spacing w:line="240" w:lineRule="auto"/>
              <w:ind w:firstLine="420" w:firstLineChars="0"/>
              <w:jc w:val="center"/>
              <w:rPr>
                <w:rFonts w:ascii="仿宋_GB2312" w:hAnsi="宋体" w:eastAsia="仿宋_GB2312" w:cs="宋体"/>
                <w:kern w:val="0"/>
              </w:rPr>
            </w:pPr>
          </w:p>
        </w:tc>
      </w:tr>
      <w:tr w14:paraId="1D1ED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E0CC5F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187B64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F46ABE8">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43D82E19">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全社会质量意识显著提升</w:t>
            </w:r>
          </w:p>
        </w:tc>
        <w:tc>
          <w:tcPr>
            <w:tcW w:w="1099" w:type="dxa"/>
            <w:vAlign w:val="center"/>
          </w:tcPr>
          <w:p w14:paraId="497CE62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显著提升</w:t>
            </w:r>
          </w:p>
        </w:tc>
        <w:tc>
          <w:tcPr>
            <w:tcW w:w="1099" w:type="dxa"/>
            <w:vAlign w:val="center"/>
          </w:tcPr>
          <w:p w14:paraId="53159689">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2D41569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2C7127E0">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163B5303">
            <w:pPr>
              <w:spacing w:line="240" w:lineRule="auto"/>
              <w:ind w:firstLine="420" w:firstLineChars="0"/>
              <w:jc w:val="center"/>
              <w:rPr>
                <w:rFonts w:ascii="仿宋_GB2312" w:hAnsi="宋体" w:eastAsia="仿宋_GB2312" w:cs="宋体"/>
                <w:kern w:val="0"/>
              </w:rPr>
            </w:pPr>
          </w:p>
        </w:tc>
      </w:tr>
      <w:tr w14:paraId="3C7D5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2F8943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2F8FCE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1DE2E8B">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340BC799">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环保责任意识显著提升</w:t>
            </w:r>
          </w:p>
        </w:tc>
        <w:tc>
          <w:tcPr>
            <w:tcW w:w="1099" w:type="dxa"/>
            <w:vAlign w:val="center"/>
          </w:tcPr>
          <w:p w14:paraId="6DCAFA3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显著提升</w:t>
            </w:r>
          </w:p>
        </w:tc>
        <w:tc>
          <w:tcPr>
            <w:tcW w:w="1099" w:type="dxa"/>
            <w:vAlign w:val="center"/>
          </w:tcPr>
          <w:p w14:paraId="6F87D29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0376953B">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016ED7E4">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00A34AEB">
            <w:pPr>
              <w:spacing w:line="240" w:lineRule="auto"/>
              <w:ind w:firstLine="420" w:firstLineChars="0"/>
              <w:jc w:val="center"/>
              <w:rPr>
                <w:rFonts w:ascii="仿宋_GB2312" w:hAnsi="宋体" w:eastAsia="仿宋_GB2312" w:cs="宋体"/>
                <w:kern w:val="0"/>
              </w:rPr>
            </w:pPr>
          </w:p>
        </w:tc>
      </w:tr>
      <w:tr w14:paraId="07FA3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777995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93345F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37736CB">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2080E44E">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构建大质量工作格局，以质为主</w:t>
            </w:r>
          </w:p>
        </w:tc>
        <w:tc>
          <w:tcPr>
            <w:tcW w:w="1099" w:type="dxa"/>
            <w:vAlign w:val="center"/>
          </w:tcPr>
          <w:p w14:paraId="2C43664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提升品牌经济</w:t>
            </w:r>
          </w:p>
        </w:tc>
        <w:tc>
          <w:tcPr>
            <w:tcW w:w="1099" w:type="dxa"/>
            <w:vAlign w:val="center"/>
          </w:tcPr>
          <w:p w14:paraId="74403979">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200EC30B">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16E93C58">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6FC7CFF7">
            <w:pPr>
              <w:spacing w:line="240" w:lineRule="auto"/>
              <w:ind w:firstLine="420" w:firstLineChars="0"/>
              <w:jc w:val="center"/>
              <w:rPr>
                <w:rFonts w:ascii="仿宋_GB2312" w:hAnsi="宋体" w:eastAsia="仿宋_GB2312" w:cs="宋体"/>
                <w:kern w:val="0"/>
              </w:rPr>
            </w:pPr>
          </w:p>
        </w:tc>
      </w:tr>
      <w:tr w14:paraId="278C2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F8F236E">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6D9BF03C">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65376E72">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01E1579D">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社会公众对质量强市质量提升工作满意度</w:t>
            </w:r>
          </w:p>
        </w:tc>
        <w:tc>
          <w:tcPr>
            <w:tcW w:w="1099" w:type="dxa"/>
            <w:vAlign w:val="center"/>
          </w:tcPr>
          <w:p w14:paraId="170DA039">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≥95%</w:t>
            </w:r>
          </w:p>
        </w:tc>
        <w:tc>
          <w:tcPr>
            <w:tcW w:w="1099" w:type="dxa"/>
            <w:vAlign w:val="center"/>
          </w:tcPr>
          <w:p w14:paraId="78D65B2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0F648705">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398FF3D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46D9E570">
            <w:pPr>
              <w:spacing w:line="240" w:lineRule="auto"/>
              <w:ind w:firstLine="420" w:firstLineChars="0"/>
              <w:jc w:val="center"/>
              <w:rPr>
                <w:rFonts w:ascii="仿宋_GB2312" w:hAnsi="宋体" w:eastAsia="仿宋_GB2312" w:cs="宋体"/>
                <w:kern w:val="0"/>
              </w:rPr>
            </w:pPr>
          </w:p>
        </w:tc>
      </w:tr>
      <w:tr w14:paraId="42187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6F82935">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7FCE364A">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C79DE8">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5B5DCB18">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4CC8C9AF">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依据财务规定支出</w:t>
            </w:r>
          </w:p>
        </w:tc>
        <w:tc>
          <w:tcPr>
            <w:tcW w:w="1099" w:type="dxa"/>
            <w:vAlign w:val="center"/>
          </w:tcPr>
          <w:p w14:paraId="1B6C56B2">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专款专用</w:t>
            </w:r>
          </w:p>
        </w:tc>
        <w:tc>
          <w:tcPr>
            <w:tcW w:w="1099" w:type="dxa"/>
            <w:vAlign w:val="center"/>
          </w:tcPr>
          <w:p w14:paraId="6112218C">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w:t>
            </w:r>
          </w:p>
        </w:tc>
        <w:tc>
          <w:tcPr>
            <w:tcW w:w="809" w:type="dxa"/>
            <w:vAlign w:val="center"/>
          </w:tcPr>
          <w:p w14:paraId="4C975141">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w:t>
            </w:r>
          </w:p>
        </w:tc>
        <w:tc>
          <w:tcPr>
            <w:tcW w:w="849" w:type="dxa"/>
            <w:vAlign w:val="center"/>
          </w:tcPr>
          <w:p w14:paraId="6BB451D6">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10.00</w:t>
            </w:r>
          </w:p>
        </w:tc>
        <w:tc>
          <w:tcPr>
            <w:tcW w:w="1383" w:type="dxa"/>
            <w:vAlign w:val="center"/>
          </w:tcPr>
          <w:p w14:paraId="5DB6146E">
            <w:pPr>
              <w:spacing w:line="240" w:lineRule="auto"/>
              <w:ind w:firstLine="420" w:firstLineChars="0"/>
              <w:jc w:val="center"/>
              <w:rPr>
                <w:rFonts w:ascii="仿宋_GB2312" w:hAnsi="宋体" w:eastAsia="仿宋_GB2312" w:cs="宋体"/>
                <w:kern w:val="0"/>
              </w:rPr>
            </w:pPr>
          </w:p>
        </w:tc>
      </w:tr>
      <w:tr w14:paraId="61F8B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C6BE5C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FCBDE8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C2259D2">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51AD16C7">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对社会发展可能造成的负面影响</w:t>
            </w:r>
          </w:p>
        </w:tc>
        <w:tc>
          <w:tcPr>
            <w:tcW w:w="1099" w:type="dxa"/>
            <w:vAlign w:val="center"/>
          </w:tcPr>
          <w:p w14:paraId="08D32E63">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1099" w:type="dxa"/>
            <w:vAlign w:val="center"/>
          </w:tcPr>
          <w:p w14:paraId="06A44D7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809" w:type="dxa"/>
            <w:vAlign w:val="center"/>
          </w:tcPr>
          <w:p w14:paraId="3D223EAB">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21F32D5E">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7F42C063">
            <w:pPr>
              <w:spacing w:line="240" w:lineRule="auto"/>
              <w:ind w:firstLine="420" w:firstLineChars="0"/>
              <w:jc w:val="center"/>
              <w:rPr>
                <w:rFonts w:ascii="仿宋_GB2312" w:hAnsi="宋体" w:eastAsia="仿宋_GB2312" w:cs="宋体"/>
                <w:kern w:val="0"/>
              </w:rPr>
            </w:pPr>
          </w:p>
        </w:tc>
      </w:tr>
      <w:tr w14:paraId="00EF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7DE9BD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89FEDB9">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2C90298">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16561F84">
            <w:pPr>
              <w:keepNext w:val="0"/>
              <w:keepLines w:val="0"/>
              <w:widowControl/>
              <w:suppressLineNumbers w:val="0"/>
              <w:jc w:val="left"/>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对自然生态环境造成的负面影响</w:t>
            </w:r>
          </w:p>
        </w:tc>
        <w:tc>
          <w:tcPr>
            <w:tcW w:w="1099" w:type="dxa"/>
            <w:vAlign w:val="center"/>
          </w:tcPr>
          <w:p w14:paraId="424E92B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1099" w:type="dxa"/>
            <w:vAlign w:val="center"/>
          </w:tcPr>
          <w:p w14:paraId="6F625002">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无</w:t>
            </w:r>
          </w:p>
        </w:tc>
        <w:tc>
          <w:tcPr>
            <w:tcW w:w="809" w:type="dxa"/>
            <w:vAlign w:val="center"/>
          </w:tcPr>
          <w:p w14:paraId="39FBB7AD">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w:t>
            </w:r>
          </w:p>
        </w:tc>
        <w:tc>
          <w:tcPr>
            <w:tcW w:w="849" w:type="dxa"/>
            <w:vAlign w:val="center"/>
          </w:tcPr>
          <w:p w14:paraId="14C8917A">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18"/>
                <w:szCs w:val="18"/>
                <w:u w:val="none"/>
                <w:lang w:val="en-US" w:eastAsia="zh-CN" w:bidi="ar"/>
              </w:rPr>
              <w:t>5.00</w:t>
            </w:r>
          </w:p>
        </w:tc>
        <w:tc>
          <w:tcPr>
            <w:tcW w:w="1383" w:type="dxa"/>
            <w:vAlign w:val="center"/>
          </w:tcPr>
          <w:p w14:paraId="0975E814">
            <w:pPr>
              <w:spacing w:line="240" w:lineRule="auto"/>
              <w:ind w:firstLine="420" w:firstLineChars="0"/>
              <w:jc w:val="center"/>
              <w:rPr>
                <w:rFonts w:ascii="仿宋_GB2312" w:hAnsi="宋体" w:eastAsia="仿宋_GB2312" w:cs="宋体"/>
                <w:kern w:val="0"/>
              </w:rPr>
            </w:pPr>
          </w:p>
        </w:tc>
      </w:tr>
      <w:tr w14:paraId="3FB7C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4A952E2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71EC1F44">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1A6969D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63EE741">
            <w:pPr>
              <w:spacing w:line="240" w:lineRule="auto"/>
              <w:ind w:firstLine="420"/>
              <w:jc w:val="center"/>
              <w:rPr>
                <w:rFonts w:ascii="仿宋_GB2312" w:hAnsi="宋体" w:eastAsia="仿宋_GB2312" w:cs="宋体"/>
                <w:kern w:val="0"/>
              </w:rPr>
            </w:pPr>
          </w:p>
        </w:tc>
      </w:tr>
    </w:tbl>
    <w:p w14:paraId="7D3F7405">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2DE57EDE">
      <w:pPr>
        <w:spacing w:line="240" w:lineRule="auto"/>
        <w:ind w:firstLine="420"/>
        <w:jc w:val="left"/>
        <w:rPr>
          <w:rFonts w:ascii="宋体" w:hAnsi="宋体" w:eastAsia="宋体" w:cs="宋体"/>
          <w:kern w:val="0"/>
          <w:lang w:eastAsia="zh-CN"/>
        </w:rPr>
      </w:pPr>
    </w:p>
    <w:p w14:paraId="3D26EE22">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hint="eastAsia" w:ascii="仿宋_GB2312" w:hAnsi="宋体" w:eastAsia="仿宋_GB2312" w:cs="宋体"/>
          <w:snapToGrid w:val="0"/>
          <w:color w:val="000000"/>
          <w:sz w:val="21"/>
          <w:szCs w:val="21"/>
          <w:lang w:val="en-US" w:eastAsia="zh-CN" w:bidi="ar-SA"/>
        </w:rPr>
        <w:t>袁焕</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snapToGrid w:val="0"/>
          <w:color w:val="000000"/>
          <w:sz w:val="21"/>
          <w:szCs w:val="21"/>
          <w:lang w:val="en-US" w:eastAsia="zh-CN" w:bidi="ar-SA"/>
        </w:rPr>
        <w:t>2024年10月11日</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snapToGrid w:val="0"/>
          <w:color w:val="000000"/>
          <w:sz w:val="21"/>
          <w:szCs w:val="21"/>
          <w:lang w:val="en-US" w:eastAsia="zh-CN" w:bidi="ar-SA"/>
        </w:rPr>
        <w:t xml:space="preserve">15842897555  </w:t>
      </w:r>
      <w:r>
        <w:rPr>
          <w:rFonts w:hint="eastAsia" w:ascii="仿宋_GB2312" w:hAnsi="宋体" w:eastAsia="仿宋_GB2312" w:cs="宋体"/>
          <w:kern w:val="0"/>
          <w:lang w:eastAsia="zh-CN"/>
        </w:rPr>
        <w:t>单位负责人签字:</w:t>
      </w:r>
    </w:p>
    <w:p w14:paraId="27B830BB">
      <w:pPr>
        <w:rPr>
          <w:rFonts w:hint="eastAsia" w:ascii="仿宋_GB2312" w:hAnsi="宋体" w:eastAsia="仿宋_GB2312" w:cs="宋体"/>
          <w:kern w:val="0"/>
          <w:lang w:eastAsia="zh-CN"/>
        </w:rPr>
        <w:sectPr>
          <w:footerReference r:id="rId7" w:type="default"/>
          <w:pgSz w:w="11907" w:h="16839"/>
          <w:pgMar w:top="1531" w:right="1474" w:bottom="1531" w:left="1587" w:header="0" w:footer="1588" w:gutter="0"/>
          <w:pgNumType w:fmt="numberInDash"/>
          <w:cols w:space="720" w:num="1"/>
          <w:docGrid w:linePitch="286" w:charSpace="0"/>
        </w:sect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3895FAFC">
      <w:pPr>
        <w:spacing w:line="240" w:lineRule="auto"/>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汨罗市市场监督管理局</w:t>
      </w:r>
      <w:r>
        <w:rPr>
          <w:rFonts w:hint="eastAsia" w:ascii="方正小标宋简体" w:hAnsi="宋体" w:eastAsia="方正小标宋简体" w:cs="宋体"/>
          <w:kern w:val="0"/>
          <w:sz w:val="44"/>
          <w:szCs w:val="44"/>
          <w:lang w:eastAsia="zh-CN"/>
        </w:rPr>
        <w:t>整体支出</w:t>
      </w:r>
    </w:p>
    <w:p w14:paraId="4E3D087B">
      <w:pPr>
        <w:spacing w:line="240" w:lineRule="auto"/>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6336DD66">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汨罗市市场监督管理局</w:t>
      </w:r>
      <w:r>
        <w:rPr>
          <w:rFonts w:ascii="黑体" w:hAnsi="黑体" w:eastAsia="黑体" w:cs="黑体"/>
          <w:spacing w:val="16"/>
          <w:sz w:val="40"/>
          <w:szCs w:val="40"/>
        </w:rPr>
        <w:t>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B0C43C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11" w:line="560" w:lineRule="exact"/>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部门（单位）概况</w:t>
      </w:r>
    </w:p>
    <w:p w14:paraId="1FAD3894">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（一）部门（单位）基本情况</w:t>
      </w:r>
      <w:r>
        <w:rPr>
          <w:rFonts w:hint="eastAsia"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lang w:val="en-US" w:eastAsia="zh-CN"/>
        </w:rPr>
        <w:t>汨罗市市场监督管理局内设44个股、室、所、队。全局现有376人，其中：在职283人，退休93人，遗属9人。公务用车实有数9辆。</w:t>
      </w:r>
    </w:p>
    <w:p w14:paraId="0335331C">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 xml:space="preserve">（二）部门（单位）整体支出规模、使用方向和主要内容、涉及范围。   </w:t>
      </w:r>
    </w:p>
    <w:p w14:paraId="3B791ADE">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2023年，我局财务始终坚持以预算管理为中心，重点从“保障人员经费、执法办案经费，各所基本经费、严格执行审批报销程序、重大开支及专项开支先预算报告后报局党组审批”等方面着手推行精细化管理，加强了财务日常监管，严格执行了预算。</w:t>
      </w:r>
    </w:p>
    <w:p w14:paraId="6562552A">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支出做到了以下几点：</w:t>
      </w:r>
    </w:p>
    <w:p w14:paraId="14C75A1D">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1、预算计划执行到位，特别是公务接待出国（境）、车辆购置、车辆运行经费、招待费、会议费等经费的支出，严格按照文件精神，实行了压缩支出。</w:t>
      </w:r>
    </w:p>
    <w:p w14:paraId="255BA9A5">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2、资金的使用符合国家财经法规和财务管理制度规定，符合部门预算批复的用途，资金使用无截留、挤占、挪用、虚列支出等情况。</w:t>
      </w:r>
    </w:p>
    <w:p w14:paraId="277EC70D">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3、按规定内容、时限公开了预决算信息，且保证了基础数据信息和会计信息资料的真实性。</w:t>
      </w:r>
    </w:p>
    <w:p w14:paraId="34B93078">
      <w:pPr>
        <w:keepNext w:val="0"/>
        <w:keepLines w:val="0"/>
        <w:pageBreakBefore w:val="0"/>
        <w:widowControl/>
        <w:wordWrap/>
        <w:overflowPunct/>
        <w:topLinePunct w:val="0"/>
        <w:bidi w:val="0"/>
        <w:spacing w:line="56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二、部门（单位）整体支出管理及使用情况</w:t>
      </w:r>
    </w:p>
    <w:p w14:paraId="4DCE13C9">
      <w:pPr>
        <w:keepNext w:val="0"/>
        <w:keepLines w:val="0"/>
        <w:pageBreakBefore w:val="0"/>
        <w:widowControl/>
        <w:numPr>
          <w:ilvl w:val="0"/>
          <w:numId w:val="0"/>
        </w:numPr>
        <w:suppressLineNumbers w:val="0"/>
        <w:wordWrap/>
        <w:overflowPunct/>
        <w:topLinePunct w:val="0"/>
        <w:bidi w:val="0"/>
        <w:spacing w:line="560" w:lineRule="exact"/>
        <w:ind w:firstLine="643" w:firstLineChars="200"/>
        <w:jc w:val="left"/>
        <w:textAlignment w:val="top"/>
        <w:rPr>
          <w:rStyle w:val="12"/>
          <w:rFonts w:hint="default" w:ascii="Times New Roman" w:hAnsi="Times New Roman" w:eastAsia="仿宋" w:cs="Times New Roman"/>
          <w:snapToGrid w:val="0"/>
          <w:color w:val="000000"/>
          <w:sz w:val="32"/>
          <w:szCs w:val="32"/>
          <w:u w:val="none"/>
          <w:lang w:val="en-US" w:eastAsia="zh-CN" w:bidi="ar"/>
        </w:rPr>
      </w:pPr>
      <w:r>
        <w:rPr>
          <w:rFonts w:hint="default" w:ascii="Times New Roman" w:hAnsi="Times New Roman" w:eastAsia="仿宋" w:cs="Times New Roman"/>
          <w:b/>
          <w:kern w:val="0"/>
          <w:sz w:val="32"/>
          <w:szCs w:val="32"/>
          <w:lang w:eastAsia="zh-CN"/>
        </w:rPr>
        <w:t>（一）</w:t>
      </w:r>
      <w:r>
        <w:rPr>
          <w:rFonts w:hint="default" w:ascii="Times New Roman" w:hAnsi="Times New Roman" w:eastAsia="仿宋" w:cs="Times New Roman"/>
          <w:snapToGrid w:val="0"/>
          <w:color w:val="000000"/>
          <w:kern w:val="0"/>
          <w:sz w:val="32"/>
          <w:szCs w:val="32"/>
          <w:lang w:val="en-US" w:eastAsia="zh-CN" w:bidi="ar-SA"/>
        </w:rPr>
        <w:t>基本支出</w:t>
      </w:r>
    </w:p>
    <w:p w14:paraId="33F6F82F">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1、基本支出。2023年全局基本支出3624.89万元，其中人员经费3187.18万元，公用经费437.71万元。其中三公经费45.64万元：公务接待费19.59万元，公务用车辆及运行费26.05万元。全年无新建楼堂馆。</w:t>
      </w:r>
    </w:p>
    <w:p w14:paraId="407609DD">
      <w:pPr>
        <w:pStyle w:val="10"/>
        <w:keepNext w:val="0"/>
        <w:keepLines w:val="0"/>
        <w:pageBreakBefore w:val="0"/>
        <w:widowControl/>
        <w:wordWrap/>
        <w:overflowPunct/>
        <w:topLinePunct w:val="0"/>
        <w:bidi w:val="0"/>
        <w:spacing w:line="560" w:lineRule="exact"/>
        <w:ind w:firstLine="643"/>
        <w:jc w:val="both"/>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b/>
          <w:kern w:val="0"/>
          <w:sz w:val="32"/>
          <w:szCs w:val="32"/>
          <w:lang w:eastAsia="zh-CN"/>
        </w:rPr>
        <w:t>（二）</w:t>
      </w:r>
      <w:r>
        <w:rPr>
          <w:rFonts w:hint="default" w:ascii="Times New Roman" w:hAnsi="Times New Roman" w:eastAsia="仿宋" w:cs="Times New Roman"/>
          <w:kern w:val="0"/>
          <w:sz w:val="32"/>
          <w:szCs w:val="32"/>
          <w:lang w:eastAsia="zh-CN"/>
        </w:rPr>
        <w:t>专项支出</w:t>
      </w:r>
    </w:p>
    <w:p w14:paraId="15334FB0">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 xml:space="preserve">（1）专项资金（包括财政资金、自筹资金等）安排落实、总投入等情况分析。2023年我局项目支出1459.36万元，主要用于市场监督管理专项、消费者权益保护、检测能力提升、特种设备安全监察、食品安全抽检、食品安全事务、食品快检车配套试剂、知识产权保护、专利购买及维护、电子商务监管、创建省级食品安全示范县、智慧监管指挥中心创建等。                                                            </w:t>
      </w:r>
    </w:p>
    <w:p w14:paraId="4EED05D2">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（2）专项资金（主要指财政资金）实际使用情况分析。                                      支出做到了以下几点：</w:t>
      </w:r>
    </w:p>
    <w:p w14:paraId="378CC23A">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1、预算计划执行到位，特别是公务接待出国（境）、车辆购置、车辆运行经费、招待费、会议费等经费的支出，严格按照文件精神，实行了压缩支出。</w:t>
      </w:r>
    </w:p>
    <w:p w14:paraId="48BBE15D">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2、资金的使用符合国家财经法规和财务管理制度规定，符合部门预算批复的用途，资金使用无截留、挤占、挪用、虚列支出等情况。</w:t>
      </w:r>
    </w:p>
    <w:p w14:paraId="029F6F82">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3、按规定内容、时限公开了预决算信息，且保证了基础数据信息和会计信息资料的真实性。</w:t>
      </w:r>
    </w:p>
    <w:p w14:paraId="50B83D52">
      <w:pPr>
        <w:keepNext w:val="0"/>
        <w:keepLines w:val="0"/>
        <w:pageBreakBefore w:val="0"/>
        <w:widowControl/>
        <w:wordWrap/>
        <w:overflowPunct/>
        <w:topLinePunct w:val="0"/>
        <w:bidi w:val="0"/>
        <w:spacing w:line="56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三、部门（单位）专项组织实施情况</w:t>
      </w:r>
    </w:p>
    <w:p w14:paraId="0D7C4650">
      <w:pPr>
        <w:keepNext w:val="0"/>
        <w:keepLines w:val="0"/>
        <w:pageBreakBefore w:val="0"/>
        <w:widowControl/>
        <w:suppressLineNumbers w:val="0"/>
        <w:wordWrap/>
        <w:overflowPunct/>
        <w:topLinePunct w:val="0"/>
        <w:bidi w:val="0"/>
        <w:spacing w:line="560" w:lineRule="exact"/>
        <w:ind w:firstLine="640" w:firstLineChars="200"/>
        <w:jc w:val="left"/>
        <w:textAlignment w:val="top"/>
        <w:rPr>
          <w:rStyle w:val="12"/>
          <w:rFonts w:hint="default" w:ascii="Times New Roman" w:hAnsi="Times New Roman" w:eastAsia="仿宋" w:cs="Times New Roman"/>
          <w:snapToGrid w:val="0"/>
          <w:color w:val="000000"/>
          <w:sz w:val="32"/>
          <w:szCs w:val="32"/>
          <w:u w:val="none"/>
          <w:lang w:val="en-US" w:eastAsia="zh-CN" w:bidi="ar"/>
        </w:rPr>
      </w:pPr>
      <w:r>
        <w:rPr>
          <w:rStyle w:val="12"/>
          <w:rFonts w:hint="default" w:ascii="Times New Roman" w:hAnsi="Times New Roman" w:eastAsia="仿宋" w:cs="Times New Roman"/>
          <w:snapToGrid w:val="0"/>
          <w:color w:val="000000"/>
          <w:sz w:val="32"/>
          <w:szCs w:val="32"/>
          <w:u w:val="none"/>
          <w:lang w:val="en-US" w:eastAsia="zh-CN" w:bidi="ar"/>
        </w:rPr>
        <w:t>1、严格预算管理。 通过严格按年初“收支预算计划”抓落实，科学运用资金合理流动，统筹安排资金合理提留，本着我局的实际情况，发挥资金效能，既严肃了财经纪律，又提高了资金的使用效益，保证了预算的严格执行，确保了我局的正常运转。</w:t>
      </w:r>
    </w:p>
    <w:p w14:paraId="2EFCAFF5">
      <w:pPr>
        <w:keepNext w:val="0"/>
        <w:keepLines w:val="0"/>
        <w:pageBreakBefore w:val="0"/>
        <w:widowControl/>
        <w:suppressLineNumbers w:val="0"/>
        <w:wordWrap/>
        <w:overflowPunct/>
        <w:topLinePunct w:val="0"/>
        <w:bidi w:val="0"/>
        <w:spacing w:line="560" w:lineRule="exact"/>
        <w:ind w:firstLine="640" w:firstLineChars="200"/>
        <w:jc w:val="left"/>
        <w:textAlignment w:val="top"/>
        <w:rPr>
          <w:rStyle w:val="12"/>
          <w:rFonts w:hint="default" w:ascii="Times New Roman" w:hAnsi="Times New Roman" w:eastAsia="仿宋" w:cs="Times New Roman"/>
          <w:snapToGrid w:val="0"/>
          <w:color w:val="000000"/>
          <w:sz w:val="32"/>
          <w:szCs w:val="32"/>
          <w:u w:val="none"/>
          <w:lang w:val="en-US" w:eastAsia="zh-CN" w:bidi="ar"/>
        </w:rPr>
      </w:pPr>
      <w:r>
        <w:rPr>
          <w:rStyle w:val="12"/>
          <w:rFonts w:hint="default" w:ascii="Times New Roman" w:hAnsi="Times New Roman" w:eastAsia="仿宋" w:cs="Times New Roman"/>
          <w:snapToGrid w:val="0"/>
          <w:color w:val="000000"/>
          <w:sz w:val="32"/>
          <w:szCs w:val="32"/>
          <w:u w:val="none"/>
          <w:lang w:val="en-US" w:eastAsia="zh-CN" w:bidi="ar"/>
        </w:rPr>
        <w:t>2、规范会计基础工作，严格资金审批制度。坚持从细微处入，按照《会计基础工作规范》要求处理每一笔经济业务，在资金管理上，全面推行精细化管理，做到“严格一支笔审批，一个标准开支，一个口子报帐”，统一核算，归口管理。严格执行限额和集体研究审批制度。确保了年初预算的各项经费指标真正落到了实处，保证了财务数据报送及时、内容真实完整、数字准确。</w:t>
      </w:r>
    </w:p>
    <w:p w14:paraId="44287A22">
      <w:pPr>
        <w:keepNext w:val="0"/>
        <w:keepLines w:val="0"/>
        <w:pageBreakBefore w:val="0"/>
        <w:widowControl/>
        <w:suppressLineNumbers w:val="0"/>
        <w:wordWrap/>
        <w:overflowPunct/>
        <w:topLinePunct w:val="0"/>
        <w:bidi w:val="0"/>
        <w:spacing w:line="560" w:lineRule="exact"/>
        <w:ind w:firstLine="640" w:firstLineChars="200"/>
        <w:jc w:val="left"/>
        <w:textAlignment w:val="top"/>
        <w:rPr>
          <w:rStyle w:val="12"/>
          <w:rFonts w:hint="default" w:ascii="Times New Roman" w:hAnsi="Times New Roman" w:eastAsia="仿宋" w:cs="Times New Roman"/>
          <w:snapToGrid w:val="0"/>
          <w:color w:val="000000"/>
          <w:sz w:val="32"/>
          <w:szCs w:val="32"/>
          <w:u w:val="none"/>
          <w:lang w:val="en-US" w:eastAsia="zh-CN" w:bidi="ar"/>
        </w:rPr>
      </w:pPr>
      <w:r>
        <w:rPr>
          <w:rStyle w:val="12"/>
          <w:rFonts w:hint="default" w:ascii="Times New Roman" w:hAnsi="Times New Roman" w:eastAsia="仿宋" w:cs="Times New Roman"/>
          <w:snapToGrid w:val="0"/>
          <w:color w:val="000000"/>
          <w:sz w:val="32"/>
          <w:szCs w:val="32"/>
          <w:u w:val="none"/>
          <w:lang w:val="en-US" w:eastAsia="zh-CN" w:bidi="ar"/>
        </w:rPr>
        <w:t>3、科学理财，管好用活各项资金。结合我局实际情况，积极推行精细化管理，按照相关文件精神，严格控制消费性支出。</w:t>
      </w:r>
    </w:p>
    <w:p w14:paraId="25D44047">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方正黑体_GBK" w:cs="Times New Roman"/>
          <w:kern w:val="0"/>
          <w:sz w:val="32"/>
          <w:szCs w:val="32"/>
          <w:lang w:eastAsia="zh-CN"/>
        </w:rPr>
      </w:pPr>
      <w:r>
        <w:rPr>
          <w:rStyle w:val="12"/>
          <w:rFonts w:hint="default" w:ascii="Times New Roman" w:hAnsi="Times New Roman" w:eastAsia="仿宋" w:cs="Times New Roman"/>
          <w:snapToGrid w:val="0"/>
          <w:color w:val="000000"/>
          <w:sz w:val="32"/>
          <w:szCs w:val="32"/>
          <w:u w:val="none"/>
          <w:lang w:val="en-US" w:eastAsia="zh-CN" w:bidi="ar"/>
        </w:rPr>
        <w:t>建立、健全财务规章制度，大力推行政府集中采购制。年初，针对财务管理出现的新情况、新问题，也为了使我局的财务管理工作更加规范化、科学化、制度化，制定了财务股长、财务会计、出纳及票证会计岗位责任制，会计稽核制度、会计内部牵制制度、固定资产管理制度、档案管理制度及会计电算化操作管理制度。</w:t>
      </w:r>
    </w:p>
    <w:p w14:paraId="1B109070">
      <w:pPr>
        <w:keepNext w:val="0"/>
        <w:keepLines w:val="0"/>
        <w:pageBreakBefore w:val="0"/>
        <w:widowControl/>
        <w:numPr>
          <w:ilvl w:val="0"/>
          <w:numId w:val="2"/>
        </w:numPr>
        <w:wordWrap/>
        <w:overflowPunct/>
        <w:topLinePunct w:val="0"/>
        <w:bidi w:val="0"/>
        <w:spacing w:line="56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部门（单位）整体支出绩效情况</w:t>
      </w:r>
    </w:p>
    <w:p w14:paraId="616EE705">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2023年，在市委、市政府坚强领导下，我们聚焦“一二三四”工作目标，紧扣“三件大事”，不断强监管、优服务、提质量、保安全，各项工作稳中有进、进中更优。</w:t>
      </w:r>
    </w:p>
    <w:p w14:paraId="5C23FE31">
      <w:pPr>
        <w:pStyle w:val="5"/>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b/>
          <w:bCs/>
          <w:sz w:val="32"/>
          <w:szCs w:val="32"/>
          <w:u w:val="none"/>
        </w:rPr>
        <w:t>（一）营商环境再上新台阶。一是改革活力有效激发。</w:t>
      </w:r>
      <w:r>
        <w:rPr>
          <w:rFonts w:hint="default" w:ascii="Times New Roman" w:hAnsi="Times New Roman" w:eastAsia="仿宋" w:cs="Times New Roman"/>
          <w:sz w:val="32"/>
          <w:szCs w:val="32"/>
          <w:u w:val="none"/>
        </w:rPr>
        <w:t>继续推进“多证合一”“证照分离”简易注销等改革，进一步压减企业开办时间。全年全市净增市场主体11883户（其中企业6139户、占比51.7%），净增数排名岳阳各县市区第一。深化“最多跑一次”改革，强化网上登记和全程电子化应用推广，全年综合网办率92.4%。我局获评汨罗市“三个一”行动先进单位，新市所、屈子祠所、桃林所获评经营主体培育工作优秀单位。</w:t>
      </w:r>
      <w:r>
        <w:rPr>
          <w:rFonts w:hint="default" w:ascii="Times New Roman" w:hAnsi="Times New Roman" w:eastAsia="仿宋" w:cs="Times New Roman"/>
          <w:b/>
          <w:bCs/>
          <w:sz w:val="32"/>
          <w:szCs w:val="32"/>
          <w:u w:val="none"/>
        </w:rPr>
        <w:t>二是强县试点持续推进。</w:t>
      </w:r>
      <w:r>
        <w:rPr>
          <w:rFonts w:hint="default" w:ascii="Times New Roman" w:hAnsi="Times New Roman" w:eastAsia="仿宋" w:cs="Times New Roman"/>
          <w:sz w:val="32"/>
          <w:szCs w:val="32"/>
          <w:u w:val="none"/>
        </w:rPr>
        <w:t>长乐甜酒、汨罗粽子、玉池山桂花蜜、川山毛笔品牌建设取得阶段性成效，文勇市长在全省地理标志产品保护示范区建设现场会上做典型发言。湖南省知识产权综合（汨罗）分服务中心和长乐甜酒湖南省地理标志产品保护示范区完成中期评估，汨罗质量基础设施“一站式”服务试点通过省局验收，汨罗被中国专利保护协会确认为县域知识产权保护跨区域协作协议共同发起单位。全市有效商标达6064件；专利授权338件，其中发明专利授权54件，PCT专利申请5件，有效发明专利225件，万人有效发明专利4.05件，专利许可备案使用32件；知识产权质押融资完成2500万元。全年商标立案13件，专利假冒立案5件，专利纠纷立案3件，全部结案。长乐所、弼时所、大荆所知识产权工作成绩突出。</w:t>
      </w:r>
      <w:r>
        <w:rPr>
          <w:rFonts w:hint="default" w:ascii="Times New Roman" w:hAnsi="Times New Roman" w:eastAsia="仿宋" w:cs="Times New Roman"/>
          <w:b/>
          <w:bCs/>
          <w:sz w:val="32"/>
          <w:szCs w:val="32"/>
          <w:u w:val="none"/>
        </w:rPr>
        <w:t>三是信用监管全面加强。</w:t>
      </w:r>
      <w:r>
        <w:rPr>
          <w:rFonts w:hint="default" w:ascii="Times New Roman" w:hAnsi="Times New Roman" w:eastAsia="仿宋" w:cs="Times New Roman"/>
          <w:color w:val="000000"/>
          <w:sz w:val="32"/>
          <w:szCs w:val="32"/>
          <w:u w:val="none"/>
          <w:shd w:val="clear" w:color="auto" w:fill="FFFFFF"/>
        </w:rPr>
        <w:t>应年报主体58706户，</w:t>
      </w:r>
      <w:r>
        <w:rPr>
          <w:rFonts w:hint="default" w:ascii="Times New Roman" w:hAnsi="Times New Roman" w:eastAsia="仿宋" w:cs="Times New Roman"/>
          <w:sz w:val="32"/>
          <w:szCs w:val="32"/>
          <w:u w:val="none"/>
        </w:rPr>
        <w:t>已报57555户，年报率</w:t>
      </w:r>
      <w:r>
        <w:rPr>
          <w:rFonts w:hint="default" w:ascii="Times New Roman" w:hAnsi="Times New Roman" w:eastAsia="仿宋" w:cs="Times New Roman"/>
          <w:color w:val="000000"/>
          <w:sz w:val="32"/>
          <w:szCs w:val="32"/>
          <w:u w:val="none"/>
          <w:shd w:val="clear" w:color="auto" w:fill="FFFFFF"/>
        </w:rPr>
        <w:t>98%。</w:t>
      </w:r>
      <w:r>
        <w:rPr>
          <w:rFonts w:hint="default" w:ascii="Times New Roman" w:hAnsi="Times New Roman" w:eastAsia="仿宋" w:cs="Times New Roman"/>
          <w:color w:val="000000"/>
          <w:sz w:val="32"/>
          <w:szCs w:val="32"/>
          <w:u w:val="none"/>
        </w:rPr>
        <w:t>加大失信惩戒力度，2023年度列异517起，</w:t>
      </w:r>
      <w:r>
        <w:rPr>
          <w:rFonts w:hint="default" w:ascii="Times New Roman" w:hAnsi="Times New Roman" w:eastAsia="仿宋" w:cs="Times New Roman"/>
          <w:color w:val="000000"/>
          <w:sz w:val="32"/>
          <w:szCs w:val="32"/>
          <w:u w:val="none"/>
          <w:shd w:val="clear" w:color="auto" w:fill="FFFFFF"/>
        </w:rPr>
        <w:t>列严5起。</w:t>
      </w:r>
      <w:r>
        <w:rPr>
          <w:rFonts w:hint="default" w:ascii="Times New Roman" w:hAnsi="Times New Roman" w:eastAsia="仿宋" w:cs="Times New Roman"/>
          <w:color w:val="000000"/>
          <w:sz w:val="32"/>
          <w:szCs w:val="32"/>
          <w:u w:val="none"/>
        </w:rPr>
        <w:t>规范企业信用修复管理，移出经营异常名录63条次，个体工商户信用修复333条次，“一处违法、处处受限”信用约束机制逐步形成。</w:t>
      </w:r>
      <w:r>
        <w:rPr>
          <w:rFonts w:hint="default" w:ascii="Times New Roman" w:hAnsi="Times New Roman" w:eastAsia="仿宋" w:cs="Times New Roman"/>
          <w:sz w:val="32"/>
          <w:szCs w:val="32"/>
          <w:u w:val="none"/>
        </w:rPr>
        <w:t>“双随机、一公开”完成率、</w:t>
      </w:r>
      <w:r>
        <w:rPr>
          <w:rFonts w:hint="default" w:ascii="Times New Roman" w:hAnsi="Times New Roman" w:eastAsia="仿宋" w:cs="Times New Roman"/>
          <w:color w:val="000000"/>
          <w:sz w:val="32"/>
          <w:szCs w:val="32"/>
          <w:u w:val="none"/>
          <w:shd w:val="clear" w:color="auto" w:fill="FFFFFF"/>
        </w:rPr>
        <w:t>公示率、</w:t>
      </w:r>
      <w:r>
        <w:rPr>
          <w:rFonts w:hint="default" w:ascii="Times New Roman" w:hAnsi="Times New Roman" w:eastAsia="仿宋" w:cs="Times New Roman"/>
          <w:sz w:val="32"/>
          <w:szCs w:val="32"/>
          <w:u w:val="none"/>
        </w:rPr>
        <w:t>部门覆盖率均为100%</w:t>
      </w:r>
      <w:r>
        <w:rPr>
          <w:rFonts w:hint="default" w:ascii="Times New Roman" w:hAnsi="Times New Roman" w:eastAsia="仿宋" w:cs="Times New Roman"/>
          <w:color w:val="000000"/>
          <w:sz w:val="32"/>
          <w:szCs w:val="32"/>
          <w:u w:val="none"/>
          <w:shd w:val="clear" w:color="auto" w:fill="FFFFFF"/>
        </w:rPr>
        <w:t>。我局获评岳阳市“双随机、一公开”工作、汨罗市市场监管领域部门联合“双随机、一公开”监管工作先进单位，张林、李潇同志分别</w:t>
      </w:r>
      <w:r>
        <w:rPr>
          <w:rFonts w:hint="default" w:ascii="Times New Roman" w:hAnsi="Times New Roman" w:eastAsia="仿宋" w:cs="Times New Roman"/>
          <w:sz w:val="32"/>
          <w:szCs w:val="32"/>
          <w:u w:val="none"/>
        </w:rPr>
        <w:t>获评先进个人。信用监管股、食品生产股、罗江所</w:t>
      </w:r>
      <w:r>
        <w:rPr>
          <w:rFonts w:hint="default" w:ascii="Times New Roman" w:hAnsi="Times New Roman" w:eastAsia="仿宋" w:cs="Times New Roman"/>
          <w:color w:val="000000"/>
          <w:sz w:val="32"/>
          <w:szCs w:val="32"/>
          <w:u w:val="none"/>
          <w:shd w:val="clear" w:color="auto" w:fill="FFFFFF"/>
        </w:rPr>
        <w:t>“双随机、一公开”监管工作</w:t>
      </w:r>
      <w:r>
        <w:rPr>
          <w:rFonts w:hint="default" w:ascii="Times New Roman" w:hAnsi="Times New Roman" w:eastAsia="仿宋" w:cs="Times New Roman"/>
          <w:sz w:val="32"/>
          <w:szCs w:val="32"/>
          <w:u w:val="none"/>
        </w:rPr>
        <w:t>工作突出。</w:t>
      </w:r>
    </w:p>
    <w:p w14:paraId="132BABA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b/>
          <w:bCs/>
          <w:sz w:val="32"/>
          <w:szCs w:val="32"/>
          <w:u w:val="none"/>
        </w:rPr>
        <w:t>（二）安全防线得到新巩固。食品安全方面，</w:t>
      </w:r>
      <w:r>
        <w:rPr>
          <w:rFonts w:hint="default" w:ascii="Times New Roman" w:hAnsi="Times New Roman" w:eastAsia="仿宋" w:cs="Times New Roman"/>
          <w:sz w:val="32"/>
          <w:szCs w:val="32"/>
          <w:u w:val="none"/>
        </w:rPr>
        <w:t>加强虚假宣传整治，规范特殊食品专柜销售行为，印发专柜销售标示标牌3000份，检查190所学校、托幼机构食堂以及校园周边500余户食品生产经营户，开展小餐饮食品安全专项整治，严格执行食品和食用农产品进货查验要求，及时清理库存过期和变质的食品及原料，全年完成监督抽检任务2000批次，公示率、处置率100%。全年立案查处食品违法违规行为186起，结案179起，罚没款216万余元。获评岳阳市2023年度食品安全工作考评A级单位；</w:t>
      </w:r>
      <w:r>
        <w:rPr>
          <w:rFonts w:hint="default" w:ascii="Times New Roman" w:hAnsi="Times New Roman" w:eastAsia="仿宋" w:cs="Times New Roman"/>
          <w:color w:val="000000"/>
          <w:sz w:val="32"/>
          <w:szCs w:val="32"/>
          <w:u w:val="none"/>
          <w:shd w:val="clear" w:color="auto" w:fill="FFFFFF"/>
        </w:rPr>
        <w:t>食品安全工作</w:t>
      </w:r>
      <w:r>
        <w:rPr>
          <w:rFonts w:hint="default" w:ascii="Times New Roman" w:hAnsi="Times New Roman" w:eastAsia="仿宋" w:cs="Times New Roman"/>
          <w:sz w:val="32"/>
          <w:szCs w:val="32"/>
          <w:u w:val="none"/>
        </w:rPr>
        <w:t>提出表扬的单位及个人有：高泉所、罗江所、长乐所、弼时所、刘冠群、虞学良</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b/>
          <w:bCs/>
          <w:sz w:val="32"/>
          <w:szCs w:val="32"/>
          <w:u w:val="none"/>
        </w:rPr>
        <w:t>药品安全方面，</w:t>
      </w:r>
      <w:r>
        <w:rPr>
          <w:rFonts w:hint="default" w:ascii="Times New Roman" w:hAnsi="Times New Roman" w:eastAsia="仿宋" w:cs="Times New Roman"/>
          <w:sz w:val="32"/>
          <w:szCs w:val="32"/>
          <w:u w:val="none"/>
        </w:rPr>
        <w:t>开展药械安全春风行动和疫苗流通环节质量专项检查等药械化专项整治，进一步规范重点单位和重点品种经营使用行为。全年办理药品案件48个、医疗器械案件23个、化妆品案件17个。收集上报药品不良反应报告803例，医疗器械不良事件241例，化妆品不良反应报告78例，获评</w:t>
      </w:r>
      <w:r>
        <w:rPr>
          <w:rFonts w:hint="default" w:ascii="Times New Roman" w:hAnsi="Times New Roman" w:eastAsia="仿宋" w:cs="Times New Roman"/>
          <w:color w:val="000000"/>
          <w:sz w:val="32"/>
          <w:szCs w:val="32"/>
          <w:u w:val="none"/>
        </w:rPr>
        <w:t>岳阳市ADR工作、汨罗市禁毒工作先进单位。</w:t>
      </w:r>
      <w:r>
        <w:rPr>
          <w:rFonts w:hint="default" w:ascii="Times New Roman" w:hAnsi="Times New Roman" w:eastAsia="仿宋" w:cs="Times New Roman"/>
          <w:color w:val="000000"/>
          <w:sz w:val="32"/>
          <w:szCs w:val="32"/>
          <w:u w:val="none"/>
          <w:shd w:val="clear" w:color="auto" w:fill="FFFFFF"/>
        </w:rPr>
        <w:t>药品安全监管工作</w:t>
      </w:r>
      <w:r>
        <w:rPr>
          <w:rFonts w:hint="default" w:ascii="Times New Roman" w:hAnsi="Times New Roman" w:eastAsia="仿宋" w:cs="Times New Roman"/>
          <w:sz w:val="32"/>
          <w:szCs w:val="32"/>
          <w:u w:val="none"/>
        </w:rPr>
        <w:t>提出表扬的单位及个人有：屈子祠所、罗城所、川山坪所、何海军、杨芬芳、鲁锋。</w:t>
      </w:r>
      <w:r>
        <w:rPr>
          <w:rFonts w:hint="default" w:ascii="Times New Roman" w:hAnsi="Times New Roman" w:eastAsia="仿宋" w:cs="Times New Roman"/>
          <w:b/>
          <w:bCs/>
          <w:sz w:val="32"/>
          <w:szCs w:val="32"/>
          <w:u w:val="none"/>
        </w:rPr>
        <w:t>特种设备安全方面，</w:t>
      </w:r>
      <w:r>
        <w:rPr>
          <w:rFonts w:hint="default" w:ascii="Times New Roman" w:hAnsi="Times New Roman" w:eastAsia="仿宋" w:cs="Times New Roman"/>
          <w:sz w:val="32"/>
          <w:szCs w:val="32"/>
          <w:u w:val="none"/>
        </w:rPr>
        <w:t>完成18家液化气站去功能化，自有产权信息化气瓶27万余只。开展重点时段重点区域特种设备安全检查和特种设备安全专项行动，</w:t>
      </w:r>
      <w:r>
        <w:rPr>
          <w:rFonts w:hint="default" w:ascii="Times New Roman" w:hAnsi="Times New Roman" w:eastAsia="仿宋" w:cs="Times New Roman"/>
          <w:sz w:val="32"/>
          <w:szCs w:val="32"/>
          <w:u w:val="none"/>
          <w:lang w:val="zh-CN"/>
        </w:rPr>
        <w:t>检查单位1880家次，发现并督促整改安全隐患60余处，立案查处34起，处罚金额60余万。</w:t>
      </w:r>
      <w:r>
        <w:rPr>
          <w:rFonts w:hint="default" w:ascii="Times New Roman" w:hAnsi="Times New Roman" w:eastAsia="仿宋" w:cs="Times New Roman"/>
          <w:spacing w:val="-4"/>
          <w:kern w:val="0"/>
          <w:sz w:val="32"/>
          <w:szCs w:val="32"/>
          <w:u w:val="none"/>
          <w:lang w:val="zh-CN"/>
        </w:rPr>
        <w:t>配合省特检院岳阳分院在全市检验电梯、</w:t>
      </w:r>
      <w:r>
        <w:rPr>
          <w:rFonts w:hint="default" w:ascii="Times New Roman" w:hAnsi="Times New Roman" w:eastAsia="仿宋" w:cs="Times New Roman"/>
          <w:sz w:val="32"/>
          <w:szCs w:val="32"/>
          <w:u w:val="none"/>
          <w:lang w:val="zh-CN"/>
        </w:rPr>
        <w:t>起重机、锅炉、压力容器</w:t>
      </w:r>
      <w:r>
        <w:rPr>
          <w:rFonts w:hint="default" w:ascii="Times New Roman" w:hAnsi="Times New Roman" w:eastAsia="仿宋" w:cs="Times New Roman"/>
          <w:sz w:val="32"/>
          <w:szCs w:val="32"/>
          <w:u w:val="none"/>
        </w:rPr>
        <w:t>等设备1700余次</w:t>
      </w:r>
      <w:r>
        <w:rPr>
          <w:rFonts w:hint="default" w:ascii="Times New Roman" w:hAnsi="Times New Roman" w:eastAsia="仿宋" w:cs="Times New Roman"/>
          <w:sz w:val="32"/>
          <w:szCs w:val="32"/>
          <w:u w:val="none"/>
          <w:lang w:val="zh-CN"/>
        </w:rPr>
        <w:t>。下达整改意见书80余份。</w:t>
      </w:r>
      <w:r>
        <w:rPr>
          <w:rFonts w:hint="default" w:ascii="Times New Roman" w:hAnsi="Times New Roman" w:eastAsia="仿宋" w:cs="Times New Roman"/>
          <w:sz w:val="32"/>
          <w:szCs w:val="32"/>
          <w:u w:val="none"/>
        </w:rPr>
        <w:t>周浩同志获评市长安全生产奖先进个人一等奖，特种设备安全监察</w:t>
      </w:r>
      <w:r>
        <w:rPr>
          <w:rFonts w:hint="default" w:ascii="Times New Roman" w:hAnsi="Times New Roman" w:eastAsia="仿宋" w:cs="Times New Roman"/>
          <w:color w:val="000000"/>
          <w:sz w:val="32"/>
          <w:szCs w:val="32"/>
          <w:u w:val="none"/>
          <w:shd w:val="clear" w:color="auto" w:fill="FFFFFF"/>
        </w:rPr>
        <w:t>工作</w:t>
      </w:r>
      <w:r>
        <w:rPr>
          <w:rFonts w:hint="default" w:ascii="Times New Roman" w:hAnsi="Times New Roman" w:eastAsia="仿宋" w:cs="Times New Roman"/>
          <w:sz w:val="32"/>
          <w:szCs w:val="32"/>
          <w:u w:val="none"/>
        </w:rPr>
        <w:t>提出表扬的单位及个人有：弼时所、新市所、龙小马、唐军。</w:t>
      </w:r>
      <w:r>
        <w:rPr>
          <w:rFonts w:hint="default" w:ascii="Times New Roman" w:hAnsi="Times New Roman" w:eastAsia="仿宋" w:cs="Times New Roman"/>
          <w:b/>
          <w:bCs/>
          <w:sz w:val="32"/>
          <w:szCs w:val="32"/>
          <w:u w:val="none"/>
          <w:lang w:val="zh-CN"/>
        </w:rPr>
        <w:t>产品质量安全方面，</w:t>
      </w:r>
      <w:r>
        <w:rPr>
          <w:rFonts w:hint="default" w:ascii="Times New Roman" w:hAnsi="Times New Roman" w:eastAsia="仿宋" w:cs="Times New Roman"/>
          <w:sz w:val="32"/>
          <w:szCs w:val="32"/>
          <w:u w:val="none"/>
        </w:rPr>
        <w:t>设立实体性</w:t>
      </w:r>
      <w:r>
        <w:rPr>
          <w:rFonts w:hint="default" w:ascii="Times New Roman" w:hAnsi="Times New Roman" w:eastAsia="仿宋" w:cs="Times New Roman"/>
          <w:sz w:val="32"/>
          <w:szCs w:val="32"/>
          <w:u w:val="none"/>
          <w:lang w:val="en-US" w:eastAsia="zh-CN"/>
        </w:rPr>
        <w:t>质量基础设施</w:t>
      </w:r>
      <w:r>
        <w:rPr>
          <w:rFonts w:hint="default" w:ascii="Times New Roman" w:hAnsi="Times New Roman" w:eastAsia="仿宋" w:cs="Times New Roman"/>
          <w:sz w:val="32"/>
          <w:szCs w:val="32"/>
          <w:u w:val="none"/>
        </w:rPr>
        <w:t>“一站式”服务站</w:t>
      </w:r>
      <w:r>
        <w:rPr>
          <w:rFonts w:hint="default" w:ascii="Times New Roman" w:hAnsi="Times New Roman" w:eastAsia="仿宋" w:cs="Times New Roman"/>
          <w:sz w:val="32"/>
          <w:szCs w:val="32"/>
          <w:u w:val="none"/>
          <w:lang w:val="en-US" w:eastAsia="zh-CN"/>
        </w:rPr>
        <w:t>3个</w:t>
      </w:r>
      <w:r>
        <w:rPr>
          <w:rFonts w:hint="default" w:ascii="Times New Roman" w:hAnsi="Times New Roman" w:eastAsia="仿宋" w:cs="Times New Roman"/>
          <w:sz w:val="32"/>
          <w:szCs w:val="32"/>
          <w:u w:val="none"/>
        </w:rPr>
        <w:t>，为企业提供计量、标准、认证认可、检验检测、质量管理等九大方面“一站式”服务和全方位质量技术支持，帮助20余</w:t>
      </w:r>
      <w:r>
        <w:rPr>
          <w:rFonts w:hint="default" w:ascii="Times New Roman" w:hAnsi="Times New Roman" w:eastAsia="仿宋" w:cs="Times New Roman"/>
          <w:sz w:val="32"/>
          <w:szCs w:val="32"/>
          <w:u w:val="none"/>
          <w:lang w:val="zh-CN"/>
        </w:rPr>
        <w:t>家企业建立质量管理体系。</w:t>
      </w:r>
      <w:r>
        <w:rPr>
          <w:rFonts w:hint="default" w:ascii="Times New Roman" w:hAnsi="Times New Roman" w:eastAsia="仿宋" w:cs="Times New Roman"/>
          <w:sz w:val="32"/>
          <w:szCs w:val="32"/>
          <w:u w:val="none"/>
        </w:rPr>
        <w:t>配合交通问题顽瘴痼疾专项整治，对辖区内123家电动自行车经销门店进行“地毯式”清查，查处交通顽瘴痼疾案件30余起。开展</w:t>
      </w:r>
      <w:r>
        <w:rPr>
          <w:rFonts w:hint="default" w:ascii="Times New Roman" w:hAnsi="Times New Roman" w:eastAsia="仿宋" w:cs="Times New Roman"/>
          <w:sz w:val="32"/>
          <w:szCs w:val="32"/>
          <w:u w:val="none"/>
          <w:lang w:val="zh-CN"/>
        </w:rPr>
        <w:t>“洞庭清波”专项</w:t>
      </w:r>
      <w:r>
        <w:rPr>
          <w:rFonts w:hint="default" w:ascii="Times New Roman" w:hAnsi="Times New Roman" w:eastAsia="仿宋" w:cs="Times New Roman"/>
          <w:sz w:val="32"/>
          <w:szCs w:val="32"/>
          <w:u w:val="none"/>
        </w:rPr>
        <w:t>整治行动，完</w:t>
      </w:r>
      <w:r>
        <w:rPr>
          <w:rFonts w:hint="default" w:ascii="Times New Roman" w:hAnsi="Times New Roman" w:eastAsia="仿宋" w:cs="Times New Roman"/>
          <w:sz w:val="32"/>
          <w:szCs w:val="32"/>
          <w:u w:val="none"/>
          <w:lang w:val="zh-CN"/>
        </w:rPr>
        <w:t>成洗涤用品</w:t>
      </w:r>
      <w:r>
        <w:rPr>
          <w:rFonts w:hint="default" w:ascii="Times New Roman" w:hAnsi="Times New Roman" w:eastAsia="仿宋" w:cs="Times New Roman"/>
          <w:sz w:val="32"/>
          <w:szCs w:val="32"/>
          <w:u w:val="none"/>
        </w:rPr>
        <w:t>抽检</w:t>
      </w:r>
      <w:r>
        <w:rPr>
          <w:rFonts w:hint="default" w:ascii="Times New Roman" w:hAnsi="Times New Roman" w:eastAsia="仿宋" w:cs="Times New Roman"/>
          <w:sz w:val="32"/>
          <w:szCs w:val="32"/>
          <w:u w:val="none"/>
          <w:lang w:val="zh-CN"/>
        </w:rPr>
        <w:t>45批次。</w:t>
      </w:r>
      <w:r>
        <w:rPr>
          <w:rFonts w:hint="default" w:ascii="Times New Roman" w:hAnsi="Times New Roman" w:eastAsia="仿宋" w:cs="Times New Roman"/>
          <w:sz w:val="32"/>
          <w:szCs w:val="32"/>
          <w:u w:val="none"/>
          <w:lang w:val="en-US" w:eastAsia="zh-CN"/>
        </w:rPr>
        <w:t>获评岳阳市质量提升对标达标工作、汨罗市</w:t>
      </w:r>
      <w:r>
        <w:rPr>
          <w:rFonts w:hint="default" w:ascii="Times New Roman" w:hAnsi="Times New Roman" w:eastAsia="仿宋" w:cs="Times New Roman"/>
          <w:sz w:val="32"/>
          <w:szCs w:val="32"/>
          <w:u w:val="none"/>
        </w:rPr>
        <w:t>交通顽瘴痼疾工作先进单位，陈佳同志获评先进个人。产品质量</w:t>
      </w:r>
      <w:r>
        <w:rPr>
          <w:rFonts w:hint="default" w:ascii="Times New Roman" w:hAnsi="Times New Roman" w:eastAsia="仿宋" w:cs="Times New Roman"/>
          <w:color w:val="000000"/>
          <w:sz w:val="32"/>
          <w:szCs w:val="32"/>
          <w:u w:val="none"/>
          <w:shd w:val="clear" w:color="auto" w:fill="FFFFFF"/>
        </w:rPr>
        <w:t>工作</w:t>
      </w:r>
      <w:r>
        <w:rPr>
          <w:rFonts w:hint="default" w:ascii="Times New Roman" w:hAnsi="Times New Roman" w:eastAsia="仿宋" w:cs="Times New Roman"/>
          <w:sz w:val="32"/>
          <w:szCs w:val="32"/>
          <w:u w:val="none"/>
        </w:rPr>
        <w:t>提出表扬的单位有：执法大队、产品质量股、归义所、弼时所。</w:t>
      </w:r>
    </w:p>
    <w:p w14:paraId="230DFAC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b/>
          <w:bCs/>
          <w:sz w:val="32"/>
          <w:szCs w:val="32"/>
          <w:u w:val="none"/>
        </w:rPr>
        <w:t>（三）市场秩序取得新规范。一是监管执法全面发力。</w:t>
      </w:r>
      <w:r>
        <w:rPr>
          <w:rFonts w:hint="default" w:ascii="Times New Roman" w:hAnsi="Times New Roman" w:eastAsia="仿宋" w:cs="Times New Roman"/>
          <w:sz w:val="32"/>
          <w:szCs w:val="32"/>
          <w:u w:val="none"/>
        </w:rPr>
        <w:t>查处假冒伪劣化肥、利用不公平格式条款侵害消费者权益、假冒知名品牌及“傍名人”“搭便车”、食品浪费、广告违法、反不正当竞争违法、价格违法等案件70余起。</w:t>
      </w:r>
      <w:r>
        <w:rPr>
          <w:rFonts w:hint="default" w:ascii="Times New Roman" w:hAnsi="Times New Roman" w:eastAsia="仿宋" w:cs="Times New Roman"/>
          <w:sz w:val="32"/>
          <w:szCs w:val="32"/>
          <w:u w:val="none"/>
          <w:lang w:val="en-US" w:eastAsia="zh-CN"/>
        </w:rPr>
        <w:t>查出</w:t>
      </w:r>
      <w:r>
        <w:rPr>
          <w:rFonts w:hint="default" w:ascii="Times New Roman" w:hAnsi="Times New Roman" w:eastAsia="仿宋" w:cs="Times New Roman"/>
          <w:sz w:val="32"/>
          <w:szCs w:val="32"/>
          <w:u w:val="none"/>
        </w:rPr>
        <w:t>湖南省</w:t>
      </w:r>
      <w:r>
        <w:rPr>
          <w:rFonts w:hint="default" w:ascii="Times New Roman" w:hAnsi="Times New Roman" w:eastAsia="仿宋" w:cs="Times New Roman"/>
          <w:sz w:val="32"/>
          <w:szCs w:val="32"/>
          <w:u w:val="none"/>
          <w:lang w:val="en-US" w:eastAsia="zh-CN"/>
        </w:rPr>
        <w:t>某</w:t>
      </w:r>
      <w:r>
        <w:rPr>
          <w:rFonts w:hint="default" w:ascii="Times New Roman" w:hAnsi="Times New Roman" w:eastAsia="仿宋" w:cs="Times New Roman"/>
          <w:sz w:val="32"/>
          <w:szCs w:val="32"/>
          <w:u w:val="none"/>
        </w:rPr>
        <w:t>食品有限公司汨罗分公司生产不符合食品安全标准的食品案、黄市乡</w:t>
      </w:r>
      <w:r>
        <w:rPr>
          <w:rFonts w:hint="default" w:ascii="Times New Roman" w:hAnsi="Times New Roman" w:eastAsia="仿宋" w:cs="Times New Roman"/>
          <w:sz w:val="32"/>
          <w:szCs w:val="32"/>
          <w:u w:val="none"/>
          <w:lang w:val="en-US" w:eastAsia="zh-CN"/>
        </w:rPr>
        <w:t>某</w:t>
      </w:r>
      <w:r>
        <w:rPr>
          <w:rFonts w:hint="default" w:ascii="Times New Roman" w:hAnsi="Times New Roman" w:eastAsia="仿宋" w:cs="Times New Roman"/>
          <w:sz w:val="32"/>
          <w:szCs w:val="32"/>
          <w:u w:val="none"/>
        </w:rPr>
        <w:t>食品店经营超过保质期的食品案分别获评岳阳市2023年度市场监管行政执法优秀案例、实施包容审慎监管执行“三张清单”优秀案例。执法稽查绩效考核</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rPr>
        <w:t>市场规范管理工作获评岳阳市先进单位，吴黎明、胡凤秋两名同志同时获评湖南省和岳阳市价监工作突出个人</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b/>
          <w:bCs/>
          <w:sz w:val="32"/>
          <w:szCs w:val="32"/>
          <w:u w:val="none"/>
        </w:rPr>
        <w:t>二是消费环境不断优化。</w:t>
      </w:r>
      <w:r>
        <w:rPr>
          <w:rFonts w:hint="default" w:ascii="Times New Roman" w:hAnsi="Times New Roman" w:eastAsia="仿宋" w:cs="Times New Roman"/>
          <w:sz w:val="32"/>
          <w:szCs w:val="32"/>
          <w:u w:val="none"/>
        </w:rPr>
        <w:t>成功举办“3·15国际消费者权益日”宣传活动，集中销毁</w:t>
      </w:r>
      <w:r>
        <w:rPr>
          <w:rFonts w:hint="default" w:ascii="Times New Roman" w:hAnsi="Times New Roman" w:eastAsia="仿宋" w:cs="Times New Roman"/>
          <w:sz w:val="32"/>
          <w:szCs w:val="32"/>
          <w:u w:val="none"/>
          <w:lang w:val="en-US" w:eastAsia="zh-CN"/>
        </w:rPr>
        <w:t>价值20余万元</w:t>
      </w:r>
      <w:r>
        <w:rPr>
          <w:rFonts w:hint="default" w:ascii="Times New Roman" w:hAnsi="Times New Roman" w:eastAsia="仿宋" w:cs="Times New Roman"/>
          <w:sz w:val="32"/>
          <w:szCs w:val="32"/>
          <w:u w:val="none"/>
        </w:rPr>
        <w:t>的超过保质期食品、假劣商品和多项不合格产品。培育放心消费示范商户5家，发展线下七天无理由退货商家10家，15家企业入驻湖南省放心消费创建培育库。受理投诉举报4141件，办结率100%，为消费者挽回经济损失386万余元，收到消费者的锦旗3面、表扬信8封。获评岳阳市消保委组织工作、汨罗市12345公共服务热线先进单位。综合执法大队三中队查处的湖南省某建筑装饰材料有限公司利用广告及话术对商品、服务作虚假或者引人误解的商业宣传的违法行为案件，得到社会各界一致好评。</w:t>
      </w:r>
      <w:r>
        <w:rPr>
          <w:rFonts w:hint="default" w:ascii="Times New Roman" w:hAnsi="Times New Roman" w:eastAsia="仿宋" w:cs="Times New Roman"/>
          <w:b/>
          <w:bCs/>
          <w:sz w:val="32"/>
          <w:szCs w:val="32"/>
          <w:u w:val="none"/>
        </w:rPr>
        <w:t>三是意识形态管理持续加强。</w:t>
      </w:r>
      <w:r>
        <w:rPr>
          <w:rFonts w:hint="default" w:ascii="Times New Roman" w:hAnsi="Times New Roman" w:eastAsia="仿宋" w:cs="Times New Roman"/>
          <w:sz w:val="32"/>
          <w:szCs w:val="32"/>
          <w:u w:val="none"/>
        </w:rPr>
        <w:t>利用“两微一抖一门户”平台，发布政务信息300余条。通过省市平台共处理信访件25件，其中省委巡视反馈信访件6批次12件，红网百姓呼声涉及市场监管部门舆情处理回复13条。我局获评汨罗市信访工作、汨罗市市长信箱、汨罗市政府网站工作、政府系统文电、秘书工作、领导批示件办理工作、政府系统值班值守工作先进单位，李茂同志获评汨罗市党委信息工作、汨罗市档案工作、领导批示件办理工作先进个人，任艳同志获评汨罗市“三八红旗手”，周旺盛同志获评</w:t>
      </w:r>
      <w:r>
        <w:rPr>
          <w:rFonts w:hint="default" w:ascii="Times New Roman" w:hAnsi="Times New Roman" w:eastAsia="仿宋" w:cs="Times New Roman"/>
          <w:sz w:val="32"/>
          <w:szCs w:val="32"/>
          <w:u w:val="none"/>
          <w:lang w:val="en-US" w:eastAsia="zh-CN"/>
        </w:rPr>
        <w:t>汨</w:t>
      </w:r>
      <w:r>
        <w:rPr>
          <w:rFonts w:hint="default" w:ascii="Times New Roman" w:hAnsi="Times New Roman" w:eastAsia="仿宋" w:cs="Times New Roman"/>
          <w:sz w:val="32"/>
          <w:szCs w:val="32"/>
          <w:u w:val="none"/>
        </w:rPr>
        <w:t>罗市市长信箱</w:t>
      </w:r>
      <w:r>
        <w:rPr>
          <w:rFonts w:hint="default" w:ascii="Times New Roman" w:hAnsi="Times New Roman" w:eastAsia="仿宋" w:cs="Times New Roman"/>
          <w:sz w:val="32"/>
          <w:szCs w:val="32"/>
          <w:u w:val="none"/>
          <w:lang w:val="en-US" w:eastAsia="zh-CN"/>
        </w:rPr>
        <w:t>办理</w:t>
      </w:r>
      <w:r>
        <w:rPr>
          <w:rFonts w:hint="default" w:ascii="Times New Roman" w:hAnsi="Times New Roman" w:eastAsia="仿宋" w:cs="Times New Roman"/>
          <w:sz w:val="32"/>
          <w:szCs w:val="32"/>
          <w:u w:val="none"/>
        </w:rPr>
        <w:t>先进个人。</w:t>
      </w:r>
    </w:p>
    <w:p w14:paraId="433E7E59">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b/>
          <w:bCs/>
          <w:sz w:val="32"/>
          <w:szCs w:val="32"/>
          <w:u w:val="none"/>
        </w:rPr>
        <w:t>（四）服务大局展现新作为。一是文明创建成效明显。</w:t>
      </w:r>
      <w:r>
        <w:rPr>
          <w:rFonts w:hint="default" w:ascii="Times New Roman" w:hAnsi="Times New Roman" w:eastAsia="仿宋" w:cs="Times New Roman"/>
          <w:sz w:val="32"/>
          <w:szCs w:val="32"/>
          <w:u w:val="none"/>
        </w:rPr>
        <w:t>高标准完成兴罗门市场提质改造。发放《社会主义核心价值观》《文明餐桌》等宣传资料20000余份。网报资料排全市第一梯队。获评汨罗市文明城市创建工作先进单位，文明城市创建工作提出表扬的单位有：高泉所、罗城所、归义所；提出表扬的个人有：黄建军、黄俊</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b/>
          <w:bCs/>
          <w:sz w:val="32"/>
          <w:szCs w:val="32"/>
          <w:u w:val="none"/>
        </w:rPr>
        <w:t>二是省级食安示范创建扎实推进。</w:t>
      </w:r>
      <w:r>
        <w:rPr>
          <w:rFonts w:hint="default" w:ascii="Times New Roman" w:hAnsi="Times New Roman" w:eastAsia="仿宋" w:cs="Times New Roman"/>
          <w:sz w:val="32"/>
          <w:szCs w:val="32"/>
          <w:u w:val="none"/>
        </w:rPr>
        <w:t>对标对表完成近三年32项评价指标和79项评价要点的资料整理和汇总。</w:t>
      </w:r>
      <w:r>
        <w:rPr>
          <w:rFonts w:hint="default" w:ascii="Times New Roman" w:hAnsi="Times New Roman" w:eastAsia="仿宋" w:cs="Times New Roman"/>
          <w:kern w:val="2"/>
          <w:sz w:val="32"/>
          <w:szCs w:val="32"/>
          <w:u w:val="none"/>
        </w:rPr>
        <w:t>全市</w:t>
      </w:r>
      <w:r>
        <w:rPr>
          <w:rFonts w:hint="default" w:ascii="Times New Roman" w:hAnsi="Times New Roman" w:eastAsia="仿宋" w:cs="Times New Roman"/>
          <w:kern w:val="2"/>
          <w:sz w:val="32"/>
          <w:szCs w:val="32"/>
          <w:u w:val="none"/>
          <w:lang w:val="en-US" w:eastAsia="zh-CN"/>
        </w:rPr>
        <w:t>食品</w:t>
      </w:r>
      <w:r>
        <w:rPr>
          <w:rFonts w:hint="default" w:ascii="Times New Roman" w:hAnsi="Times New Roman" w:eastAsia="仿宋" w:cs="Times New Roman"/>
          <w:kern w:val="2"/>
          <w:sz w:val="32"/>
          <w:szCs w:val="32"/>
          <w:u w:val="none"/>
        </w:rPr>
        <w:t>B、C、D三级5769家市场主体包保督导覆盖率100%，</w:t>
      </w:r>
      <w:r>
        <w:rPr>
          <w:rFonts w:hint="default" w:ascii="Times New Roman" w:hAnsi="Times New Roman" w:eastAsia="仿宋" w:cs="Times New Roman"/>
          <w:sz w:val="32"/>
          <w:szCs w:val="32"/>
          <w:u w:val="none"/>
        </w:rPr>
        <w:t>A、B、C三级包保主体全部纳入智慧平台监管，严格落实食品安全“两个责任”。食品安全示范县创建及“两个责任”工作提出表扬的个人有：左晓慧、陈玉霞</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b/>
          <w:bCs/>
          <w:sz w:val="32"/>
          <w:szCs w:val="32"/>
          <w:u w:val="none"/>
        </w:rPr>
        <w:t>三是扫黑除恶工作进一步深化。</w:t>
      </w:r>
      <w:r>
        <w:rPr>
          <w:rFonts w:hint="default" w:ascii="Times New Roman" w:hAnsi="Times New Roman" w:eastAsia="仿宋" w:cs="Times New Roman"/>
          <w:sz w:val="32"/>
          <w:szCs w:val="32"/>
          <w:u w:val="none"/>
        </w:rPr>
        <w:t>成立市场流通领域扫黑除恶工作领导小组，制定《扫黑除恶工作长效常治机制建设实施方案》，实现市场监管领域扫黑除恶规范化、法治化。</w:t>
      </w:r>
      <w:r>
        <w:rPr>
          <w:rFonts w:hint="default" w:ascii="Times New Roman" w:hAnsi="Times New Roman" w:eastAsia="仿宋" w:cs="Times New Roman"/>
          <w:b/>
          <w:bCs/>
          <w:sz w:val="32"/>
          <w:szCs w:val="32"/>
          <w:u w:val="none"/>
        </w:rPr>
        <w:t>四是禁渔工作持续展开。</w:t>
      </w:r>
      <w:r>
        <w:rPr>
          <w:rFonts w:hint="default" w:ascii="Times New Roman" w:hAnsi="Times New Roman" w:eastAsia="仿宋" w:cs="Times New Roman"/>
          <w:sz w:val="32"/>
          <w:szCs w:val="32"/>
          <w:u w:val="none"/>
        </w:rPr>
        <w:t>联合农业农村等部门，拆除含有“野生”“长江”等字样的招牌12块，收缴含有“野生”“长江”“洞庭湖鱼”等字样菜单20多家。全市800家涉鱼餐饮门店签订禁食野生鱼承诺书， 127家渔具经营门店签订</w:t>
      </w:r>
      <w:r>
        <w:rPr>
          <w:rFonts w:hint="default" w:ascii="Times New Roman" w:hAnsi="Times New Roman" w:eastAsia="仿宋" w:cs="Times New Roman"/>
          <w:sz w:val="32"/>
          <w:szCs w:val="32"/>
          <w:u w:val="none"/>
          <w:lang w:val="en-US" w:eastAsia="zh-CN"/>
        </w:rPr>
        <w:t>不</w:t>
      </w:r>
      <w:r>
        <w:rPr>
          <w:rFonts w:hint="default" w:ascii="Times New Roman" w:hAnsi="Times New Roman" w:eastAsia="仿宋" w:cs="Times New Roman"/>
          <w:sz w:val="32"/>
          <w:szCs w:val="32"/>
          <w:u w:val="none"/>
        </w:rPr>
        <w:t>销售禁用渔具承诺书。</w:t>
      </w:r>
    </w:p>
    <w:p w14:paraId="4C40E80D">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_GBK" w:cs="Times New Roman"/>
          <w:kern w:val="0"/>
          <w:sz w:val="32"/>
          <w:szCs w:val="32"/>
          <w:lang w:eastAsia="zh-CN"/>
        </w:rPr>
      </w:pPr>
      <w:r>
        <w:rPr>
          <w:rFonts w:hint="default" w:ascii="Times New Roman" w:hAnsi="Times New Roman" w:eastAsia="仿宋" w:cs="Times New Roman"/>
          <w:b/>
          <w:bCs/>
          <w:kern w:val="0"/>
          <w:sz w:val="32"/>
          <w:szCs w:val="32"/>
          <w:u w:val="none"/>
        </w:rPr>
        <w:t>（五）队伍建设呈现新形象。</w:t>
      </w:r>
      <w:r>
        <w:rPr>
          <w:rFonts w:hint="default" w:ascii="Times New Roman" w:hAnsi="Times New Roman" w:eastAsia="仿宋" w:cs="Times New Roman"/>
          <w:b/>
          <w:bCs/>
          <w:sz w:val="32"/>
          <w:szCs w:val="32"/>
          <w:u w:val="none"/>
        </w:rPr>
        <w:t>一是政治建设全面抓。</w:t>
      </w:r>
      <w:r>
        <w:rPr>
          <w:rFonts w:hint="default" w:ascii="Times New Roman" w:hAnsi="Times New Roman" w:eastAsia="仿宋" w:cs="Times New Roman"/>
          <w:sz w:val="32"/>
          <w:szCs w:val="32"/>
          <w:u w:val="none"/>
        </w:rPr>
        <w:t>深入开展主题教育，全年开展局党组中心组学习12次、机关支部主题党日活动12次，获评汨罗市基层党建工作先进单位，局机关第一党支部获评</w:t>
      </w:r>
      <w:r>
        <w:rPr>
          <w:rFonts w:hint="default" w:ascii="Times New Roman" w:hAnsi="Times New Roman" w:eastAsia="仿宋" w:cs="Times New Roman"/>
          <w:sz w:val="32"/>
          <w:szCs w:val="32"/>
          <w:u w:val="none"/>
          <w:lang w:val="en-US" w:eastAsia="zh-CN"/>
        </w:rPr>
        <w:t>全市</w:t>
      </w:r>
      <w:r>
        <w:rPr>
          <w:rFonts w:hint="default" w:ascii="Times New Roman" w:hAnsi="Times New Roman" w:eastAsia="仿宋" w:cs="Times New Roman"/>
          <w:sz w:val="32"/>
          <w:szCs w:val="32"/>
          <w:u w:val="none"/>
        </w:rPr>
        <w:t>先进基层党组织。</w:t>
      </w:r>
      <w:r>
        <w:rPr>
          <w:rFonts w:hint="default" w:ascii="Times New Roman" w:hAnsi="Times New Roman" w:eastAsia="仿宋" w:cs="Times New Roman"/>
          <w:b/>
          <w:bCs/>
          <w:sz w:val="32"/>
          <w:szCs w:val="32"/>
          <w:u w:val="none"/>
        </w:rPr>
        <w:t>二是廉政建设持续抓。</w:t>
      </w:r>
      <w:r>
        <w:rPr>
          <w:rFonts w:hint="default" w:ascii="Times New Roman" w:hAnsi="Times New Roman" w:eastAsia="仿宋" w:cs="Times New Roman"/>
          <w:sz w:val="32"/>
          <w:szCs w:val="32"/>
          <w:u w:val="none"/>
        </w:rPr>
        <w:t>深化行风建设三年攻坚行动，深入推进两个“十严禁”，专项整治打牌赌博、违规吃喝和违规举办“升学宴”，开展青年干部学习大课堂，精准运用监督执纪“四种形态”，保持“四风”整治高压态势，获评清廉汨罗建设先进单位</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b/>
          <w:bCs/>
          <w:sz w:val="32"/>
          <w:szCs w:val="32"/>
          <w:u w:val="none"/>
        </w:rPr>
        <w:t>三是能力建设深入抓。</w:t>
      </w:r>
      <w:r>
        <w:rPr>
          <w:rFonts w:hint="default" w:ascii="Times New Roman" w:hAnsi="Times New Roman" w:eastAsia="仿宋" w:cs="Times New Roman"/>
          <w:sz w:val="32"/>
          <w:szCs w:val="32"/>
          <w:u w:val="none"/>
        </w:rPr>
        <w:t>通过国家总局、岳阳干教院、湖南省事业单位网培等多平台组织线上培训，同步开展食品药品、特种设备等多项业务培训，全年培训人员近2000人次，涌现出了于维、李大伟、李少博、谢超、刘敏</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lang w:val="en-US" w:eastAsia="zh-CN"/>
        </w:rPr>
        <w:t>男</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rPr>
        <w:t>、罗青林、伏洋、李赛、许敏、李胜洋、姜宇隆、王炫成等一大批优秀基层干部。</w:t>
      </w:r>
      <w:r>
        <w:rPr>
          <w:rFonts w:hint="default" w:ascii="Times New Roman" w:hAnsi="Times New Roman" w:eastAsia="仿宋" w:cs="Times New Roman"/>
          <w:b/>
          <w:bCs/>
          <w:sz w:val="32"/>
          <w:szCs w:val="32"/>
          <w:u w:val="none"/>
        </w:rPr>
        <w:t>四是“两化建设”用心抓。</w:t>
      </w:r>
      <w:r>
        <w:rPr>
          <w:rFonts w:hint="default" w:ascii="Times New Roman" w:hAnsi="Times New Roman" w:eastAsia="仿宋" w:cs="Times New Roman"/>
          <w:sz w:val="32"/>
          <w:szCs w:val="32"/>
          <w:u w:val="none"/>
        </w:rPr>
        <w:t>多方筹集资金</w:t>
      </w:r>
      <w:r>
        <w:rPr>
          <w:rFonts w:hint="default" w:ascii="Times New Roman" w:hAnsi="Times New Roman" w:eastAsia="仿宋" w:cs="Times New Roman"/>
          <w:sz w:val="32"/>
          <w:szCs w:val="32"/>
          <w:u w:val="none"/>
          <w:lang w:val="en-US" w:eastAsia="zh-CN"/>
        </w:rPr>
        <w:t>4</w:t>
      </w:r>
      <w:r>
        <w:rPr>
          <w:rFonts w:hint="default" w:ascii="Times New Roman" w:hAnsi="Times New Roman" w:eastAsia="仿宋" w:cs="Times New Roman"/>
          <w:sz w:val="32"/>
          <w:szCs w:val="32"/>
          <w:u w:val="none"/>
        </w:rPr>
        <w:t>00余万元，完成弼时、新市、罗城、桃林、大荆、白水、长乐7个基层所标准化规范化建设，弼时所获评岳阳唯一的全国“五星市场监管所”，岳阳市市场监管所标准化规范化建设现场会在汨罗召开，获得市局党组高度评价。</w:t>
      </w:r>
    </w:p>
    <w:p w14:paraId="1F3A6062">
      <w:pPr>
        <w:keepNext w:val="0"/>
        <w:keepLines w:val="0"/>
        <w:pageBreakBefore w:val="0"/>
        <w:widowControl/>
        <w:wordWrap/>
        <w:overflowPunct/>
        <w:topLinePunct w:val="0"/>
        <w:bidi w:val="0"/>
        <w:spacing w:line="56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五、存在的主要问题</w:t>
      </w:r>
    </w:p>
    <w:p w14:paraId="153DE1CF">
      <w:pPr>
        <w:keepNext w:val="0"/>
        <w:keepLines w:val="0"/>
        <w:pageBreakBefore w:val="0"/>
        <w:widowControl/>
        <w:wordWrap/>
        <w:overflowPunct/>
        <w:topLinePunct w:val="0"/>
        <w:bidi w:val="0"/>
        <w:spacing w:line="560" w:lineRule="exact"/>
        <w:ind w:firstLine="552"/>
        <w:jc w:val="both"/>
        <w:rPr>
          <w:rFonts w:hint="default" w:ascii="Times New Roman" w:hAnsi="Times New Roman" w:eastAsia="仿宋" w:cs="Times New Roman"/>
          <w:bCs/>
          <w:spacing w:val="-4"/>
          <w:kern w:val="0"/>
          <w:sz w:val="32"/>
          <w:szCs w:val="32"/>
          <w:lang w:eastAsia="zh-CN"/>
        </w:rPr>
      </w:pPr>
      <w:r>
        <w:rPr>
          <w:rFonts w:hint="default" w:ascii="Times New Roman" w:hAnsi="Times New Roman" w:eastAsia="仿宋" w:cs="Times New Roman"/>
          <w:bCs/>
          <w:spacing w:val="-4"/>
          <w:kern w:val="0"/>
          <w:sz w:val="32"/>
          <w:szCs w:val="32"/>
          <w:lang w:val="en-US" w:eastAsia="zh-CN"/>
        </w:rPr>
        <w:t>1、</w:t>
      </w:r>
      <w:r>
        <w:rPr>
          <w:rFonts w:hint="default" w:ascii="Times New Roman" w:hAnsi="Times New Roman" w:eastAsia="仿宋" w:cs="Times New Roman"/>
          <w:bCs/>
          <w:spacing w:val="-4"/>
          <w:kern w:val="0"/>
          <w:sz w:val="32"/>
          <w:szCs w:val="32"/>
          <w:lang w:eastAsia="zh-CN"/>
        </w:rPr>
        <w:t xml:space="preserve">财务工作是一个单位的命脉，我局人员多，机构多，职能多，要求财务人员工作水平越来越高。 </w:t>
      </w:r>
    </w:p>
    <w:p w14:paraId="40B2158E">
      <w:pPr>
        <w:keepNext w:val="0"/>
        <w:keepLines w:val="0"/>
        <w:pageBreakBefore w:val="0"/>
        <w:widowControl/>
        <w:wordWrap/>
        <w:overflowPunct/>
        <w:topLinePunct w:val="0"/>
        <w:bidi w:val="0"/>
        <w:spacing w:line="560" w:lineRule="exact"/>
        <w:ind w:firstLine="552"/>
        <w:jc w:val="both"/>
        <w:rPr>
          <w:rFonts w:hint="default" w:ascii="Times New Roman" w:hAnsi="Times New Roman" w:eastAsia="仿宋" w:cs="Times New Roman"/>
          <w:bCs/>
          <w:spacing w:val="-4"/>
          <w:kern w:val="0"/>
          <w:sz w:val="32"/>
          <w:szCs w:val="32"/>
          <w:lang w:eastAsia="zh-CN"/>
        </w:rPr>
      </w:pPr>
      <w:r>
        <w:rPr>
          <w:rFonts w:hint="default" w:ascii="Times New Roman" w:hAnsi="Times New Roman" w:eastAsia="仿宋" w:cs="Times New Roman"/>
          <w:bCs/>
          <w:spacing w:val="-4"/>
          <w:kern w:val="0"/>
          <w:sz w:val="32"/>
          <w:szCs w:val="32"/>
          <w:lang w:eastAsia="zh-CN"/>
        </w:rPr>
        <w:t xml:space="preserve">2、会计基础工作需要不断完善，报表数据与实际情况存在小误差。                            </w:t>
      </w:r>
    </w:p>
    <w:p w14:paraId="2F3A3B5A">
      <w:pPr>
        <w:keepNext w:val="0"/>
        <w:keepLines w:val="0"/>
        <w:pageBreakBefore w:val="0"/>
        <w:widowControl/>
        <w:wordWrap/>
        <w:overflowPunct/>
        <w:topLinePunct w:val="0"/>
        <w:bidi w:val="0"/>
        <w:spacing w:line="560" w:lineRule="exact"/>
        <w:ind w:firstLine="552"/>
        <w:jc w:val="both"/>
        <w:rPr>
          <w:rFonts w:hint="default" w:ascii="Times New Roman" w:hAnsi="Times New Roman" w:eastAsia="仿宋" w:cs="Times New Roman"/>
          <w:bCs/>
          <w:spacing w:val="-4"/>
          <w:kern w:val="0"/>
          <w:sz w:val="32"/>
          <w:szCs w:val="32"/>
          <w:lang w:eastAsia="zh-CN"/>
        </w:rPr>
      </w:pPr>
      <w:r>
        <w:rPr>
          <w:rFonts w:hint="default" w:ascii="Times New Roman" w:hAnsi="Times New Roman" w:eastAsia="仿宋" w:cs="Times New Roman"/>
          <w:bCs/>
          <w:spacing w:val="-4"/>
          <w:kern w:val="0"/>
          <w:sz w:val="32"/>
          <w:szCs w:val="32"/>
          <w:lang w:eastAsia="zh-CN"/>
        </w:rPr>
        <w:t>3、市场监管职能增强，食品、药品、特种设备等领域的隐患不容忽视，市场主体、消费者对市场监管部门期待很高，财政专项还需更加大财政投入。</w:t>
      </w:r>
    </w:p>
    <w:p w14:paraId="47D0B1D4">
      <w:pPr>
        <w:spacing w:line="600" w:lineRule="exact"/>
        <w:ind w:firstLine="640" w:firstLineChars="200"/>
        <w:jc w:val="both"/>
        <w:rPr>
          <w:rFonts w:hint="eastAsia" w:eastAsia="仿宋_GB2312"/>
          <w:kern w:val="0"/>
          <w:sz w:val="32"/>
          <w:szCs w:val="32"/>
          <w:lang w:eastAsia="zh-CN"/>
        </w:rPr>
      </w:pP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创建省级食品安全示范县</w:t>
      </w:r>
      <w:r>
        <w:rPr>
          <w:rFonts w:ascii="黑体" w:hAnsi="黑体" w:eastAsia="黑体" w:cs="黑体"/>
          <w:spacing w:val="15"/>
          <w:position w:val="10"/>
          <w:sz w:val="42"/>
          <w:szCs w:val="42"/>
        </w:rPr>
        <w:t>项目支出</w:t>
      </w:r>
    </w:p>
    <w:p w14:paraId="5035F9FC">
      <w:pPr>
        <w:spacing w:before="1" w:line="220" w:lineRule="auto"/>
        <w:jc w:val="center"/>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798F8E2E">
      <w:pPr>
        <w:spacing w:line="223" w:lineRule="auto"/>
        <w:rPr>
          <w:sz w:val="24"/>
          <w:szCs w:val="24"/>
        </w:rPr>
        <w:sectPr>
          <w:footerReference r:id="rId8" w:type="default"/>
          <w:pgSz w:w="11900" w:h="16820"/>
          <w:pgMar w:top="1429" w:right="1782" w:bottom="1158" w:left="1450" w:header="0" w:footer="850" w:gutter="0"/>
          <w:cols w:space="720" w:num="1"/>
        </w:sectPr>
      </w:pPr>
    </w:p>
    <w:p w14:paraId="4D0DC5E6">
      <w:pPr>
        <w:spacing w:before="137" w:line="221" w:lineRule="auto"/>
        <w:jc w:val="center"/>
        <w:rPr>
          <w:rFonts w:ascii="黑体" w:hAnsi="黑体" w:eastAsia="黑体" w:cs="黑体"/>
          <w:b/>
          <w:bCs/>
          <w:spacing w:val="6"/>
          <w:sz w:val="42"/>
          <w:szCs w:val="42"/>
        </w:rPr>
      </w:pPr>
      <w:r>
        <w:rPr>
          <w:rFonts w:hint="eastAsia" w:ascii="黑体" w:hAnsi="黑体" w:eastAsia="黑体" w:cs="黑体"/>
          <w:b/>
          <w:bCs/>
          <w:spacing w:val="6"/>
          <w:sz w:val="42"/>
          <w:szCs w:val="42"/>
        </w:rPr>
        <w:t>创建省级食品安全示范县</w:t>
      </w:r>
      <w:r>
        <w:rPr>
          <w:rFonts w:ascii="黑体" w:hAnsi="黑体" w:eastAsia="黑体" w:cs="黑体"/>
          <w:b/>
          <w:bCs/>
          <w:spacing w:val="6"/>
          <w:sz w:val="42"/>
          <w:szCs w:val="42"/>
        </w:rPr>
        <w:t>项目支出</w:t>
      </w:r>
    </w:p>
    <w:p w14:paraId="28BCDE33">
      <w:pPr>
        <w:spacing w:before="137" w:line="221" w:lineRule="auto"/>
        <w:jc w:val="center"/>
        <w:rPr>
          <w:rFonts w:ascii="黑体" w:hAnsi="黑体" w:eastAsia="黑体" w:cs="黑体"/>
          <w:sz w:val="42"/>
          <w:szCs w:val="42"/>
        </w:rPr>
      </w:pPr>
      <w:r>
        <w:rPr>
          <w:rFonts w:ascii="黑体" w:hAnsi="黑体" w:eastAsia="黑体" w:cs="黑体"/>
          <w:b/>
          <w:bCs/>
          <w:spacing w:val="6"/>
          <w:sz w:val="42"/>
          <w:szCs w:val="42"/>
        </w:rPr>
        <w:t>绩效评价报告</w:t>
      </w:r>
    </w:p>
    <w:p w14:paraId="2499E91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b w:val="0"/>
          <w:bCs w:val="0"/>
          <w:snapToGrid w:val="0"/>
          <w:color w:val="000000"/>
          <w:spacing w:val="0"/>
          <w:kern w:val="0"/>
          <w:sz w:val="32"/>
          <w:szCs w:val="32"/>
          <w:lang w:val="en-US" w:eastAsia="zh-CN" w:bidi="ar-SA"/>
        </w:rPr>
      </w:pPr>
    </w:p>
    <w:p w14:paraId="1F7A510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snapToGrid w:val="0"/>
          <w:color w:val="000000"/>
          <w:spacing w:val="0"/>
          <w:kern w:val="0"/>
          <w:sz w:val="32"/>
          <w:szCs w:val="32"/>
          <w:lang w:val="en-US" w:eastAsia="zh-CN" w:bidi="ar-SA"/>
        </w:rPr>
        <w:t>根据《中共中央国务院关于全面实施预算绩效管理的意见》《项目支出绩效评价管理办法》（财预〔2020〕10号）等文件规定，按照《汨罗市预算绩效管理实施办法》（汨办发[20</w:t>
      </w:r>
      <w:r>
        <w:rPr>
          <w:rFonts w:hint="default" w:ascii="Times New Roman" w:hAnsi="Times New Roman" w:eastAsia="仿宋" w:cs="Times New Roman"/>
          <w:b w:val="0"/>
          <w:bCs w:val="0"/>
          <w:snapToGrid w:val="0"/>
          <w:color w:val="000000"/>
          <w:spacing w:val="0"/>
          <w:kern w:val="0"/>
          <w:sz w:val="32"/>
          <w:szCs w:val="32"/>
          <w:highlight w:val="none"/>
          <w:lang w:val="en-US" w:eastAsia="zh-CN" w:bidi="ar-SA"/>
        </w:rPr>
        <w:t>22]42号）等相关文件要求，</w:t>
      </w:r>
      <w:r>
        <w:rPr>
          <w:rFonts w:hint="default" w:ascii="Times New Roman" w:hAnsi="Times New Roman" w:eastAsia="仿宋" w:cs="Times New Roman"/>
          <w:b w:val="0"/>
          <w:bCs w:val="0"/>
          <w:sz w:val="32"/>
          <w:szCs w:val="32"/>
          <w:highlight w:val="none"/>
        </w:rPr>
        <w:t>现对汨罗市市场监督管理局202</w:t>
      </w:r>
      <w:r>
        <w:rPr>
          <w:rFonts w:hint="default" w:ascii="Times New Roman" w:hAnsi="Times New Roman" w:eastAsia="仿宋" w:cs="Times New Roman"/>
          <w:b w:val="0"/>
          <w:bCs w:val="0"/>
          <w:sz w:val="32"/>
          <w:szCs w:val="32"/>
          <w:highlight w:val="none"/>
          <w:lang w:val="en-US" w:eastAsia="zh-CN"/>
        </w:rPr>
        <w:t>3</w:t>
      </w:r>
      <w:r>
        <w:rPr>
          <w:rFonts w:hint="default" w:ascii="Times New Roman" w:hAnsi="Times New Roman" w:eastAsia="仿宋" w:cs="Times New Roman"/>
          <w:b w:val="0"/>
          <w:bCs w:val="0"/>
          <w:sz w:val="32"/>
          <w:szCs w:val="32"/>
          <w:highlight w:val="none"/>
        </w:rPr>
        <w:t>年度的创建省级食品安全示范县</w:t>
      </w:r>
      <w:r>
        <w:rPr>
          <w:rFonts w:hint="default" w:ascii="Times New Roman" w:hAnsi="Times New Roman" w:eastAsia="仿宋" w:cs="Times New Roman"/>
          <w:b w:val="0"/>
          <w:bCs w:val="0"/>
          <w:spacing w:val="6"/>
          <w:sz w:val="32"/>
          <w:szCs w:val="32"/>
          <w:highlight w:val="none"/>
          <w:lang w:eastAsia="zh-CN"/>
        </w:rPr>
        <w:t>专项</w:t>
      </w:r>
      <w:r>
        <w:rPr>
          <w:rFonts w:hint="default" w:ascii="Times New Roman" w:hAnsi="Times New Roman" w:eastAsia="仿宋" w:cs="Times New Roman"/>
          <w:b w:val="0"/>
          <w:bCs w:val="0"/>
          <w:sz w:val="32"/>
          <w:szCs w:val="32"/>
          <w:highlight w:val="none"/>
        </w:rPr>
        <w:t>开展绩效自评，具体情况汇报如下：</w:t>
      </w:r>
    </w:p>
    <w:p w14:paraId="38FB026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default" w:ascii="黑体" w:hAnsi="黑体" w:eastAsia="黑体" w:cs="黑体"/>
          <w:b/>
          <w:bCs/>
          <w:spacing w:val="-15"/>
          <w:sz w:val="31"/>
          <w:szCs w:val="31"/>
        </w:rPr>
      </w:pPr>
      <w:r>
        <w:rPr>
          <w:rFonts w:hint="default" w:ascii="黑体" w:hAnsi="黑体" w:eastAsia="黑体" w:cs="黑体"/>
          <w:b/>
          <w:bCs/>
          <w:spacing w:val="-15"/>
          <w:sz w:val="31"/>
          <w:szCs w:val="31"/>
        </w:rPr>
        <w:t>一、项目基本情况</w:t>
      </w:r>
    </w:p>
    <w:p w14:paraId="7AE2EEE8">
      <w:pPr>
        <w:pStyle w:val="5"/>
        <w:keepNext w:val="0"/>
        <w:keepLines w:val="0"/>
        <w:pageBreakBefore w:val="0"/>
        <w:widowControl/>
        <w:wordWrap/>
        <w:overflowPunct/>
        <w:topLinePunct w:val="0"/>
        <w:bidi w:val="0"/>
        <w:spacing w:before="0" w:beforeAutospacing="0" w:after="0" w:afterAutospacing="0" w:line="560" w:lineRule="exact"/>
        <w:ind w:firstLine="480"/>
        <w:rPr>
          <w:rFonts w:hint="default" w:ascii="黑体" w:hAnsi="黑体" w:eastAsia="黑体" w:cs="黑体"/>
          <w:b/>
          <w:bCs/>
          <w:snapToGrid w:val="0"/>
          <w:color w:val="000000"/>
          <w:spacing w:val="-15"/>
          <w:kern w:val="0"/>
          <w:sz w:val="31"/>
          <w:szCs w:val="31"/>
          <w:lang w:val="en-US" w:eastAsia="en-US" w:bidi="ar-SA"/>
        </w:rPr>
      </w:pPr>
      <w:r>
        <w:rPr>
          <w:rFonts w:hint="default" w:ascii="黑体" w:hAnsi="黑体" w:eastAsia="黑体" w:cs="黑体"/>
          <w:b/>
          <w:bCs/>
          <w:snapToGrid w:val="0"/>
          <w:color w:val="000000"/>
          <w:spacing w:val="-15"/>
          <w:kern w:val="0"/>
          <w:sz w:val="31"/>
          <w:szCs w:val="31"/>
          <w:lang w:val="en-US" w:eastAsia="zh-CN" w:bidi="ar-SA"/>
        </w:rPr>
        <w:t>（一）</w:t>
      </w:r>
      <w:r>
        <w:rPr>
          <w:rFonts w:hint="default" w:ascii="黑体" w:hAnsi="黑体" w:eastAsia="黑体" w:cs="黑体"/>
          <w:b/>
          <w:bCs/>
          <w:snapToGrid w:val="0"/>
          <w:color w:val="000000"/>
          <w:spacing w:val="-15"/>
          <w:kern w:val="0"/>
          <w:sz w:val="31"/>
          <w:szCs w:val="31"/>
          <w:lang w:val="en-US" w:eastAsia="en-US" w:bidi="ar-SA"/>
        </w:rPr>
        <w:t>项目立项依据</w:t>
      </w:r>
    </w:p>
    <w:p w14:paraId="31B58D90">
      <w:pPr>
        <w:pStyle w:val="5"/>
        <w:keepNext w:val="0"/>
        <w:keepLines w:val="0"/>
        <w:pageBreakBefore w:val="0"/>
        <w:widowControl/>
        <w:wordWrap/>
        <w:overflowPunct/>
        <w:topLinePunct w:val="0"/>
        <w:bidi w:val="0"/>
        <w:spacing w:before="0" w:beforeAutospacing="0" w:after="0" w:afterAutospacing="0"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本项目依据</w:t>
      </w:r>
      <w:r>
        <w:rPr>
          <w:rFonts w:hint="default" w:ascii="Times New Roman" w:hAnsi="Times New Roman" w:eastAsia="仿宋" w:cs="Times New Roman"/>
          <w:sz w:val="32"/>
          <w:szCs w:val="32"/>
          <w:lang w:val="en-US" w:eastAsia="zh-CN"/>
        </w:rPr>
        <w:t>食品</w:t>
      </w:r>
      <w:r>
        <w:rPr>
          <w:rFonts w:hint="default" w:ascii="Times New Roman" w:hAnsi="Times New Roman" w:eastAsia="仿宋" w:cs="Times New Roman"/>
          <w:sz w:val="32"/>
          <w:szCs w:val="32"/>
        </w:rPr>
        <w:t>监管相关法律法规设立。市委、市政府高度重视，严格按照习总书记关于食品安全“四个最严”要求，始终把食品安全工作放在第一位，把省级食品安全示范县（市）当做民生实事来推进，通过示范创建，全面提升汨罗市的食品安全水平。</w:t>
      </w:r>
    </w:p>
    <w:p w14:paraId="2C600C45">
      <w:pPr>
        <w:pStyle w:val="5"/>
        <w:keepNext w:val="0"/>
        <w:keepLines w:val="0"/>
        <w:pageBreakBefore w:val="0"/>
        <w:widowControl/>
        <w:shd w:val="clear" w:color="auto" w:fill="FFFFFF"/>
        <w:wordWrap/>
        <w:overflowPunct/>
        <w:topLinePunct w:val="0"/>
        <w:bidi w:val="0"/>
        <w:spacing w:before="0" w:beforeAutospacing="0" w:after="0" w:afterAutospacing="0" w:line="560" w:lineRule="exact"/>
        <w:ind w:firstLine="480"/>
        <w:rPr>
          <w:rFonts w:hint="default" w:ascii="黑体" w:hAnsi="黑体" w:eastAsia="黑体" w:cs="黑体"/>
          <w:b/>
          <w:bCs/>
          <w:snapToGrid w:val="0"/>
          <w:color w:val="000000"/>
          <w:spacing w:val="-15"/>
          <w:kern w:val="0"/>
          <w:sz w:val="31"/>
          <w:szCs w:val="31"/>
          <w:lang w:val="en-US" w:eastAsia="zh-CN" w:bidi="ar-SA"/>
        </w:rPr>
      </w:pPr>
      <w:r>
        <w:rPr>
          <w:rFonts w:hint="default" w:ascii="黑体" w:hAnsi="黑体" w:eastAsia="黑体" w:cs="黑体"/>
          <w:b/>
          <w:bCs/>
          <w:snapToGrid w:val="0"/>
          <w:color w:val="000000"/>
          <w:spacing w:val="-15"/>
          <w:kern w:val="0"/>
          <w:sz w:val="31"/>
          <w:szCs w:val="31"/>
          <w:lang w:val="en-US" w:eastAsia="zh-CN" w:bidi="ar-SA"/>
        </w:rPr>
        <w:t>（二）项目绩效目标</w:t>
      </w:r>
    </w:p>
    <w:p w14:paraId="35249407">
      <w:pPr>
        <w:pStyle w:val="5"/>
        <w:keepNext w:val="0"/>
        <w:keepLines w:val="0"/>
        <w:pageBreakBefore w:val="0"/>
        <w:widowControl/>
        <w:wordWrap/>
        <w:overflowPunct/>
        <w:topLinePunct w:val="0"/>
        <w:bidi w:val="0"/>
        <w:spacing w:before="0" w:beforeAutospacing="0" w:after="0" w:afterAutospacing="0" w:line="56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创建省级食品安全示范县(市）专项资金绩效</w:t>
      </w:r>
      <w:r>
        <w:rPr>
          <w:rFonts w:hint="default" w:ascii="Times New Roman" w:hAnsi="Times New Roman" w:eastAsia="仿宋" w:cs="Times New Roman"/>
          <w:sz w:val="32"/>
          <w:szCs w:val="32"/>
        </w:rPr>
        <w:t>目标为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全力推进省级食品安全示范县创建宣传工作（创建细则要求食品安全群众满意度和示范县创建知晓率达75%以上）；2.加大食品和食用农产品的抽检率（每年抽检量不低于4批次/千人，其中针对农药兽药残留额食品抽检量每年不低于2批次/千人）；3.加强基层市监所标准化建设；4.村级食品安全协管员发放到位、加强食品安全协管员开展食品安全知识培训；5.推进学校、大型酒店、大型餐饮的“互联网+明厨亮灶”建设及食品相关人员培训；6.加强农村集体聚餐管理及农村集体聚餐厨师培训和管理；7.加强推进农贸市场、大型商超的快检中心的建设和食品检测中心建设；8.推进学校、食品相关企业、农村集体聚餐食品安全责任险的普及；9.示范县创建其他日常工作。</w:t>
      </w:r>
    </w:p>
    <w:p w14:paraId="66D99BE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hint="default" w:ascii="黑体" w:hAnsi="黑体" w:eastAsia="黑体" w:cs="黑体"/>
          <w:b/>
          <w:bCs/>
          <w:spacing w:val="-15"/>
          <w:sz w:val="31"/>
          <w:szCs w:val="31"/>
          <w:lang w:val="en-US" w:eastAsia="zh-CN"/>
        </w:rPr>
      </w:pPr>
      <w:r>
        <w:rPr>
          <w:rFonts w:hint="default" w:ascii="黑体" w:hAnsi="黑体" w:eastAsia="黑体" w:cs="黑体"/>
          <w:b/>
          <w:bCs/>
          <w:spacing w:val="-15"/>
          <w:sz w:val="31"/>
          <w:szCs w:val="31"/>
          <w:lang w:val="en-US" w:eastAsia="zh-CN"/>
        </w:rPr>
        <w:t>项目管理和使用情况</w:t>
      </w:r>
    </w:p>
    <w:p w14:paraId="1A2989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一）专项经费管理措施、制度建设情况。我局对于批复到位的经费，根据工作任务需要，统一管理核算。每年年初为保障项目经费的专款专用和及时到位，发挥好资金使用效率，制定财务制度，对专项经费专门列项，</w:t>
      </w:r>
      <w:r>
        <w:rPr>
          <w:rFonts w:hint="default" w:ascii="Times New Roman" w:hAnsi="Times New Roman" w:eastAsia="仿宋" w:cs="Times New Roman"/>
          <w:color w:val="000000"/>
          <w:sz w:val="32"/>
          <w:szCs w:val="32"/>
        </w:rPr>
        <w:t>专题研究，专项预算，专项审批，专项开支。</w:t>
      </w:r>
    </w:p>
    <w:p w14:paraId="63CA42F5">
      <w:pPr>
        <w:keepNext w:val="0"/>
        <w:keepLines w:val="0"/>
        <w:pageBreakBefore w:val="0"/>
        <w:widowControl/>
        <w:shd w:val="solid" w:color="FFFFFF" w:fill="auto"/>
        <w:wordWrap/>
        <w:overflowPunct/>
        <w:topLinePunct w:val="0"/>
        <w:autoSpaceDN w:val="0"/>
        <w:bidi w:val="0"/>
        <w:spacing w:line="560" w:lineRule="exact"/>
        <w:ind w:firstLine="640" w:firstLineChars="200"/>
        <w:rPr>
          <w:rFonts w:hint="eastAsia"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rPr>
        <w:t>（二）专项经费使用流程及监督检查情况。每一笔经费在核定的支出限额和支出范围内实行据实凭票报账制；严格财务程序，强化报销环节管理，认真落实经办人、经费使用单位负责人、财务管理人员责任，确保了经费支出的合规、到位。同时，严格监督专项经费专款专用，并通过党政负责人会议、工作群等不同形式，进行定期公开，确保了专项经费收支公开、透明</w:t>
      </w:r>
      <w:r>
        <w:rPr>
          <w:rFonts w:hint="eastAsia" w:ascii="Times New Roman" w:hAnsi="Times New Roman" w:eastAsia="仿宋" w:cs="Times New Roman"/>
          <w:sz w:val="32"/>
          <w:szCs w:val="32"/>
          <w:shd w:val="clear" w:color="auto" w:fill="FFFFFF"/>
          <w:lang w:eastAsia="zh-CN"/>
        </w:rPr>
        <w:t>。</w:t>
      </w:r>
    </w:p>
    <w:p w14:paraId="16770125">
      <w:pPr>
        <w:keepNext w:val="0"/>
        <w:keepLines w:val="0"/>
        <w:pageBreakBefore w:val="0"/>
        <w:widowControl/>
        <w:shd w:val="solid" w:color="FFFFFF" w:fill="auto"/>
        <w:wordWrap/>
        <w:overflowPunct/>
        <w:topLinePunct w:val="0"/>
        <w:autoSpaceDN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（三）管理和使用情况</w:t>
      </w:r>
    </w:p>
    <w:p w14:paraId="4FFC2AE0">
      <w:pPr>
        <w:pStyle w:val="5"/>
        <w:keepNext w:val="0"/>
        <w:keepLines w:val="0"/>
        <w:pageBreakBefore w:val="0"/>
        <w:widowControl/>
        <w:wordWrap/>
        <w:overflowPunct/>
        <w:topLinePunct w:val="0"/>
        <w:bidi w:val="0"/>
        <w:spacing w:before="0" w:beforeAutospacing="0" w:after="0" w:afterAutospacing="0" w:line="560" w:lineRule="exact"/>
        <w:ind w:firstLine="707" w:firstLineChars="221"/>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23</w:t>
      </w:r>
      <w:r>
        <w:rPr>
          <w:rFonts w:hint="default" w:ascii="Times New Roman" w:hAnsi="Times New Roman" w:eastAsia="仿宋" w:cs="Times New Roman"/>
          <w:sz w:val="32"/>
          <w:szCs w:val="32"/>
        </w:rPr>
        <w:t>年度结合本局的实际情况，对照专项绩效预算目标要求，严格按照财务制度的规定，合理使用</w:t>
      </w:r>
      <w:r>
        <w:rPr>
          <w:rFonts w:hint="default" w:ascii="Times New Roman" w:hAnsi="Times New Roman" w:eastAsia="仿宋" w:cs="Times New Roman"/>
          <w:sz w:val="32"/>
          <w:szCs w:val="32"/>
          <w:lang w:val="en-US" w:eastAsia="zh-CN"/>
        </w:rPr>
        <w:t>创建省级食品安全示范县(市）专项资金。</w:t>
      </w:r>
    </w:p>
    <w:p w14:paraId="2EFE914F">
      <w:pPr>
        <w:pStyle w:val="5"/>
        <w:keepNext w:val="0"/>
        <w:keepLines w:val="0"/>
        <w:pageBreakBefore w:val="0"/>
        <w:widowControl/>
        <w:wordWrap/>
        <w:overflowPunct/>
        <w:topLinePunct w:val="0"/>
        <w:bidi w:val="0"/>
        <w:spacing w:before="0" w:beforeAutospacing="0" w:after="0" w:afterAutospacing="0"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创建省级食品安全示范县(市）专项</w:t>
      </w:r>
      <w:r>
        <w:rPr>
          <w:rFonts w:hint="default" w:ascii="Times New Roman" w:hAnsi="Times New Roman" w:eastAsia="仿宋" w:cs="Times New Roman"/>
          <w:sz w:val="32"/>
          <w:szCs w:val="32"/>
        </w:rPr>
        <w:t>资金为</w:t>
      </w:r>
      <w:r>
        <w:rPr>
          <w:rFonts w:hint="default" w:ascii="Times New Roman" w:hAnsi="Times New Roman" w:eastAsia="仿宋" w:cs="Times New Roman"/>
          <w:sz w:val="32"/>
          <w:szCs w:val="32"/>
          <w:lang w:val="en-US" w:eastAsia="zh-CN"/>
        </w:rPr>
        <w:t>123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资金分配</w:t>
      </w:r>
      <w:r>
        <w:rPr>
          <w:rFonts w:hint="default" w:ascii="Times New Roman" w:hAnsi="Times New Roman" w:eastAsia="仿宋" w:cs="Times New Roman"/>
          <w:sz w:val="32"/>
          <w:szCs w:val="32"/>
        </w:rPr>
        <w:t>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全力推进省级食品安全示范县创建宣传工作；2.加大食品和食用农产品的抽检率；3.加强基层市监所标准化建设；4.村级食品安全协管员发放到位、加强食品安全协管员开展食品安全知识培训；5.推进学校、大型酒店、大型餐饮的“互联网+明厨亮灶”建设及食品相关人员培训；6.加强农村集体聚餐管理及农村集体聚餐厨师培训和管理；7.加强推进农贸市场、大型商超的快检中心的建设和食品检测中心建设；8.推进学校、食品相关企业、农村集体聚餐食品安全责任险的普及；9.示范县创建其他日常工作。</w:t>
      </w:r>
      <w:r>
        <w:rPr>
          <w:rFonts w:hint="default" w:ascii="Times New Roman" w:hAnsi="Times New Roman" w:eastAsia="仿宋" w:cs="Times New Roman"/>
          <w:sz w:val="32"/>
          <w:szCs w:val="32"/>
        </w:rPr>
        <w:t>资金已全部下达。</w:t>
      </w:r>
    </w:p>
    <w:p w14:paraId="17DBE86C">
      <w:pPr>
        <w:keepNext w:val="0"/>
        <w:keepLines w:val="0"/>
        <w:pageBreakBefore w:val="0"/>
        <w:widowControl/>
        <w:wordWrap/>
        <w:overflowPunct/>
        <w:topLinePunct w:val="0"/>
        <w:bidi w:val="0"/>
        <w:spacing w:line="56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sz w:val="32"/>
          <w:szCs w:val="32"/>
        </w:rPr>
        <w:t>上述资金已全部按专项要求足额支出。主要是用于</w:t>
      </w:r>
      <w:r>
        <w:rPr>
          <w:rFonts w:hint="default" w:ascii="Times New Roman" w:hAnsi="Times New Roman" w:eastAsia="仿宋" w:cs="Times New Roman"/>
          <w:color w:val="000000"/>
          <w:sz w:val="32"/>
          <w:szCs w:val="32"/>
          <w:lang w:eastAsia="zh-CN"/>
        </w:rPr>
        <w:t>推进</w:t>
      </w:r>
      <w:r>
        <w:rPr>
          <w:rFonts w:hint="default" w:ascii="Times New Roman" w:hAnsi="Times New Roman" w:eastAsia="仿宋" w:cs="Times New Roman"/>
          <w:sz w:val="32"/>
          <w:szCs w:val="32"/>
          <w:lang w:val="en-US" w:eastAsia="zh-CN"/>
        </w:rPr>
        <w:t>省级食品安全示范县创建宣传工作</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sz w:val="32"/>
          <w:szCs w:val="32"/>
          <w:lang w:val="en-US" w:eastAsia="zh-CN"/>
        </w:rPr>
        <w:t>加大食品和食用农产品的抽检率、加强基层市监所标准化建设、加强食品安全协管员开展食品安全知识培训、推进学校、大型酒店、大型餐饮的“互联网+明厨亮灶”建设及食品相关人员培训、加强农村集体聚餐管理及农村集体聚餐厨师培训和管理、加强推进农贸市场、大型商超的快检中心的建设和食品检测中心建设、推进学校、食品相关企业、农村集体聚餐食品安全责任险的普及、示范县创建其他日常工作</w:t>
      </w:r>
      <w:r>
        <w:rPr>
          <w:rFonts w:hint="default" w:ascii="Times New Roman" w:hAnsi="Times New Roman" w:eastAsia="仿宋" w:cs="Times New Roman"/>
          <w:color w:val="000000"/>
          <w:sz w:val="32"/>
          <w:szCs w:val="32"/>
          <w:lang w:val="en-US" w:eastAsia="zh-CN"/>
        </w:rPr>
        <w:t>经费</w:t>
      </w:r>
      <w:r>
        <w:rPr>
          <w:rFonts w:hint="default" w:ascii="Times New Roman" w:hAnsi="Times New Roman" w:eastAsia="仿宋" w:cs="Times New Roman"/>
          <w:color w:val="000000"/>
          <w:sz w:val="32"/>
          <w:szCs w:val="32"/>
        </w:rPr>
        <w:t>支出</w:t>
      </w:r>
      <w:r>
        <w:rPr>
          <w:rFonts w:hint="default" w:ascii="Times New Roman" w:hAnsi="Times New Roman" w:eastAsia="仿宋" w:cs="Times New Roman"/>
          <w:color w:val="000000"/>
          <w:kern w:val="0"/>
          <w:sz w:val="32"/>
          <w:szCs w:val="32"/>
        </w:rPr>
        <w:t>。</w:t>
      </w:r>
    </w:p>
    <w:p w14:paraId="5F71B8C4">
      <w:pPr>
        <w:pStyle w:val="5"/>
        <w:keepNext w:val="0"/>
        <w:keepLines w:val="0"/>
        <w:pageBreakBefore w:val="0"/>
        <w:widowControl/>
        <w:numPr>
          <w:ilvl w:val="0"/>
          <w:numId w:val="3"/>
        </w:numPr>
        <w:wordWrap/>
        <w:overflowPunct/>
        <w:topLinePunct w:val="0"/>
        <w:bidi w:val="0"/>
        <w:spacing w:before="0" w:beforeAutospacing="0" w:after="0" w:afterAutospacing="0" w:line="560" w:lineRule="exact"/>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工作</w:t>
      </w:r>
      <w:r>
        <w:rPr>
          <w:rFonts w:hint="default" w:ascii="Times New Roman" w:hAnsi="Times New Roman" w:eastAsia="仿宋" w:cs="Times New Roman"/>
          <w:sz w:val="32"/>
          <w:szCs w:val="32"/>
        </w:rPr>
        <w:t>完成情况</w:t>
      </w:r>
    </w:p>
    <w:p w14:paraId="1E6DAF99">
      <w:pPr>
        <w:pStyle w:val="2"/>
        <w:keepNext w:val="0"/>
        <w:keepLines w:val="0"/>
        <w:pageBreakBefore w:val="0"/>
        <w:widowControl/>
        <w:numPr>
          <w:ilvl w:val="0"/>
          <w:numId w:val="0"/>
        </w:numPr>
        <w:wordWrap/>
        <w:overflowPunct/>
        <w:topLinePunct w:val="0"/>
        <w:bidi w:val="0"/>
        <w:spacing w:line="560" w:lineRule="exact"/>
        <w:ind w:firstLine="640" w:firstLineChars="200"/>
        <w:rPr>
          <w:rFonts w:hint="default" w:ascii="Times New Roman" w:hAnsi="Times New Roman" w:eastAsia="仿宋" w:cs="Times New Roman"/>
          <w:color w:val="000000"/>
          <w:kern w:val="0"/>
          <w:sz w:val="32"/>
          <w:szCs w:val="32"/>
          <w:lang w:val="en-US" w:eastAsia="zh-CN" w:bidi="ar-SA"/>
        </w:rPr>
      </w:pPr>
      <w:r>
        <w:rPr>
          <w:rFonts w:hint="eastAsia" w:ascii="Times New Roman" w:hAnsi="Times New Roman" w:cs="Times New Roman"/>
          <w:color w:val="000000"/>
          <w:kern w:val="0"/>
          <w:sz w:val="32"/>
          <w:szCs w:val="32"/>
          <w:lang w:val="en-US" w:eastAsia="zh-CN" w:bidi="ar-SA"/>
        </w:rPr>
        <w:t>1、</w:t>
      </w:r>
      <w:r>
        <w:rPr>
          <w:rFonts w:hint="default" w:ascii="Times New Roman" w:hAnsi="Times New Roman" w:eastAsia="仿宋" w:cs="Times New Roman"/>
          <w:color w:val="000000"/>
          <w:kern w:val="0"/>
          <w:sz w:val="32"/>
          <w:szCs w:val="32"/>
          <w:lang w:val="en-US" w:eastAsia="zh-CN" w:bidi="ar-SA"/>
        </w:rPr>
        <w:t>加强共建共治，浓厚创建氛围。通过门户网站、短视频、微信公众号、宣传海报、手册、横幅等媒介，广泛开展食品安全“五进”宣传工作，加强创建宣贯力度，不断提升民众食品安全满意度和创建知晓率；5月18日市食安办联合桃林寺镇人民政府承办2023年岳阳市（汨罗）预防野生蘑菇中毒暨反食品浪费宣传活动，岳阳市食安办副主任、市市场监管局副局长张忠出席并宣布活动正式启动。活动现场，工作人员通过悬挂横幅、播放宣传片、摆放宣传展板、设置咨询台、发放湖南常见毒蘑菇中毒防止手册等方式，用通俗易懂的语言，向前来咨询的群众耐心讲解毒蘑菇中毒预防相关知识。同时，通过在制止餐饮浪费行动展板上承诺签字，引导群众文明节约就餐、使用“公筷公勺”、践行“光盘行动”，不忘锄禾苦，杜绝奢靡风；9月27日，由市市场监管局、公安局、教体局、工信局、卫健局、农业农村局、林业局、城管局、商务粮食局等9家食安委成员单位联合开展汨罗市2023年“食品安全宣传周”活动暨2023年全国科普日活动，现场悬挂宣传横幅，摆放宣传展板，发放宣传册，宣传厉行节约、践行绿色消费、防止毒蘑菇中毒、共建食品安全示范县市等知识，营造浓厚的食品安全宣传氛围。</w:t>
      </w:r>
    </w:p>
    <w:p w14:paraId="1FC9A03E">
      <w:pPr>
        <w:keepNext w:val="0"/>
        <w:keepLines w:val="0"/>
        <w:pageBreakBefore w:val="0"/>
        <w:widowControl/>
        <w:numPr>
          <w:ilvl w:val="0"/>
          <w:numId w:val="0"/>
        </w:numPr>
        <w:wordWrap/>
        <w:overflowPunct/>
        <w:topLinePunct w:val="0"/>
        <w:bidi w:val="0"/>
        <w:spacing w:line="560" w:lineRule="exact"/>
        <w:ind w:firstLine="640" w:firstLineChars="200"/>
        <w:rPr>
          <w:rFonts w:hint="default" w:ascii="Times New Roman" w:hAnsi="Times New Roman" w:eastAsia="仿宋" w:cs="Times New Roman"/>
          <w:color w:val="000000"/>
          <w:kern w:val="0"/>
          <w:sz w:val="32"/>
          <w:szCs w:val="32"/>
          <w:lang w:val="en-US" w:eastAsia="zh-CN" w:bidi="ar-SA"/>
        </w:rPr>
      </w:pPr>
      <w:r>
        <w:rPr>
          <w:rFonts w:hint="eastAsia" w:ascii="Times New Roman" w:hAnsi="Times New Roman" w:eastAsia="仿宋" w:cs="Times New Roman"/>
          <w:b w:val="0"/>
          <w:bCs w:val="0"/>
          <w:sz w:val="32"/>
          <w:szCs w:val="32"/>
          <w:lang w:val="en-US" w:eastAsia="zh-CN"/>
        </w:rPr>
        <w:t>2、</w:t>
      </w:r>
      <w:r>
        <w:rPr>
          <w:rFonts w:hint="default" w:ascii="Times New Roman" w:hAnsi="Times New Roman" w:eastAsia="仿宋" w:cs="Times New Roman"/>
          <w:b w:val="0"/>
          <w:bCs w:val="0"/>
          <w:sz w:val="32"/>
          <w:szCs w:val="32"/>
          <w:lang w:eastAsia="zh-CN"/>
        </w:rPr>
        <w:t>食品抽检落实有力。</w:t>
      </w:r>
      <w:r>
        <w:rPr>
          <w:rFonts w:hint="default" w:ascii="Times New Roman" w:hAnsi="Times New Roman" w:eastAsia="仿宋" w:cs="Times New Roman"/>
          <w:sz w:val="32"/>
          <w:szCs w:val="32"/>
          <w:lang w:eastAsia="zh-CN"/>
        </w:rPr>
        <w:t>坚持问题导向，高度重视食品安全监督抽检工作，按照</w:t>
      </w:r>
      <w:r>
        <w:rPr>
          <w:rFonts w:hint="default" w:ascii="Times New Roman" w:hAnsi="Times New Roman" w:eastAsia="仿宋" w:cs="Times New Roman"/>
          <w:color w:val="000000"/>
          <w:kern w:val="0"/>
          <w:sz w:val="32"/>
          <w:szCs w:val="32"/>
          <w:lang w:val="en-US" w:eastAsia="zh-CN" w:bidi="ar-SA"/>
        </w:rPr>
        <w:t>年初的抽检计划制定具体工作实施方案，均衡安排抽检任务。2023年计划食品监督抽检2000批次，其中食品1300批次农产品700批次。截止十月底共计完成食品抽样1300批次，检验完成1300批次，不合格食品20批次，农产品抽样完成700批次，检验完成700批次。不合格11批次。</w:t>
      </w:r>
    </w:p>
    <w:p w14:paraId="1657AD77">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sz w:val="32"/>
          <w:szCs w:val="32"/>
          <w:u w:val="none"/>
        </w:rPr>
      </w:pPr>
      <w:r>
        <w:rPr>
          <w:rFonts w:hint="eastAsia" w:ascii="Times New Roman" w:hAnsi="Times New Roman" w:eastAsia="仿宋" w:cs="Times New Roman"/>
          <w:b w:val="0"/>
          <w:bCs w:val="0"/>
          <w:sz w:val="32"/>
          <w:szCs w:val="32"/>
          <w:lang w:val="en-US" w:eastAsia="zh-CN"/>
        </w:rPr>
        <w:t>3、</w:t>
      </w:r>
      <w:r>
        <w:rPr>
          <w:rFonts w:hint="default" w:ascii="Times New Roman" w:hAnsi="Times New Roman" w:eastAsia="仿宋" w:cs="Times New Roman"/>
          <w:b w:val="0"/>
          <w:bCs w:val="0"/>
          <w:sz w:val="32"/>
          <w:szCs w:val="32"/>
        </w:rPr>
        <w:t>“两化建设”用心抓。</w:t>
      </w:r>
      <w:r>
        <w:rPr>
          <w:rFonts w:hint="default" w:ascii="Times New Roman" w:hAnsi="Times New Roman" w:eastAsia="仿宋" w:cs="Times New Roman"/>
          <w:sz w:val="32"/>
          <w:szCs w:val="32"/>
        </w:rPr>
        <w:t>多方筹集资金</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00余万元，完成弼时、新市、罗城、桃林、大荆、白水、长乐7个基层所标准化规范化建</w:t>
      </w:r>
      <w:r>
        <w:rPr>
          <w:rFonts w:hint="default" w:ascii="Times New Roman" w:hAnsi="Times New Roman" w:eastAsia="仿宋" w:cs="Times New Roman"/>
          <w:sz w:val="32"/>
          <w:szCs w:val="32"/>
          <w:u w:val="none"/>
        </w:rPr>
        <w:t>设，弼时所获评岳阳唯一的全国“五星市场监管所”，岳阳市市场监管所标准化规范化建设现场会在汨罗召开，获得市局党组高度评价。</w:t>
      </w:r>
    </w:p>
    <w:p w14:paraId="10345850">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sz w:val="32"/>
          <w:szCs w:val="32"/>
          <w:u w:val="none"/>
        </w:rPr>
      </w:pPr>
      <w:r>
        <w:rPr>
          <w:rFonts w:hint="eastAsia" w:ascii="Times New Roman" w:hAnsi="Times New Roman" w:eastAsia="仿宋" w:cs="Times New Roman"/>
          <w:color w:val="000000"/>
          <w:kern w:val="2"/>
          <w:sz w:val="32"/>
          <w:szCs w:val="32"/>
          <w:lang w:val="en-US" w:eastAsia="zh-CN" w:bidi="ar-SA"/>
        </w:rPr>
        <w:t>4、</w:t>
      </w:r>
      <w:r>
        <w:rPr>
          <w:rFonts w:hint="default" w:ascii="Times New Roman" w:hAnsi="Times New Roman" w:eastAsia="仿宋" w:cs="Times New Roman"/>
          <w:color w:val="000000"/>
          <w:kern w:val="2"/>
          <w:sz w:val="32"/>
          <w:szCs w:val="32"/>
          <w:lang w:val="en-US" w:eastAsia="zh-CN" w:bidi="ar-SA"/>
        </w:rPr>
        <w:t>全市15个乡镇均设立了食品安全领导小组，安排了专职分管领导，设立了食安办，做到了“有场地、有人员、有设备、有制度、有档案”。同时建立了镇、村、组三级监管人员队伍并开展</w:t>
      </w:r>
      <w:r>
        <w:rPr>
          <w:rFonts w:hint="default" w:ascii="Times New Roman" w:hAnsi="Times New Roman" w:eastAsia="仿宋" w:cs="Times New Roman"/>
          <w:sz w:val="32"/>
          <w:szCs w:val="32"/>
          <w:lang w:val="en-US" w:eastAsia="zh-CN"/>
        </w:rPr>
        <w:t>食品安全知识培训。</w:t>
      </w:r>
    </w:p>
    <w:p w14:paraId="3A325D7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sz w:val="32"/>
          <w:szCs w:val="32"/>
          <w:u w:val="none"/>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新建3所学校食堂竣工投入使用，</w:t>
      </w:r>
      <w:r>
        <w:rPr>
          <w:rFonts w:hint="default" w:ascii="Times New Roman" w:hAnsi="Times New Roman" w:eastAsia="仿宋" w:cs="Times New Roman"/>
          <w:sz w:val="32"/>
          <w:szCs w:val="32"/>
          <w:lang w:eastAsia="zh-CN"/>
        </w:rPr>
        <w:t>提质改造学校食堂</w:t>
      </w:r>
      <w:r>
        <w:rPr>
          <w:rFonts w:hint="default" w:ascii="Times New Roman" w:hAnsi="Times New Roman" w:eastAsia="仿宋" w:cs="Times New Roman"/>
          <w:sz w:val="32"/>
          <w:szCs w:val="32"/>
        </w:rPr>
        <w:t xml:space="preserve"> 2所。全市</w:t>
      </w:r>
      <w:r>
        <w:rPr>
          <w:rFonts w:hint="default" w:ascii="Times New Roman" w:hAnsi="Times New Roman" w:eastAsia="仿宋" w:cs="Times New Roman"/>
          <w:sz w:val="32"/>
          <w:szCs w:val="32"/>
          <w:lang w:val="en-US" w:eastAsia="zh-CN"/>
        </w:rPr>
        <w:t>176家</w:t>
      </w:r>
      <w:r>
        <w:rPr>
          <w:rFonts w:hint="default" w:ascii="Times New Roman" w:hAnsi="Times New Roman" w:eastAsia="仿宋" w:cs="Times New Roman"/>
          <w:sz w:val="32"/>
          <w:szCs w:val="32"/>
        </w:rPr>
        <w:t>学校食堂消灭柴火灶，“互联网+明厨亮灶”覆盖率达100%，大力开展校园商店整治，</w:t>
      </w:r>
      <w:r>
        <w:rPr>
          <w:rFonts w:hint="default" w:ascii="Times New Roman" w:hAnsi="Times New Roman" w:eastAsia="仿宋" w:cs="Times New Roman"/>
          <w:sz w:val="32"/>
          <w:szCs w:val="32"/>
          <w:lang w:eastAsia="zh-CN"/>
        </w:rPr>
        <w:t>截止目前</w:t>
      </w:r>
      <w:r>
        <w:rPr>
          <w:rFonts w:hint="default" w:ascii="Times New Roman" w:hAnsi="Times New Roman" w:eastAsia="仿宋" w:cs="Times New Roman"/>
          <w:sz w:val="32"/>
          <w:szCs w:val="32"/>
        </w:rPr>
        <w:t>，全市非寄宿制学校均未设立商店（超市）。加强饮用水安全管理，对学校自备水源（井水）、直饮水进行全面检测，整改安全隐患。</w:t>
      </w:r>
    </w:p>
    <w:p w14:paraId="3B28D4C6">
      <w:pPr>
        <w:keepNext w:val="0"/>
        <w:keepLines w:val="0"/>
        <w:pageBreakBefore w:val="0"/>
        <w:widowControl/>
        <w:wordWrap/>
        <w:overflowPunct/>
        <w:topLinePunct w:val="0"/>
        <w:bidi w:val="0"/>
        <w:spacing w:line="560" w:lineRule="exact"/>
        <w:ind w:firstLine="552"/>
        <w:jc w:val="both"/>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eastAsia="仿宋" w:cs="Times New Roman"/>
          <w:sz w:val="32"/>
          <w:szCs w:val="32"/>
          <w:lang w:val="en-US" w:eastAsia="zh-CN"/>
        </w:rPr>
        <w:t>全力推进食品安全责任保险参保工作。印发《关于进一步加强农村集体聚餐食品安全责任保险工作的通知》，在全市范围内全面开展食品安全责任保险推行工作，截止目前，已实现全市15个镇食品安全责任险全覆盖，全市学校（幼儿园）共8.7万名师生购买食品安全责任险。</w:t>
      </w:r>
    </w:p>
    <w:p w14:paraId="722EEE22">
      <w:pPr>
        <w:spacing w:line="267" w:lineRule="auto"/>
        <w:ind w:firstLine="552"/>
        <w:jc w:val="both"/>
        <w:rPr>
          <w:rFonts w:hint="default" w:ascii="Times New Roman" w:hAnsi="Times New Roman" w:eastAsia="仿宋" w:cs="Times New Roman"/>
          <w:sz w:val="32"/>
          <w:szCs w:val="32"/>
          <w:lang w:val="en-US" w:eastAsia="zh-CN"/>
        </w:rPr>
      </w:pPr>
    </w:p>
    <w:p w14:paraId="6CBEE57C">
      <w:pPr>
        <w:spacing w:line="267" w:lineRule="auto"/>
        <w:ind w:firstLine="552"/>
        <w:jc w:val="both"/>
        <w:rPr>
          <w:rFonts w:hint="eastAsia" w:ascii="宋体" w:hAnsi="宋体" w:eastAsia="宋体" w:cs="宋体"/>
          <w:bCs/>
          <w:spacing w:val="-4"/>
          <w:kern w:val="0"/>
          <w:sz w:val="28"/>
          <w:szCs w:val="28"/>
          <w:lang w:eastAsia="zh-CN"/>
        </w:rPr>
      </w:pPr>
    </w:p>
    <w:p w14:paraId="2D88132D">
      <w:pPr>
        <w:spacing w:line="267" w:lineRule="auto"/>
        <w:ind w:firstLine="552"/>
        <w:jc w:val="both"/>
        <w:rPr>
          <w:rFonts w:hint="eastAsia" w:ascii="宋体" w:hAnsi="宋体" w:eastAsia="宋体" w:cs="宋体"/>
          <w:bCs/>
          <w:spacing w:val="-4"/>
          <w:kern w:val="0"/>
          <w:sz w:val="28"/>
          <w:szCs w:val="28"/>
          <w:lang w:eastAsia="zh-CN"/>
        </w:rPr>
      </w:pPr>
    </w:p>
    <w:p w14:paraId="7EB4FB40">
      <w:pPr>
        <w:spacing w:line="267" w:lineRule="auto"/>
        <w:ind w:firstLine="552"/>
        <w:jc w:val="both"/>
        <w:rPr>
          <w:rFonts w:hint="eastAsia" w:ascii="宋体" w:hAnsi="宋体" w:eastAsia="宋体" w:cs="宋体"/>
          <w:bCs/>
          <w:spacing w:val="-4"/>
          <w:kern w:val="0"/>
          <w:sz w:val="28"/>
          <w:szCs w:val="28"/>
          <w:lang w:eastAsia="zh-CN"/>
        </w:rPr>
      </w:pPr>
    </w:p>
    <w:p w14:paraId="4FA6A1B3">
      <w:pPr>
        <w:spacing w:line="267" w:lineRule="auto"/>
        <w:ind w:firstLine="552"/>
        <w:jc w:val="both"/>
        <w:rPr>
          <w:rFonts w:hint="eastAsia" w:ascii="宋体" w:hAnsi="宋体" w:eastAsia="宋体" w:cs="宋体"/>
          <w:bCs/>
          <w:spacing w:val="-4"/>
          <w:kern w:val="0"/>
          <w:sz w:val="28"/>
          <w:szCs w:val="28"/>
          <w:lang w:eastAsia="zh-CN"/>
        </w:rPr>
      </w:pPr>
    </w:p>
    <w:p w14:paraId="6686EEBB">
      <w:pPr>
        <w:spacing w:line="267" w:lineRule="auto"/>
        <w:ind w:firstLine="552"/>
        <w:jc w:val="both"/>
        <w:rPr>
          <w:rFonts w:hint="eastAsia" w:ascii="宋体" w:hAnsi="宋体" w:eastAsia="宋体" w:cs="宋体"/>
          <w:bCs/>
          <w:spacing w:val="-4"/>
          <w:kern w:val="0"/>
          <w:sz w:val="28"/>
          <w:szCs w:val="28"/>
          <w:lang w:eastAsia="zh-CN"/>
        </w:rPr>
      </w:pPr>
    </w:p>
    <w:p w14:paraId="0BF7CED7">
      <w:pPr>
        <w:spacing w:line="267" w:lineRule="auto"/>
        <w:ind w:firstLine="552"/>
        <w:jc w:val="both"/>
        <w:rPr>
          <w:rFonts w:hint="eastAsia" w:ascii="宋体" w:hAnsi="宋体" w:eastAsia="宋体" w:cs="宋体"/>
          <w:bCs/>
          <w:spacing w:val="-4"/>
          <w:kern w:val="0"/>
          <w:sz w:val="28"/>
          <w:szCs w:val="28"/>
          <w:lang w:eastAsia="zh-CN"/>
        </w:rPr>
      </w:pPr>
    </w:p>
    <w:p w14:paraId="3DFFD8D6">
      <w:pPr>
        <w:spacing w:line="267" w:lineRule="auto"/>
        <w:ind w:firstLine="552"/>
        <w:jc w:val="both"/>
        <w:rPr>
          <w:rFonts w:hint="eastAsia" w:ascii="宋体" w:hAnsi="宋体" w:eastAsia="宋体" w:cs="宋体"/>
          <w:bCs/>
          <w:spacing w:val="-4"/>
          <w:kern w:val="0"/>
          <w:sz w:val="28"/>
          <w:szCs w:val="28"/>
          <w:lang w:eastAsia="zh-CN"/>
        </w:rPr>
      </w:pPr>
    </w:p>
    <w:p w14:paraId="77ACA8D7">
      <w:pPr>
        <w:spacing w:line="267" w:lineRule="auto"/>
        <w:ind w:firstLine="552"/>
        <w:jc w:val="both"/>
        <w:rPr>
          <w:rFonts w:hint="eastAsia" w:ascii="宋体" w:hAnsi="宋体" w:eastAsia="宋体" w:cs="宋体"/>
          <w:bCs/>
          <w:spacing w:val="-4"/>
          <w:kern w:val="0"/>
          <w:sz w:val="28"/>
          <w:szCs w:val="28"/>
          <w:lang w:eastAsia="zh-CN"/>
        </w:rPr>
      </w:pPr>
    </w:p>
    <w:p w14:paraId="7C6C32E1">
      <w:pPr>
        <w:spacing w:line="267" w:lineRule="auto"/>
        <w:ind w:firstLine="552"/>
        <w:jc w:val="both"/>
        <w:rPr>
          <w:rFonts w:hint="eastAsia" w:ascii="宋体" w:hAnsi="宋体" w:eastAsia="宋体" w:cs="宋体"/>
          <w:bCs/>
          <w:spacing w:val="-4"/>
          <w:kern w:val="0"/>
          <w:sz w:val="28"/>
          <w:szCs w:val="28"/>
          <w:lang w:eastAsia="zh-CN"/>
        </w:rPr>
      </w:pPr>
    </w:p>
    <w:p w14:paraId="0CEDFFFA">
      <w:pPr>
        <w:spacing w:line="267" w:lineRule="auto"/>
        <w:ind w:firstLine="552"/>
        <w:jc w:val="both"/>
        <w:rPr>
          <w:rFonts w:hint="eastAsia" w:ascii="宋体" w:hAnsi="宋体" w:eastAsia="宋体" w:cs="宋体"/>
          <w:bCs/>
          <w:spacing w:val="-4"/>
          <w:kern w:val="0"/>
          <w:sz w:val="28"/>
          <w:szCs w:val="28"/>
          <w:lang w:eastAsia="zh-CN"/>
        </w:rPr>
      </w:pPr>
    </w:p>
    <w:p w14:paraId="4BE765CC">
      <w:pPr>
        <w:spacing w:line="267" w:lineRule="auto"/>
        <w:ind w:firstLine="552"/>
        <w:jc w:val="both"/>
        <w:rPr>
          <w:rFonts w:hint="eastAsia" w:ascii="宋体" w:hAnsi="宋体" w:eastAsia="宋体" w:cs="宋体"/>
          <w:bCs/>
          <w:spacing w:val="-4"/>
          <w:kern w:val="0"/>
          <w:sz w:val="28"/>
          <w:szCs w:val="28"/>
          <w:lang w:eastAsia="zh-CN"/>
        </w:rPr>
      </w:pPr>
    </w:p>
    <w:p w14:paraId="234F58B3">
      <w:pPr>
        <w:spacing w:line="267" w:lineRule="auto"/>
        <w:ind w:firstLine="552"/>
        <w:jc w:val="both"/>
        <w:rPr>
          <w:rFonts w:hint="eastAsia" w:ascii="宋体" w:hAnsi="宋体" w:eastAsia="宋体" w:cs="宋体"/>
          <w:bCs/>
          <w:spacing w:val="-4"/>
          <w:kern w:val="0"/>
          <w:sz w:val="28"/>
          <w:szCs w:val="28"/>
          <w:lang w:eastAsia="zh-CN"/>
        </w:rPr>
      </w:pPr>
    </w:p>
    <w:p w14:paraId="4E0FBF66">
      <w:pPr>
        <w:spacing w:line="267" w:lineRule="auto"/>
        <w:ind w:firstLine="552"/>
        <w:jc w:val="both"/>
        <w:rPr>
          <w:rFonts w:hint="eastAsia" w:ascii="宋体" w:hAnsi="宋体" w:eastAsia="宋体" w:cs="宋体"/>
          <w:bCs/>
          <w:spacing w:val="-4"/>
          <w:kern w:val="0"/>
          <w:sz w:val="28"/>
          <w:szCs w:val="28"/>
          <w:lang w:eastAsia="zh-CN"/>
        </w:rPr>
      </w:pPr>
    </w:p>
    <w:p w14:paraId="029AB969">
      <w:pPr>
        <w:spacing w:line="267" w:lineRule="auto"/>
        <w:ind w:firstLine="552"/>
        <w:jc w:val="both"/>
        <w:rPr>
          <w:rFonts w:hint="eastAsia" w:ascii="宋体" w:hAnsi="宋体" w:eastAsia="宋体" w:cs="宋体"/>
          <w:bCs/>
          <w:spacing w:val="-4"/>
          <w:kern w:val="0"/>
          <w:sz w:val="28"/>
          <w:szCs w:val="28"/>
          <w:lang w:eastAsia="zh-CN"/>
        </w:rPr>
      </w:pPr>
    </w:p>
    <w:p w14:paraId="5FA2B745">
      <w:pPr>
        <w:spacing w:line="267" w:lineRule="auto"/>
        <w:ind w:firstLine="552"/>
        <w:jc w:val="both"/>
        <w:rPr>
          <w:rFonts w:hint="eastAsia" w:ascii="宋体" w:hAnsi="宋体" w:eastAsia="宋体" w:cs="宋体"/>
          <w:bCs/>
          <w:spacing w:val="-4"/>
          <w:kern w:val="0"/>
          <w:sz w:val="28"/>
          <w:szCs w:val="28"/>
          <w:lang w:eastAsia="zh-CN"/>
        </w:rPr>
      </w:pPr>
    </w:p>
    <w:p w14:paraId="3988E53F">
      <w:pPr>
        <w:spacing w:line="267" w:lineRule="auto"/>
        <w:ind w:firstLine="552"/>
        <w:jc w:val="both"/>
        <w:rPr>
          <w:rFonts w:hint="eastAsia" w:ascii="宋体" w:hAnsi="宋体" w:eastAsia="宋体" w:cs="宋体"/>
          <w:bCs/>
          <w:spacing w:val="-4"/>
          <w:kern w:val="0"/>
          <w:sz w:val="28"/>
          <w:szCs w:val="28"/>
          <w:lang w:eastAsia="zh-CN"/>
        </w:rPr>
      </w:pPr>
    </w:p>
    <w:p w14:paraId="6D4539BC">
      <w:pPr>
        <w:spacing w:line="267" w:lineRule="auto"/>
        <w:ind w:firstLine="552"/>
        <w:jc w:val="both"/>
        <w:rPr>
          <w:rFonts w:hint="eastAsia" w:ascii="宋体" w:hAnsi="宋体" w:eastAsia="宋体" w:cs="宋体"/>
          <w:bCs/>
          <w:spacing w:val="-4"/>
          <w:kern w:val="0"/>
          <w:sz w:val="28"/>
          <w:szCs w:val="28"/>
          <w:lang w:eastAsia="zh-CN"/>
        </w:rPr>
      </w:pPr>
    </w:p>
    <w:p w14:paraId="59EEC259">
      <w:pPr>
        <w:spacing w:line="267" w:lineRule="auto"/>
        <w:ind w:firstLine="552"/>
        <w:jc w:val="both"/>
        <w:rPr>
          <w:rFonts w:hint="eastAsia" w:ascii="宋体" w:hAnsi="宋体" w:eastAsia="宋体" w:cs="宋体"/>
          <w:bCs/>
          <w:spacing w:val="-4"/>
          <w:kern w:val="0"/>
          <w:sz w:val="28"/>
          <w:szCs w:val="28"/>
          <w:lang w:eastAsia="zh-CN"/>
        </w:rPr>
      </w:pPr>
    </w:p>
    <w:p w14:paraId="78020841">
      <w:pPr>
        <w:spacing w:line="267" w:lineRule="auto"/>
        <w:ind w:firstLine="552"/>
        <w:jc w:val="both"/>
        <w:rPr>
          <w:rFonts w:hint="eastAsia" w:ascii="宋体" w:hAnsi="宋体" w:eastAsia="宋体" w:cs="宋体"/>
          <w:bCs/>
          <w:spacing w:val="-4"/>
          <w:kern w:val="0"/>
          <w:sz w:val="28"/>
          <w:szCs w:val="28"/>
          <w:lang w:eastAsia="zh-CN"/>
        </w:rPr>
      </w:pPr>
    </w:p>
    <w:p w14:paraId="0298E5BE">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684F2515">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食品安全抽检</w:t>
      </w:r>
      <w:r>
        <w:rPr>
          <w:rFonts w:ascii="黑体" w:hAnsi="黑体" w:eastAsia="黑体" w:cs="黑体"/>
          <w:spacing w:val="15"/>
          <w:position w:val="10"/>
          <w:sz w:val="42"/>
          <w:szCs w:val="42"/>
        </w:rPr>
        <w:t>项目支出</w:t>
      </w:r>
    </w:p>
    <w:p w14:paraId="0C55C174">
      <w:pPr>
        <w:spacing w:before="1" w:line="220" w:lineRule="auto"/>
        <w:jc w:val="center"/>
        <w:rPr>
          <w:rFonts w:ascii="黑体" w:hAnsi="黑体" w:eastAsia="黑体" w:cs="黑体"/>
          <w:sz w:val="42"/>
          <w:szCs w:val="42"/>
        </w:rPr>
      </w:pPr>
      <w:r>
        <w:rPr>
          <w:rFonts w:ascii="黑体" w:hAnsi="黑体" w:eastAsia="黑体" w:cs="黑体"/>
          <w:spacing w:val="10"/>
          <w:sz w:val="42"/>
          <w:szCs w:val="42"/>
        </w:rPr>
        <w:t>绩效自评报告</w:t>
      </w:r>
    </w:p>
    <w:p w14:paraId="1805CED6">
      <w:pPr>
        <w:spacing w:line="246" w:lineRule="auto"/>
        <w:rPr>
          <w:rFonts w:ascii="Arial"/>
          <w:sz w:val="21"/>
        </w:rPr>
      </w:pPr>
    </w:p>
    <w:p w14:paraId="6C85C554">
      <w:pPr>
        <w:spacing w:line="246" w:lineRule="auto"/>
        <w:rPr>
          <w:rFonts w:ascii="Arial"/>
          <w:sz w:val="21"/>
        </w:rPr>
      </w:pPr>
    </w:p>
    <w:p w14:paraId="11680B24">
      <w:pPr>
        <w:spacing w:line="246" w:lineRule="auto"/>
        <w:rPr>
          <w:rFonts w:ascii="Arial"/>
          <w:sz w:val="21"/>
        </w:rPr>
      </w:pPr>
    </w:p>
    <w:p w14:paraId="6B8DBFD1">
      <w:pPr>
        <w:spacing w:line="246" w:lineRule="auto"/>
        <w:rPr>
          <w:rFonts w:ascii="Arial"/>
          <w:sz w:val="21"/>
        </w:rPr>
      </w:pPr>
    </w:p>
    <w:p w14:paraId="343BACE8">
      <w:pPr>
        <w:spacing w:line="246" w:lineRule="auto"/>
        <w:rPr>
          <w:rFonts w:ascii="Arial"/>
          <w:sz w:val="21"/>
        </w:rPr>
      </w:pPr>
    </w:p>
    <w:p w14:paraId="2F8DA204">
      <w:pPr>
        <w:spacing w:line="246" w:lineRule="auto"/>
        <w:rPr>
          <w:rFonts w:ascii="Arial"/>
          <w:sz w:val="21"/>
        </w:rPr>
      </w:pPr>
    </w:p>
    <w:p w14:paraId="40E4EF54">
      <w:pPr>
        <w:spacing w:line="246" w:lineRule="auto"/>
        <w:rPr>
          <w:rFonts w:ascii="Arial"/>
          <w:sz w:val="21"/>
        </w:rPr>
      </w:pPr>
    </w:p>
    <w:p w14:paraId="32CE8EF9">
      <w:pPr>
        <w:spacing w:line="246" w:lineRule="auto"/>
        <w:rPr>
          <w:rFonts w:ascii="Arial"/>
          <w:sz w:val="21"/>
        </w:rPr>
      </w:pPr>
    </w:p>
    <w:p w14:paraId="2BFA9D36">
      <w:pPr>
        <w:spacing w:line="246" w:lineRule="auto"/>
        <w:rPr>
          <w:rFonts w:ascii="Arial"/>
          <w:sz w:val="21"/>
        </w:rPr>
      </w:pPr>
    </w:p>
    <w:p w14:paraId="0086E418">
      <w:pPr>
        <w:spacing w:line="246" w:lineRule="auto"/>
        <w:rPr>
          <w:rFonts w:ascii="Arial"/>
          <w:sz w:val="21"/>
        </w:rPr>
      </w:pPr>
    </w:p>
    <w:p w14:paraId="6EE11C87">
      <w:pPr>
        <w:spacing w:line="246" w:lineRule="auto"/>
        <w:rPr>
          <w:rFonts w:ascii="Arial"/>
          <w:sz w:val="21"/>
        </w:rPr>
      </w:pPr>
    </w:p>
    <w:p w14:paraId="62C105F3">
      <w:pPr>
        <w:spacing w:line="246" w:lineRule="auto"/>
        <w:rPr>
          <w:rFonts w:ascii="Arial"/>
          <w:sz w:val="21"/>
        </w:rPr>
      </w:pPr>
    </w:p>
    <w:p w14:paraId="2294EEB6">
      <w:pPr>
        <w:spacing w:line="246" w:lineRule="auto"/>
        <w:rPr>
          <w:rFonts w:ascii="Arial"/>
          <w:sz w:val="21"/>
        </w:rPr>
      </w:pPr>
    </w:p>
    <w:p w14:paraId="2FD6A1C4">
      <w:pPr>
        <w:spacing w:line="246" w:lineRule="auto"/>
        <w:rPr>
          <w:rFonts w:ascii="Arial"/>
          <w:sz w:val="21"/>
        </w:rPr>
      </w:pPr>
    </w:p>
    <w:p w14:paraId="4C5194DA">
      <w:pPr>
        <w:spacing w:line="246" w:lineRule="auto"/>
        <w:rPr>
          <w:rFonts w:ascii="Arial"/>
          <w:sz w:val="21"/>
        </w:rPr>
      </w:pPr>
    </w:p>
    <w:p w14:paraId="1B9281A3">
      <w:pPr>
        <w:spacing w:line="246" w:lineRule="auto"/>
        <w:rPr>
          <w:rFonts w:ascii="Arial"/>
          <w:sz w:val="21"/>
        </w:rPr>
      </w:pPr>
    </w:p>
    <w:p w14:paraId="5A9FD31B">
      <w:pPr>
        <w:spacing w:line="246" w:lineRule="auto"/>
        <w:rPr>
          <w:rFonts w:ascii="Arial"/>
          <w:sz w:val="21"/>
        </w:rPr>
      </w:pPr>
    </w:p>
    <w:p w14:paraId="20D25E9D">
      <w:pPr>
        <w:spacing w:line="247" w:lineRule="auto"/>
        <w:rPr>
          <w:rFonts w:ascii="Arial"/>
          <w:sz w:val="21"/>
        </w:rPr>
      </w:pPr>
    </w:p>
    <w:p w14:paraId="24B70615">
      <w:pPr>
        <w:spacing w:line="247" w:lineRule="auto"/>
        <w:rPr>
          <w:rFonts w:ascii="Arial"/>
          <w:sz w:val="21"/>
        </w:rPr>
      </w:pPr>
    </w:p>
    <w:p w14:paraId="571DCECC">
      <w:pPr>
        <w:spacing w:line="247" w:lineRule="auto"/>
        <w:rPr>
          <w:rFonts w:ascii="Arial"/>
          <w:sz w:val="21"/>
        </w:rPr>
      </w:pPr>
    </w:p>
    <w:p w14:paraId="08A9DCF2">
      <w:pPr>
        <w:spacing w:line="247" w:lineRule="auto"/>
        <w:rPr>
          <w:rFonts w:ascii="Arial"/>
          <w:sz w:val="21"/>
        </w:rPr>
      </w:pPr>
    </w:p>
    <w:p w14:paraId="33AC67D0">
      <w:pPr>
        <w:spacing w:line="247" w:lineRule="auto"/>
        <w:rPr>
          <w:rFonts w:ascii="Arial"/>
          <w:sz w:val="21"/>
        </w:rPr>
      </w:pPr>
    </w:p>
    <w:p w14:paraId="29CB8D9B">
      <w:pPr>
        <w:spacing w:line="247" w:lineRule="auto"/>
        <w:rPr>
          <w:rFonts w:ascii="Arial"/>
          <w:sz w:val="21"/>
        </w:rPr>
      </w:pPr>
    </w:p>
    <w:p w14:paraId="02130DF0">
      <w:pPr>
        <w:spacing w:line="247" w:lineRule="auto"/>
        <w:rPr>
          <w:rFonts w:ascii="Arial"/>
          <w:sz w:val="21"/>
        </w:rPr>
      </w:pPr>
    </w:p>
    <w:p w14:paraId="71A9D320">
      <w:pPr>
        <w:spacing w:line="247" w:lineRule="auto"/>
        <w:rPr>
          <w:rFonts w:ascii="Arial"/>
          <w:sz w:val="21"/>
        </w:rPr>
      </w:pPr>
    </w:p>
    <w:p w14:paraId="0EDC9B9A">
      <w:pPr>
        <w:spacing w:line="247" w:lineRule="auto"/>
        <w:rPr>
          <w:rFonts w:ascii="Arial"/>
          <w:sz w:val="21"/>
        </w:rPr>
      </w:pPr>
    </w:p>
    <w:p w14:paraId="2C9E50DD">
      <w:pPr>
        <w:spacing w:line="247" w:lineRule="auto"/>
        <w:rPr>
          <w:rFonts w:ascii="Arial"/>
          <w:sz w:val="21"/>
        </w:rPr>
      </w:pPr>
    </w:p>
    <w:p w14:paraId="535B8AD4">
      <w:pPr>
        <w:spacing w:line="247" w:lineRule="auto"/>
        <w:rPr>
          <w:rFonts w:ascii="Arial"/>
          <w:sz w:val="21"/>
        </w:rPr>
      </w:pPr>
    </w:p>
    <w:p w14:paraId="4A25D776">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219ABBB3">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5CAE7634">
      <w:pPr>
        <w:pStyle w:val="2"/>
        <w:spacing w:before="1" w:line="223" w:lineRule="auto"/>
        <w:ind w:left="3560"/>
        <w:rPr>
          <w:sz w:val="24"/>
          <w:szCs w:val="24"/>
        </w:rPr>
      </w:pPr>
      <w:r>
        <w:rPr>
          <w:spacing w:val="7"/>
          <w:sz w:val="24"/>
          <w:szCs w:val="24"/>
        </w:rPr>
        <w:t>(此面为封面)</w:t>
      </w:r>
    </w:p>
    <w:p w14:paraId="0136416F">
      <w:pPr>
        <w:spacing w:line="223" w:lineRule="auto"/>
        <w:rPr>
          <w:sz w:val="24"/>
          <w:szCs w:val="24"/>
        </w:rPr>
        <w:sectPr>
          <w:footerReference r:id="rId9" w:type="default"/>
          <w:pgSz w:w="11900" w:h="16820"/>
          <w:pgMar w:top="1429" w:right="1782" w:bottom="1158" w:left="1450" w:header="0" w:footer="850" w:gutter="0"/>
          <w:cols w:space="720" w:num="1"/>
        </w:sectPr>
      </w:pPr>
    </w:p>
    <w:p w14:paraId="11EE71CD">
      <w:pPr>
        <w:spacing w:before="137" w:line="221" w:lineRule="auto"/>
        <w:jc w:val="center"/>
        <w:rPr>
          <w:rFonts w:ascii="黑体" w:hAnsi="黑体" w:eastAsia="黑体" w:cs="黑体"/>
          <w:sz w:val="42"/>
          <w:szCs w:val="42"/>
        </w:rPr>
      </w:pPr>
      <w:r>
        <w:rPr>
          <w:rFonts w:hint="eastAsia" w:ascii="黑体" w:hAnsi="黑体" w:eastAsia="黑体" w:cs="黑体"/>
          <w:b/>
          <w:bCs/>
          <w:spacing w:val="6"/>
          <w:sz w:val="42"/>
          <w:szCs w:val="42"/>
          <w:lang w:eastAsia="zh-CN"/>
        </w:rPr>
        <w:t>食品安全抽检</w:t>
      </w:r>
      <w:r>
        <w:rPr>
          <w:rFonts w:ascii="黑体" w:hAnsi="黑体" w:eastAsia="黑体" w:cs="黑体"/>
          <w:b/>
          <w:bCs/>
          <w:spacing w:val="6"/>
          <w:sz w:val="42"/>
          <w:szCs w:val="42"/>
        </w:rPr>
        <w:t>项目支出绩效评价报告</w:t>
      </w:r>
    </w:p>
    <w:p w14:paraId="7B020C3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b w:val="0"/>
          <w:bCs w:val="0"/>
          <w:snapToGrid w:val="0"/>
          <w:color w:val="000000"/>
          <w:spacing w:val="0"/>
          <w:kern w:val="0"/>
          <w:sz w:val="32"/>
          <w:szCs w:val="32"/>
          <w:lang w:val="en-US" w:eastAsia="zh-CN" w:bidi="ar-SA"/>
        </w:rPr>
      </w:pPr>
    </w:p>
    <w:p w14:paraId="401042B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z w:val="32"/>
          <w:szCs w:val="32"/>
          <w:highlight w:val="yellow"/>
        </w:rPr>
      </w:pPr>
      <w:r>
        <w:rPr>
          <w:rFonts w:hint="default" w:ascii="Times New Roman" w:hAnsi="Times New Roman" w:eastAsia="仿宋" w:cs="Times New Roman"/>
          <w:b w:val="0"/>
          <w:bCs w:val="0"/>
          <w:snapToGrid w:val="0"/>
          <w:color w:val="000000"/>
          <w:spacing w:val="0"/>
          <w:kern w:val="0"/>
          <w:sz w:val="32"/>
          <w:szCs w:val="32"/>
          <w:lang w:val="en-US" w:eastAsia="zh-CN" w:bidi="ar-SA"/>
        </w:rPr>
        <w:t>根据《中共中央国务院关于全面实施预算绩效管理的意见》《项目支出绩效评价管理办法》（财预〔2020〕10号）等文件规定，按照《汨罗市预算绩效管理实施办法》（汨办发[20</w:t>
      </w:r>
      <w:r>
        <w:rPr>
          <w:rFonts w:hint="default" w:ascii="Times New Roman" w:hAnsi="Times New Roman" w:eastAsia="仿宋" w:cs="Times New Roman"/>
          <w:b w:val="0"/>
          <w:bCs w:val="0"/>
          <w:snapToGrid w:val="0"/>
          <w:color w:val="000000"/>
          <w:spacing w:val="0"/>
          <w:kern w:val="0"/>
          <w:sz w:val="32"/>
          <w:szCs w:val="32"/>
          <w:highlight w:val="none"/>
          <w:lang w:val="en-US" w:eastAsia="zh-CN" w:bidi="ar-SA"/>
        </w:rPr>
        <w:t>22]42号）等相关文件要求，</w:t>
      </w:r>
      <w:r>
        <w:rPr>
          <w:rFonts w:hint="default" w:ascii="Times New Roman" w:hAnsi="Times New Roman" w:eastAsia="仿宋" w:cs="Times New Roman"/>
          <w:b w:val="0"/>
          <w:bCs w:val="0"/>
          <w:sz w:val="32"/>
          <w:szCs w:val="32"/>
          <w:highlight w:val="none"/>
        </w:rPr>
        <w:t>现对汨罗市市场监督管理局202</w:t>
      </w:r>
      <w:r>
        <w:rPr>
          <w:rFonts w:hint="default" w:ascii="Times New Roman" w:hAnsi="Times New Roman" w:eastAsia="仿宋" w:cs="Times New Roman"/>
          <w:b w:val="0"/>
          <w:bCs w:val="0"/>
          <w:sz w:val="32"/>
          <w:szCs w:val="32"/>
          <w:highlight w:val="none"/>
          <w:lang w:val="en-US" w:eastAsia="zh-CN"/>
        </w:rPr>
        <w:t>3</w:t>
      </w:r>
      <w:r>
        <w:rPr>
          <w:rFonts w:hint="default" w:ascii="Times New Roman" w:hAnsi="Times New Roman" w:eastAsia="仿宋" w:cs="Times New Roman"/>
          <w:b w:val="0"/>
          <w:bCs w:val="0"/>
          <w:sz w:val="32"/>
          <w:szCs w:val="32"/>
          <w:highlight w:val="none"/>
        </w:rPr>
        <w:t>年度的</w:t>
      </w:r>
      <w:r>
        <w:rPr>
          <w:rFonts w:hint="default" w:ascii="Times New Roman" w:hAnsi="Times New Roman" w:eastAsia="仿宋" w:cs="Times New Roman"/>
          <w:b w:val="0"/>
          <w:bCs w:val="0"/>
          <w:spacing w:val="6"/>
          <w:sz w:val="32"/>
          <w:szCs w:val="32"/>
          <w:highlight w:val="none"/>
          <w:lang w:eastAsia="zh-CN"/>
        </w:rPr>
        <w:t>食品安全抽检专项</w:t>
      </w:r>
      <w:r>
        <w:rPr>
          <w:rFonts w:hint="default" w:ascii="Times New Roman" w:hAnsi="Times New Roman" w:eastAsia="仿宋" w:cs="Times New Roman"/>
          <w:b w:val="0"/>
          <w:bCs w:val="0"/>
          <w:sz w:val="32"/>
          <w:szCs w:val="32"/>
          <w:highlight w:val="none"/>
        </w:rPr>
        <w:t>开展绩效自评，具体情况汇报如下：</w:t>
      </w:r>
    </w:p>
    <w:p w14:paraId="336982D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、项目基本情况</w:t>
      </w:r>
    </w:p>
    <w:p w14:paraId="3AAD5A29">
      <w:pPr>
        <w:pStyle w:val="5"/>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default" w:ascii="Times New Roman" w:hAnsi="Times New Roman" w:eastAsia="仿宋" w:cs="Times New Roman"/>
          <w:sz w:val="32"/>
          <w:szCs w:val="32"/>
        </w:rPr>
      </w:pPr>
      <w:r>
        <w:rPr>
          <w:rFonts w:hint="eastAsia" w:ascii="黑体" w:hAnsi="黑体" w:eastAsia="黑体" w:cs="黑体"/>
          <w:b/>
          <w:bCs/>
          <w:snapToGrid w:val="0"/>
          <w:color w:val="000000"/>
          <w:spacing w:val="-15"/>
          <w:kern w:val="0"/>
          <w:sz w:val="31"/>
          <w:szCs w:val="31"/>
          <w:lang w:val="en-US" w:eastAsia="zh-CN" w:bidi="ar-SA"/>
        </w:rPr>
        <w:t>1、</w:t>
      </w:r>
      <w:r>
        <w:rPr>
          <w:rFonts w:hint="eastAsia" w:ascii="黑体" w:hAnsi="黑体" w:eastAsia="黑体" w:cs="黑体"/>
          <w:b/>
          <w:bCs/>
          <w:snapToGrid w:val="0"/>
          <w:color w:val="000000"/>
          <w:spacing w:val="-15"/>
          <w:kern w:val="0"/>
          <w:sz w:val="31"/>
          <w:szCs w:val="31"/>
          <w:lang w:val="en-US" w:eastAsia="en-US" w:bidi="ar-SA"/>
        </w:rPr>
        <w:t>项目立项依据</w:t>
      </w:r>
    </w:p>
    <w:p w14:paraId="3F02997F">
      <w:pPr>
        <w:pStyle w:val="5"/>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0" w:lef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本项目依据食品监管相关法律法规设立。</w:t>
      </w:r>
    </w:p>
    <w:p w14:paraId="7EF6FB48">
      <w:pPr>
        <w:pStyle w:val="5"/>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default" w:ascii="黑体" w:hAnsi="黑体" w:eastAsia="黑体" w:cs="黑体"/>
          <w:b/>
          <w:bCs/>
          <w:snapToGrid w:val="0"/>
          <w:color w:val="000000"/>
          <w:spacing w:val="-15"/>
          <w:kern w:val="0"/>
          <w:sz w:val="31"/>
          <w:szCs w:val="31"/>
          <w:lang w:val="en-US" w:eastAsia="zh-CN" w:bidi="ar-SA"/>
        </w:rPr>
      </w:pPr>
      <w:r>
        <w:rPr>
          <w:rFonts w:hint="default" w:ascii="黑体" w:hAnsi="黑体" w:eastAsia="黑体" w:cs="黑体"/>
          <w:b/>
          <w:bCs/>
          <w:snapToGrid w:val="0"/>
          <w:color w:val="000000"/>
          <w:spacing w:val="-15"/>
          <w:kern w:val="0"/>
          <w:sz w:val="31"/>
          <w:szCs w:val="31"/>
          <w:lang w:val="en-US" w:eastAsia="zh-CN" w:bidi="ar-SA"/>
        </w:rPr>
        <w:t>2、项目绩效目标</w:t>
      </w:r>
    </w:p>
    <w:p w14:paraId="553E57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食品领域</w:t>
      </w:r>
      <w:r>
        <w:rPr>
          <w:rFonts w:hint="default" w:ascii="Times New Roman" w:hAnsi="Times New Roman" w:eastAsia="仿宋" w:cs="Times New Roman"/>
          <w:sz w:val="32"/>
          <w:szCs w:val="32"/>
          <w:lang w:val="en-US" w:eastAsia="zh-CN"/>
        </w:rPr>
        <w:t>监督</w:t>
      </w:r>
      <w:r>
        <w:rPr>
          <w:rFonts w:hint="default" w:ascii="Times New Roman" w:hAnsi="Times New Roman" w:eastAsia="仿宋" w:cs="Times New Roman"/>
          <w:sz w:val="32"/>
          <w:szCs w:val="32"/>
        </w:rPr>
        <w:t>抽检全覆盖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确保食品安全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保障人民群众生活质量</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为创建</w:t>
      </w:r>
      <w:r>
        <w:rPr>
          <w:rFonts w:hint="eastAsia" w:ascii="Times New Roman" w:hAnsi="Times New Roman" w:eastAsia="仿宋" w:cs="Times New Roman"/>
          <w:sz w:val="32"/>
          <w:szCs w:val="32"/>
          <w:lang w:eastAsia="zh-CN"/>
        </w:rPr>
        <w:t>省级</w:t>
      </w:r>
      <w:r>
        <w:rPr>
          <w:rFonts w:hint="default" w:ascii="Times New Roman" w:hAnsi="Times New Roman" w:eastAsia="仿宋" w:cs="Times New Roman"/>
          <w:sz w:val="32"/>
          <w:szCs w:val="32"/>
        </w:rPr>
        <w:t>食品安全示范县夯实基础。</w:t>
      </w:r>
    </w:p>
    <w:p w14:paraId="5C7B2293">
      <w:pPr>
        <w:pStyle w:val="5"/>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default" w:ascii="黑体" w:hAnsi="黑体" w:eastAsia="黑体" w:cs="黑体"/>
          <w:b/>
          <w:bCs/>
          <w:snapToGrid w:val="0"/>
          <w:color w:val="000000"/>
          <w:spacing w:val="-15"/>
          <w:kern w:val="0"/>
          <w:sz w:val="31"/>
          <w:szCs w:val="31"/>
          <w:lang w:val="en-US" w:eastAsia="zh-CN" w:bidi="ar-SA"/>
        </w:rPr>
      </w:pPr>
      <w:r>
        <w:rPr>
          <w:rFonts w:hint="default" w:ascii="黑体" w:hAnsi="黑体" w:eastAsia="黑体" w:cs="黑体"/>
          <w:b/>
          <w:bCs/>
          <w:snapToGrid w:val="0"/>
          <w:color w:val="000000"/>
          <w:spacing w:val="-15"/>
          <w:kern w:val="0"/>
          <w:sz w:val="31"/>
          <w:szCs w:val="31"/>
          <w:lang w:val="en-US" w:eastAsia="zh-CN" w:bidi="ar-SA"/>
        </w:rPr>
        <w:t>3、项目管理和使用情况</w:t>
      </w:r>
    </w:p>
    <w:p w14:paraId="24F1C3EF">
      <w:pPr>
        <w:keepNext w:val="0"/>
        <w:keepLines w:val="0"/>
        <w:pageBreakBefore w:val="0"/>
        <w:widowControl/>
        <w:shd w:val="solid" w:color="FFFFFF" w:fill="auto"/>
        <w:kinsoku w:val="0"/>
        <w:wordWrap/>
        <w:overflowPunct/>
        <w:topLinePunct w:val="0"/>
        <w:autoSpaceDE w:val="0"/>
        <w:autoSpaceDN w:val="0"/>
        <w:bidi w:val="0"/>
        <w:adjustRightInd w:val="0"/>
        <w:snapToGrid w:val="0"/>
        <w:spacing w:line="560" w:lineRule="exact"/>
        <w:ind w:firstLine="640"/>
        <w:textAlignment w:val="baseline"/>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一）专项经费管理措施、制度建设情况。我局对于批复到位的经费，根据工作任务需要，统一管理核算。每年年初为保障项目经费的专款专用和及时到位，发挥好资金使用效率，制定财务制度，对专项经费专门列项，</w:t>
      </w:r>
      <w:r>
        <w:rPr>
          <w:rFonts w:hint="default" w:ascii="Times New Roman" w:hAnsi="Times New Roman" w:eastAsia="仿宋" w:cs="Times New Roman"/>
          <w:color w:val="000000"/>
          <w:sz w:val="32"/>
          <w:szCs w:val="32"/>
        </w:rPr>
        <w:t>专题研究，专项预算，专项审批，专项开支。</w:t>
      </w:r>
    </w:p>
    <w:p w14:paraId="23BB9FAD">
      <w:pPr>
        <w:keepNext w:val="0"/>
        <w:keepLines w:val="0"/>
        <w:pageBreakBefore w:val="0"/>
        <w:widowControl/>
        <w:shd w:val="solid" w:color="FFFFFF" w:fill="auto"/>
        <w:kinsoku w:val="0"/>
        <w:wordWrap/>
        <w:overflowPunct/>
        <w:topLinePunct w:val="0"/>
        <w:autoSpaceDE w:val="0"/>
        <w:autoSpaceDN w:val="0"/>
        <w:bidi w:val="0"/>
        <w:adjustRightInd w:val="0"/>
        <w:snapToGrid w:val="0"/>
        <w:spacing w:line="560" w:lineRule="exact"/>
        <w:ind w:firstLine="640"/>
        <w:textAlignment w:val="baseline"/>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sz w:val="32"/>
          <w:szCs w:val="32"/>
          <w:shd w:val="clear" w:color="auto" w:fill="FFFFFF"/>
        </w:rPr>
        <w:t xml:space="preserve">（二）专项经费使用流程及监督检查情况。每一笔经费在核定的支出限额和支出范围内实行据实凭票报账制；严格财务程序，强化报销环节管理，认真落实经办人、经费使用单位负责人、财务管理人员责任，确保了经费支出的合规、到位。同时，严格监督专项经费专款专用，并通过党政负责人会议、工作群等不同形式，进行定期公开，确保了专项经费收支公开、透明。      </w:t>
      </w:r>
    </w:p>
    <w:p w14:paraId="4EFFAC8B">
      <w:pPr>
        <w:pStyle w:val="5"/>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（三）管理和使用情况</w:t>
      </w:r>
    </w:p>
    <w:p w14:paraId="0A9C94E4">
      <w:pPr>
        <w:pStyle w:val="5"/>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firstLine="707" w:firstLineChars="221"/>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年度结合本局的实际情况，对照专项绩效预算目标</w:t>
      </w:r>
      <w:bookmarkStart w:id="0" w:name="_GoBack"/>
      <w:bookmarkEnd w:id="0"/>
      <w:r>
        <w:rPr>
          <w:rFonts w:hint="default" w:ascii="Times New Roman" w:hAnsi="Times New Roman" w:eastAsia="仿宋" w:cs="Times New Roman"/>
          <w:sz w:val="32"/>
          <w:szCs w:val="32"/>
        </w:rPr>
        <w:t>要求，严格按照财务制度的规定，合理规范使用中央和地方对食品抽检的补助资金。</w:t>
      </w:r>
    </w:p>
    <w:p w14:paraId="66888C45">
      <w:pPr>
        <w:pStyle w:val="5"/>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年度对我局食品</w:t>
      </w:r>
      <w:r>
        <w:rPr>
          <w:rFonts w:hint="eastAsia" w:ascii="Times New Roman" w:eastAsia="仿宋" w:cs="Times New Roman"/>
          <w:sz w:val="32"/>
          <w:szCs w:val="32"/>
          <w:lang w:eastAsia="zh-CN"/>
        </w:rPr>
        <w:t>安全</w:t>
      </w:r>
      <w:r>
        <w:rPr>
          <w:rFonts w:hint="default" w:ascii="Times New Roman" w:hAnsi="Times New Roman" w:eastAsia="仿宋" w:cs="Times New Roman"/>
          <w:sz w:val="32"/>
          <w:szCs w:val="32"/>
        </w:rPr>
        <w:t>抽检补助资金为</w:t>
      </w:r>
      <w:r>
        <w:rPr>
          <w:rFonts w:hint="eastAsia" w:ascii="Times New Roman" w:eastAsia="仿宋" w:cs="Times New Roman"/>
          <w:sz w:val="32"/>
          <w:szCs w:val="32"/>
          <w:lang w:val="en-US" w:eastAsia="zh-CN"/>
        </w:rPr>
        <w:t>55</w:t>
      </w:r>
      <w:r>
        <w:rPr>
          <w:rFonts w:hint="default" w:ascii="Times New Roman" w:hAnsi="Times New Roman" w:eastAsia="仿宋" w:cs="Times New Roman"/>
          <w:sz w:val="32"/>
          <w:szCs w:val="32"/>
        </w:rPr>
        <w:t>万元</w:t>
      </w:r>
      <w:r>
        <w:rPr>
          <w:rFonts w:hint="eastAsia" w:ascii="Times New Roman" w:eastAsia="仿宋" w:cs="Times New Roman"/>
          <w:sz w:val="32"/>
          <w:szCs w:val="32"/>
          <w:lang w:eastAsia="zh-CN"/>
        </w:rPr>
        <w:t>，</w:t>
      </w:r>
      <w:r>
        <w:rPr>
          <w:rFonts w:hint="default" w:ascii="Times New Roman" w:hAnsi="Times New Roman" w:eastAsia="仿宋" w:cs="Times New Roman"/>
          <w:sz w:val="32"/>
          <w:szCs w:val="32"/>
        </w:rPr>
        <w:t>已全部下达。</w:t>
      </w:r>
    </w:p>
    <w:p w14:paraId="73C7F6C4">
      <w:pPr>
        <w:pStyle w:val="5"/>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（四）绩效情况分析</w:t>
      </w:r>
    </w:p>
    <w:p w14:paraId="61C796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根据省、市局202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年食品安全监督抽检计划文件精神及食品和食用农产品抽检数量不少于3.3批次/千人的要求，今年共计</w:t>
      </w:r>
      <w:r>
        <w:rPr>
          <w:rFonts w:hint="default" w:ascii="Times New Roman" w:hAnsi="Times New Roman" w:eastAsia="仿宋" w:cs="Times New Roman"/>
          <w:sz w:val="32"/>
          <w:szCs w:val="32"/>
          <w:lang w:val="en-US" w:eastAsia="zh-CN"/>
        </w:rPr>
        <w:t>需</w:t>
      </w:r>
      <w:r>
        <w:rPr>
          <w:rFonts w:hint="default" w:ascii="Times New Roman" w:hAnsi="Times New Roman" w:eastAsia="仿宋" w:cs="Times New Roman"/>
          <w:sz w:val="32"/>
          <w:szCs w:val="32"/>
        </w:rPr>
        <w:t>完成食品安全监督抽检2000批次，其中食品监督抽检1300批次，食用农产品监督抽检700批次，抽检场所包括</w:t>
      </w:r>
      <w:r>
        <w:rPr>
          <w:rFonts w:hint="default" w:ascii="Times New Roman" w:hAnsi="Times New Roman" w:eastAsia="仿宋" w:cs="Times New Roman"/>
          <w:sz w:val="32"/>
          <w:szCs w:val="32"/>
          <w:lang w:val="en-US" w:eastAsia="zh-CN"/>
        </w:rPr>
        <w:t>食品生产企业、食品加工生产小作坊、大（</w:t>
      </w:r>
      <w:r>
        <w:rPr>
          <w:rFonts w:hint="default" w:ascii="Times New Roman" w:hAnsi="Times New Roman" w:eastAsia="仿宋" w:cs="Times New Roman"/>
          <w:sz w:val="32"/>
          <w:szCs w:val="32"/>
        </w:rPr>
        <w:t>中</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型餐馆、农贸市场、超市、</w:t>
      </w:r>
      <w:r>
        <w:rPr>
          <w:rFonts w:hint="default" w:ascii="Times New Roman" w:hAnsi="Times New Roman" w:eastAsia="仿宋" w:cs="Times New Roman"/>
          <w:sz w:val="32"/>
          <w:szCs w:val="32"/>
          <w:lang w:val="en-US" w:eastAsia="zh-CN"/>
        </w:rPr>
        <w:t>学校食堂及校园周边商店、</w:t>
      </w:r>
      <w:r>
        <w:rPr>
          <w:rFonts w:hint="default" w:ascii="Times New Roman" w:hAnsi="Times New Roman" w:eastAsia="仿宋" w:cs="Times New Roman"/>
          <w:sz w:val="32"/>
          <w:szCs w:val="32"/>
        </w:rPr>
        <w:t>企事业单位食堂、小食杂店和其</w:t>
      </w:r>
      <w:r>
        <w:rPr>
          <w:rFonts w:hint="default" w:ascii="Times New Roman" w:hAnsi="Times New Roman" w:eastAsia="仿宋" w:cs="Times New Roman"/>
          <w:sz w:val="32"/>
          <w:szCs w:val="32"/>
          <w:lang w:val="en-US" w:eastAsia="zh-CN"/>
        </w:rPr>
        <w:t>他</w:t>
      </w:r>
      <w:r>
        <w:rPr>
          <w:rFonts w:hint="default" w:ascii="Times New Roman" w:hAnsi="Times New Roman" w:eastAsia="仿宋" w:cs="Times New Roman"/>
          <w:sz w:val="32"/>
          <w:szCs w:val="32"/>
        </w:rPr>
        <w:t>场所的普通食品及食用农产品共26大类。</w:t>
      </w:r>
      <w:r>
        <w:rPr>
          <w:rFonts w:hint="default" w:ascii="Times New Roman" w:hAnsi="Times New Roman" w:eastAsia="仿宋" w:cs="Times New Roman"/>
          <w:sz w:val="32"/>
          <w:szCs w:val="32"/>
          <w:lang w:val="en-US" w:eastAsia="zh-CN"/>
        </w:rPr>
        <w:t>全年</w:t>
      </w:r>
      <w:r>
        <w:rPr>
          <w:rFonts w:hint="default" w:ascii="Times New Roman" w:hAnsi="Times New Roman" w:eastAsia="仿宋" w:cs="Times New Roman"/>
          <w:sz w:val="32"/>
          <w:szCs w:val="32"/>
        </w:rPr>
        <w:t>具体</w:t>
      </w:r>
      <w:r>
        <w:rPr>
          <w:rFonts w:hint="default" w:ascii="Times New Roman" w:hAnsi="Times New Roman" w:eastAsia="仿宋" w:cs="Times New Roman"/>
          <w:sz w:val="32"/>
          <w:szCs w:val="32"/>
          <w:lang w:val="en-US" w:eastAsia="zh-CN"/>
        </w:rPr>
        <w:t>完成食品</w:t>
      </w:r>
      <w:r>
        <w:rPr>
          <w:rFonts w:hint="default" w:ascii="Times New Roman" w:hAnsi="Times New Roman" w:eastAsia="仿宋" w:cs="Times New Roman"/>
          <w:sz w:val="32"/>
          <w:szCs w:val="32"/>
        </w:rPr>
        <w:t>监督抽检</w:t>
      </w:r>
      <w:r>
        <w:rPr>
          <w:rFonts w:hint="default" w:ascii="Times New Roman" w:hAnsi="Times New Roman" w:eastAsia="仿宋" w:cs="Times New Roman"/>
          <w:sz w:val="32"/>
          <w:szCs w:val="32"/>
          <w:lang w:val="en-US" w:eastAsia="zh-CN"/>
        </w:rPr>
        <w:t>1300批次，食用农产品</w:t>
      </w:r>
      <w:r>
        <w:rPr>
          <w:rFonts w:hint="default" w:ascii="Times New Roman" w:hAnsi="Times New Roman" w:eastAsia="仿宋" w:cs="Times New Roman"/>
          <w:sz w:val="32"/>
          <w:szCs w:val="32"/>
        </w:rPr>
        <w:t>监督抽检</w:t>
      </w:r>
      <w:r>
        <w:rPr>
          <w:rFonts w:hint="default" w:ascii="Times New Roman" w:hAnsi="Times New Roman" w:eastAsia="仿宋" w:cs="Times New Roman"/>
          <w:sz w:val="32"/>
          <w:szCs w:val="32"/>
          <w:lang w:val="en-US" w:eastAsia="zh-CN"/>
        </w:rPr>
        <w:t>700批次，完成率100%。其中</w:t>
      </w:r>
      <w:r>
        <w:rPr>
          <w:rFonts w:hint="default" w:ascii="Times New Roman" w:hAnsi="Times New Roman" w:eastAsia="仿宋" w:cs="Times New Roman"/>
          <w:sz w:val="32"/>
          <w:szCs w:val="32"/>
        </w:rPr>
        <w:t>餐饮环节监督抽检</w:t>
      </w:r>
      <w:r>
        <w:rPr>
          <w:rFonts w:hint="default" w:ascii="Times New Roman" w:hAnsi="Times New Roman" w:eastAsia="仿宋" w:cs="Times New Roman"/>
          <w:sz w:val="32"/>
          <w:szCs w:val="32"/>
          <w:lang w:val="en-US" w:eastAsia="zh-CN"/>
        </w:rPr>
        <w:t>404</w:t>
      </w:r>
      <w:r>
        <w:rPr>
          <w:rFonts w:hint="default" w:ascii="Times New Roman" w:hAnsi="Times New Roman" w:eastAsia="仿宋" w:cs="Times New Roman"/>
          <w:sz w:val="32"/>
          <w:szCs w:val="32"/>
        </w:rPr>
        <w:t>批次、流通环节监督抽检</w:t>
      </w:r>
      <w:r>
        <w:rPr>
          <w:rFonts w:hint="default" w:ascii="Times New Roman" w:hAnsi="Times New Roman" w:eastAsia="仿宋" w:cs="Times New Roman"/>
          <w:sz w:val="32"/>
          <w:szCs w:val="32"/>
          <w:lang w:val="en-US" w:eastAsia="zh-CN"/>
        </w:rPr>
        <w:t>1353</w:t>
      </w:r>
      <w:r>
        <w:rPr>
          <w:rFonts w:hint="default" w:ascii="Times New Roman" w:hAnsi="Times New Roman" w:eastAsia="仿宋" w:cs="Times New Roman"/>
          <w:sz w:val="32"/>
          <w:szCs w:val="32"/>
        </w:rPr>
        <w:t>批次、生产环节监督抽检</w:t>
      </w:r>
      <w:r>
        <w:rPr>
          <w:rFonts w:hint="default" w:ascii="Times New Roman" w:hAnsi="Times New Roman" w:eastAsia="仿宋" w:cs="Times New Roman"/>
          <w:sz w:val="32"/>
          <w:szCs w:val="32"/>
          <w:lang w:val="en-US" w:eastAsia="zh-CN"/>
        </w:rPr>
        <w:t>243</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抽检合格</w:t>
      </w:r>
      <w:r>
        <w:rPr>
          <w:rFonts w:hint="default" w:ascii="Times New Roman" w:hAnsi="Times New Roman" w:eastAsia="仿宋" w:cs="Times New Roman"/>
          <w:sz w:val="32"/>
          <w:szCs w:val="32"/>
          <w:lang w:val="en-US" w:eastAsia="zh-CN"/>
        </w:rPr>
        <w:t>1965</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lang w:val="en-US" w:eastAsia="zh-CN"/>
        </w:rPr>
        <w:t>合格率98.25%。</w:t>
      </w:r>
      <w:r>
        <w:rPr>
          <w:rFonts w:hint="default" w:ascii="Times New Roman" w:hAnsi="Times New Roman" w:eastAsia="仿宋" w:cs="Times New Roman"/>
          <w:sz w:val="32"/>
          <w:szCs w:val="32"/>
        </w:rPr>
        <w:t>抽检不合格</w:t>
      </w:r>
      <w:r>
        <w:rPr>
          <w:rFonts w:hint="default" w:ascii="Times New Roman" w:hAnsi="Times New Roman" w:eastAsia="仿宋" w:cs="Times New Roman"/>
          <w:sz w:val="32"/>
          <w:szCs w:val="32"/>
          <w:lang w:val="en-US" w:eastAsia="zh-CN"/>
        </w:rPr>
        <w:t>35</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不合格率1.75%，</w:t>
      </w:r>
      <w:r>
        <w:rPr>
          <w:rFonts w:hint="default" w:ascii="Times New Roman" w:hAnsi="Times New Roman" w:eastAsia="仿宋" w:cs="Times New Roman"/>
          <w:sz w:val="32"/>
          <w:szCs w:val="32"/>
        </w:rPr>
        <w:t>其中食品</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食用</w:t>
      </w:r>
      <w:r>
        <w:rPr>
          <w:rFonts w:hint="default" w:ascii="Times New Roman" w:hAnsi="Times New Roman" w:eastAsia="仿宋" w:cs="Times New Roman"/>
          <w:sz w:val="32"/>
          <w:szCs w:val="32"/>
        </w:rPr>
        <w:t>农产品1</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lang w:eastAsia="zh-CN"/>
        </w:rPr>
        <w:t>。</w:t>
      </w:r>
    </w:p>
    <w:p w14:paraId="378A3A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仿宋" w:cs="Times New Roman"/>
          <w:sz w:val="32"/>
          <w:szCs w:val="32"/>
          <w:lang w:eastAsia="zh-CN"/>
        </w:rPr>
      </w:pPr>
    </w:p>
    <w:p w14:paraId="44DF27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仿宋" w:cs="Times New Roman"/>
          <w:sz w:val="32"/>
          <w:szCs w:val="32"/>
          <w:lang w:eastAsia="zh-CN"/>
        </w:rPr>
      </w:pPr>
    </w:p>
    <w:p w14:paraId="7AFB86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仿宋" w:cs="Times New Roman"/>
          <w:sz w:val="32"/>
          <w:szCs w:val="32"/>
          <w:lang w:eastAsia="zh-CN"/>
        </w:rPr>
      </w:pPr>
    </w:p>
    <w:p w14:paraId="6EF453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Times New Roman" w:hAnsi="Times New Roman" w:eastAsia="仿宋" w:cs="Times New Roman"/>
          <w:sz w:val="32"/>
          <w:szCs w:val="32"/>
          <w:lang w:eastAsia="zh-CN"/>
        </w:rPr>
      </w:pPr>
    </w:p>
    <w:p w14:paraId="672577D5">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5D9D98E">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质量强市和质量考核</w:t>
      </w:r>
      <w:r>
        <w:rPr>
          <w:rFonts w:ascii="黑体" w:hAnsi="黑体" w:eastAsia="黑体" w:cs="黑体"/>
          <w:spacing w:val="15"/>
          <w:position w:val="10"/>
          <w:sz w:val="42"/>
          <w:szCs w:val="42"/>
        </w:rPr>
        <w:t>项目支出</w:t>
      </w:r>
    </w:p>
    <w:p w14:paraId="29BC4855">
      <w:pPr>
        <w:spacing w:before="1" w:line="220" w:lineRule="auto"/>
        <w:jc w:val="center"/>
        <w:rPr>
          <w:rFonts w:ascii="黑体" w:hAnsi="黑体" w:eastAsia="黑体" w:cs="黑体"/>
          <w:sz w:val="42"/>
          <w:szCs w:val="42"/>
        </w:rPr>
      </w:pPr>
      <w:r>
        <w:rPr>
          <w:rFonts w:ascii="黑体" w:hAnsi="黑体" w:eastAsia="黑体" w:cs="黑体"/>
          <w:spacing w:val="10"/>
          <w:sz w:val="42"/>
          <w:szCs w:val="42"/>
        </w:rPr>
        <w:t>绩效自评报告</w:t>
      </w:r>
    </w:p>
    <w:p w14:paraId="1E7BEA76">
      <w:pPr>
        <w:spacing w:line="246" w:lineRule="auto"/>
        <w:rPr>
          <w:rFonts w:ascii="Arial"/>
          <w:sz w:val="21"/>
        </w:rPr>
      </w:pPr>
    </w:p>
    <w:p w14:paraId="5B7E8F55">
      <w:pPr>
        <w:spacing w:line="246" w:lineRule="auto"/>
        <w:rPr>
          <w:rFonts w:ascii="Arial"/>
          <w:sz w:val="21"/>
        </w:rPr>
      </w:pPr>
    </w:p>
    <w:p w14:paraId="5663FC1C">
      <w:pPr>
        <w:spacing w:line="246" w:lineRule="auto"/>
        <w:rPr>
          <w:rFonts w:ascii="Arial"/>
          <w:sz w:val="21"/>
        </w:rPr>
      </w:pPr>
    </w:p>
    <w:p w14:paraId="520437F1">
      <w:pPr>
        <w:spacing w:line="246" w:lineRule="auto"/>
        <w:rPr>
          <w:rFonts w:ascii="Arial"/>
          <w:sz w:val="21"/>
        </w:rPr>
      </w:pPr>
    </w:p>
    <w:p w14:paraId="608BFB99">
      <w:pPr>
        <w:spacing w:line="246" w:lineRule="auto"/>
        <w:rPr>
          <w:rFonts w:ascii="Arial"/>
          <w:sz w:val="21"/>
        </w:rPr>
      </w:pPr>
    </w:p>
    <w:p w14:paraId="7D8519BD">
      <w:pPr>
        <w:spacing w:line="246" w:lineRule="auto"/>
        <w:rPr>
          <w:rFonts w:ascii="Arial"/>
          <w:sz w:val="21"/>
        </w:rPr>
      </w:pPr>
    </w:p>
    <w:p w14:paraId="7F9C71A6">
      <w:pPr>
        <w:spacing w:line="246" w:lineRule="auto"/>
        <w:rPr>
          <w:rFonts w:ascii="Arial"/>
          <w:sz w:val="21"/>
        </w:rPr>
      </w:pPr>
    </w:p>
    <w:p w14:paraId="6A4FEC66">
      <w:pPr>
        <w:spacing w:line="246" w:lineRule="auto"/>
        <w:rPr>
          <w:rFonts w:ascii="Arial"/>
          <w:sz w:val="21"/>
        </w:rPr>
      </w:pPr>
    </w:p>
    <w:p w14:paraId="7276EC73">
      <w:pPr>
        <w:spacing w:line="246" w:lineRule="auto"/>
        <w:rPr>
          <w:rFonts w:ascii="Arial"/>
          <w:sz w:val="21"/>
        </w:rPr>
      </w:pPr>
    </w:p>
    <w:p w14:paraId="6FD5F971">
      <w:pPr>
        <w:spacing w:line="246" w:lineRule="auto"/>
        <w:rPr>
          <w:rFonts w:ascii="Arial"/>
          <w:sz w:val="21"/>
        </w:rPr>
      </w:pPr>
    </w:p>
    <w:p w14:paraId="40B6B813">
      <w:pPr>
        <w:spacing w:line="246" w:lineRule="auto"/>
        <w:rPr>
          <w:rFonts w:ascii="Arial"/>
          <w:sz w:val="21"/>
        </w:rPr>
      </w:pPr>
    </w:p>
    <w:p w14:paraId="56E16568">
      <w:pPr>
        <w:spacing w:line="246" w:lineRule="auto"/>
        <w:rPr>
          <w:rFonts w:ascii="Arial"/>
          <w:sz w:val="21"/>
        </w:rPr>
      </w:pPr>
    </w:p>
    <w:p w14:paraId="401E001E">
      <w:pPr>
        <w:spacing w:line="246" w:lineRule="auto"/>
        <w:rPr>
          <w:rFonts w:ascii="Arial"/>
          <w:sz w:val="21"/>
        </w:rPr>
      </w:pPr>
    </w:p>
    <w:p w14:paraId="16CA413E">
      <w:pPr>
        <w:spacing w:line="246" w:lineRule="auto"/>
        <w:rPr>
          <w:rFonts w:ascii="Arial"/>
          <w:sz w:val="21"/>
        </w:rPr>
      </w:pPr>
    </w:p>
    <w:p w14:paraId="666EB622">
      <w:pPr>
        <w:spacing w:line="246" w:lineRule="auto"/>
        <w:rPr>
          <w:rFonts w:ascii="Arial"/>
          <w:sz w:val="21"/>
        </w:rPr>
      </w:pPr>
    </w:p>
    <w:p w14:paraId="780D9288">
      <w:pPr>
        <w:spacing w:line="246" w:lineRule="auto"/>
        <w:rPr>
          <w:rFonts w:ascii="Arial"/>
          <w:sz w:val="21"/>
        </w:rPr>
      </w:pPr>
    </w:p>
    <w:p w14:paraId="2DEFDBD9">
      <w:pPr>
        <w:spacing w:line="246" w:lineRule="auto"/>
        <w:rPr>
          <w:rFonts w:ascii="Arial"/>
          <w:sz w:val="21"/>
        </w:rPr>
      </w:pPr>
    </w:p>
    <w:p w14:paraId="78763C10">
      <w:pPr>
        <w:spacing w:line="247" w:lineRule="auto"/>
        <w:rPr>
          <w:rFonts w:ascii="Arial"/>
          <w:sz w:val="21"/>
        </w:rPr>
      </w:pPr>
    </w:p>
    <w:p w14:paraId="7AF2C9A8">
      <w:pPr>
        <w:spacing w:line="247" w:lineRule="auto"/>
        <w:rPr>
          <w:rFonts w:ascii="Arial"/>
          <w:sz w:val="21"/>
        </w:rPr>
      </w:pPr>
    </w:p>
    <w:p w14:paraId="0641CDF3">
      <w:pPr>
        <w:spacing w:line="247" w:lineRule="auto"/>
        <w:rPr>
          <w:rFonts w:ascii="Arial"/>
          <w:sz w:val="21"/>
        </w:rPr>
      </w:pPr>
    </w:p>
    <w:p w14:paraId="65544F26">
      <w:pPr>
        <w:spacing w:line="247" w:lineRule="auto"/>
        <w:rPr>
          <w:rFonts w:ascii="Arial"/>
          <w:sz w:val="21"/>
        </w:rPr>
      </w:pPr>
    </w:p>
    <w:p w14:paraId="4224A1F6">
      <w:pPr>
        <w:spacing w:line="247" w:lineRule="auto"/>
        <w:rPr>
          <w:rFonts w:ascii="Arial"/>
          <w:sz w:val="21"/>
        </w:rPr>
      </w:pPr>
    </w:p>
    <w:p w14:paraId="1C034AC9">
      <w:pPr>
        <w:spacing w:line="247" w:lineRule="auto"/>
        <w:rPr>
          <w:rFonts w:ascii="Arial"/>
          <w:sz w:val="21"/>
        </w:rPr>
      </w:pPr>
    </w:p>
    <w:p w14:paraId="2C5F1E68">
      <w:pPr>
        <w:spacing w:line="247" w:lineRule="auto"/>
        <w:rPr>
          <w:rFonts w:ascii="Arial"/>
          <w:sz w:val="21"/>
        </w:rPr>
      </w:pPr>
    </w:p>
    <w:p w14:paraId="5B241872">
      <w:pPr>
        <w:spacing w:line="247" w:lineRule="auto"/>
        <w:rPr>
          <w:rFonts w:ascii="Arial"/>
          <w:sz w:val="21"/>
        </w:rPr>
      </w:pPr>
    </w:p>
    <w:p w14:paraId="64AEB03F">
      <w:pPr>
        <w:spacing w:line="247" w:lineRule="auto"/>
        <w:rPr>
          <w:rFonts w:ascii="Arial"/>
          <w:sz w:val="21"/>
        </w:rPr>
      </w:pPr>
    </w:p>
    <w:p w14:paraId="5E7E9D44">
      <w:pPr>
        <w:spacing w:line="247" w:lineRule="auto"/>
        <w:rPr>
          <w:rFonts w:ascii="Arial"/>
          <w:sz w:val="21"/>
        </w:rPr>
      </w:pPr>
    </w:p>
    <w:p w14:paraId="2E9B85BA">
      <w:pPr>
        <w:spacing w:line="247" w:lineRule="auto"/>
        <w:rPr>
          <w:rFonts w:ascii="Arial"/>
          <w:sz w:val="21"/>
        </w:rPr>
      </w:pPr>
    </w:p>
    <w:p w14:paraId="388E4A8C">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0CDD62D8">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33540774">
      <w:pPr>
        <w:pStyle w:val="2"/>
        <w:spacing w:before="1" w:line="223" w:lineRule="auto"/>
        <w:ind w:left="3560"/>
        <w:rPr>
          <w:sz w:val="24"/>
          <w:szCs w:val="24"/>
        </w:rPr>
      </w:pPr>
      <w:r>
        <w:rPr>
          <w:spacing w:val="7"/>
          <w:sz w:val="24"/>
          <w:szCs w:val="24"/>
        </w:rPr>
        <w:t>(此面为封面)</w:t>
      </w:r>
    </w:p>
    <w:p w14:paraId="4C472E23">
      <w:pPr>
        <w:spacing w:line="223" w:lineRule="auto"/>
        <w:rPr>
          <w:sz w:val="24"/>
          <w:szCs w:val="24"/>
        </w:rPr>
        <w:sectPr>
          <w:footerReference r:id="rId10" w:type="default"/>
          <w:pgSz w:w="11900" w:h="16820"/>
          <w:pgMar w:top="1429" w:right="1782" w:bottom="1158" w:left="1450" w:header="0" w:footer="850" w:gutter="0"/>
          <w:cols w:space="720" w:num="1"/>
        </w:sectPr>
      </w:pPr>
    </w:p>
    <w:p w14:paraId="56E3ECEB">
      <w:pPr>
        <w:spacing w:before="137" w:line="221" w:lineRule="auto"/>
        <w:jc w:val="center"/>
        <w:rPr>
          <w:rFonts w:ascii="黑体" w:hAnsi="黑体" w:eastAsia="黑体" w:cs="黑体"/>
          <w:sz w:val="42"/>
          <w:szCs w:val="42"/>
        </w:rPr>
      </w:pPr>
      <w:r>
        <w:rPr>
          <w:rFonts w:hint="eastAsia" w:ascii="黑体" w:hAnsi="黑体" w:eastAsia="黑体" w:cs="黑体"/>
          <w:b/>
          <w:bCs/>
          <w:spacing w:val="6"/>
          <w:sz w:val="42"/>
          <w:szCs w:val="42"/>
        </w:rPr>
        <w:t>质量强市和质量考核</w:t>
      </w:r>
      <w:r>
        <w:rPr>
          <w:rFonts w:ascii="黑体" w:hAnsi="黑体" w:eastAsia="黑体" w:cs="黑体"/>
          <w:b/>
          <w:bCs/>
          <w:spacing w:val="6"/>
          <w:sz w:val="42"/>
          <w:szCs w:val="42"/>
        </w:rPr>
        <w:t>项目支出绩效评价报告</w:t>
      </w:r>
    </w:p>
    <w:p w14:paraId="7DAFA099">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spacing w:val="0"/>
          <w:kern w:val="0"/>
          <w:sz w:val="32"/>
          <w:szCs w:val="32"/>
          <w:lang w:val="en-US" w:eastAsia="zh-CN" w:bidi="ar-SA"/>
        </w:rPr>
      </w:pPr>
    </w:p>
    <w:p w14:paraId="179D3510">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b w:val="0"/>
          <w:bCs w:val="0"/>
          <w:snapToGrid w:val="0"/>
          <w:color w:val="000000"/>
          <w:spacing w:val="0"/>
          <w:kern w:val="0"/>
          <w:sz w:val="32"/>
          <w:szCs w:val="32"/>
          <w:lang w:val="en-US" w:eastAsia="zh-CN" w:bidi="ar-SA"/>
        </w:rPr>
        <w:t>根据《中共中央国务院关于全面实施预算绩效管理的意见》《项目支出绩效评价管理办法》（财预〔2020〕10号）等文件规定，按照《汨罗市预算绩效管理实施办法》（汨办发[20</w:t>
      </w:r>
      <w:r>
        <w:rPr>
          <w:rFonts w:hint="default" w:ascii="Times New Roman" w:hAnsi="Times New Roman" w:eastAsia="仿宋" w:cs="Times New Roman"/>
          <w:b w:val="0"/>
          <w:bCs w:val="0"/>
          <w:snapToGrid w:val="0"/>
          <w:color w:val="000000"/>
          <w:spacing w:val="0"/>
          <w:kern w:val="0"/>
          <w:sz w:val="32"/>
          <w:szCs w:val="32"/>
          <w:highlight w:val="none"/>
          <w:lang w:val="en-US" w:eastAsia="zh-CN" w:bidi="ar-SA"/>
        </w:rPr>
        <w:t>22]42号）等相关文件要求，</w:t>
      </w:r>
      <w:r>
        <w:rPr>
          <w:rFonts w:hint="default" w:ascii="Times New Roman" w:hAnsi="Times New Roman" w:eastAsia="仿宋" w:cs="Times New Roman"/>
          <w:b w:val="0"/>
          <w:bCs w:val="0"/>
          <w:sz w:val="32"/>
          <w:szCs w:val="32"/>
          <w:highlight w:val="none"/>
        </w:rPr>
        <w:t>现对汨罗市市场监督管理局202</w:t>
      </w:r>
      <w:r>
        <w:rPr>
          <w:rFonts w:hint="default" w:ascii="Times New Roman" w:hAnsi="Times New Roman" w:eastAsia="仿宋" w:cs="Times New Roman"/>
          <w:b w:val="0"/>
          <w:bCs w:val="0"/>
          <w:sz w:val="32"/>
          <w:szCs w:val="32"/>
          <w:highlight w:val="none"/>
          <w:lang w:val="en-US" w:eastAsia="zh-CN"/>
        </w:rPr>
        <w:t>3</w:t>
      </w:r>
      <w:r>
        <w:rPr>
          <w:rFonts w:hint="default" w:ascii="Times New Roman" w:hAnsi="Times New Roman" w:eastAsia="仿宋" w:cs="Times New Roman"/>
          <w:b w:val="0"/>
          <w:bCs w:val="0"/>
          <w:sz w:val="32"/>
          <w:szCs w:val="32"/>
          <w:highlight w:val="none"/>
        </w:rPr>
        <w:t>年度的质量强市和质量考核</w:t>
      </w:r>
      <w:r>
        <w:rPr>
          <w:rFonts w:hint="default" w:ascii="Times New Roman" w:hAnsi="Times New Roman" w:eastAsia="仿宋" w:cs="Times New Roman"/>
          <w:b w:val="0"/>
          <w:bCs w:val="0"/>
          <w:spacing w:val="6"/>
          <w:sz w:val="32"/>
          <w:szCs w:val="32"/>
          <w:highlight w:val="none"/>
          <w:lang w:eastAsia="zh-CN"/>
        </w:rPr>
        <w:t>专项</w:t>
      </w:r>
      <w:r>
        <w:rPr>
          <w:rFonts w:hint="default" w:ascii="Times New Roman" w:hAnsi="Times New Roman" w:eastAsia="仿宋" w:cs="Times New Roman"/>
          <w:b w:val="0"/>
          <w:bCs w:val="0"/>
          <w:sz w:val="32"/>
          <w:szCs w:val="32"/>
          <w:highlight w:val="none"/>
        </w:rPr>
        <w:t>开展绩效自评，具体情况汇报如下：</w:t>
      </w:r>
    </w:p>
    <w:p w14:paraId="74DC7DA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default" w:ascii="黑体" w:hAnsi="黑体" w:eastAsia="黑体" w:cs="黑体"/>
          <w:b/>
          <w:bCs/>
          <w:spacing w:val="-15"/>
          <w:sz w:val="31"/>
          <w:szCs w:val="31"/>
        </w:rPr>
      </w:pPr>
      <w:r>
        <w:rPr>
          <w:rFonts w:hint="default" w:ascii="黑体" w:hAnsi="黑体" w:eastAsia="黑体" w:cs="黑体"/>
          <w:b/>
          <w:bCs/>
          <w:spacing w:val="-15"/>
          <w:sz w:val="31"/>
          <w:szCs w:val="31"/>
        </w:rPr>
        <w:t>一、项目基本情况</w:t>
      </w:r>
    </w:p>
    <w:p w14:paraId="3A982D22">
      <w:pPr>
        <w:pStyle w:val="5"/>
        <w:keepNext w:val="0"/>
        <w:keepLines w:val="0"/>
        <w:pageBreakBefore w:val="0"/>
        <w:wordWrap/>
        <w:overflowPunct/>
        <w:topLinePunct w:val="0"/>
        <w:bidi w:val="0"/>
        <w:spacing w:before="0" w:beforeAutospacing="0" w:after="0" w:afterAutospacing="0"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1、项目立项依据</w:t>
      </w:r>
      <w:r>
        <w:rPr>
          <w:rFonts w:hint="default" w:ascii="Times New Roman" w:hAnsi="Times New Roman" w:eastAsia="仿宋" w:cs="Times New Roman"/>
          <w:b w:val="0"/>
          <w:bCs w:val="0"/>
          <w:snapToGrid w:val="0"/>
          <w:color w:val="000000"/>
          <w:spacing w:val="0"/>
          <w:kern w:val="0"/>
          <w:sz w:val="32"/>
          <w:szCs w:val="32"/>
          <w:lang w:val="en-US" w:eastAsia="zh-CN" w:bidi="ar-SA"/>
        </w:rPr>
        <w:t>《汨罗市预算绩效管理实施办法》（汨办发[20</w:t>
      </w:r>
      <w:r>
        <w:rPr>
          <w:rFonts w:hint="default" w:ascii="Times New Roman" w:hAnsi="Times New Roman" w:eastAsia="仿宋" w:cs="Times New Roman"/>
          <w:b w:val="0"/>
          <w:bCs w:val="0"/>
          <w:snapToGrid w:val="0"/>
          <w:color w:val="000000"/>
          <w:spacing w:val="0"/>
          <w:kern w:val="0"/>
          <w:sz w:val="32"/>
          <w:szCs w:val="32"/>
          <w:highlight w:val="none"/>
          <w:lang w:val="en-US" w:eastAsia="zh-CN" w:bidi="ar-SA"/>
        </w:rPr>
        <w:t>22]42号）</w:t>
      </w:r>
      <w:r>
        <w:rPr>
          <w:rFonts w:hint="default" w:ascii="Times New Roman" w:hAnsi="Times New Roman" w:eastAsia="仿宋" w:cs="Times New Roman"/>
          <w:kern w:val="0"/>
          <w:sz w:val="32"/>
          <w:szCs w:val="32"/>
          <w:lang w:val="en-US" w:eastAsia="zh-CN" w:bidi="ar-SA"/>
        </w:rPr>
        <w:t>。</w:t>
      </w:r>
    </w:p>
    <w:p w14:paraId="1E9DEBAD">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sz w:val="32"/>
          <w:szCs w:val="32"/>
        </w:rPr>
        <w:t>本项目依据</w:t>
      </w:r>
      <w:r>
        <w:rPr>
          <w:rFonts w:hint="default" w:ascii="Times New Roman" w:hAnsi="Times New Roman" w:eastAsia="仿宋" w:cs="Times New Roman"/>
          <w:kern w:val="0"/>
          <w:sz w:val="32"/>
          <w:szCs w:val="32"/>
          <w:lang w:val="en-US" w:eastAsia="zh-CN" w:bidi="ar-SA"/>
        </w:rPr>
        <w:t>文件设立。</w:t>
      </w:r>
    </w:p>
    <w:p w14:paraId="459A3159">
      <w:pPr>
        <w:pStyle w:val="5"/>
        <w:keepNext w:val="0"/>
        <w:keepLines w:val="0"/>
        <w:pageBreakBefore w:val="0"/>
        <w:wordWrap/>
        <w:overflowPunct/>
        <w:topLinePunct w:val="0"/>
        <w:bidi w:val="0"/>
        <w:spacing w:before="0" w:beforeAutospacing="0" w:after="0" w:afterAutospacing="0" w:line="560" w:lineRule="exact"/>
        <w:rPr>
          <w:rFonts w:hint="default" w:ascii="Times New Roman" w:hAnsi="Times New Roman" w:eastAsia="仿宋" w:cs="Times New Roman"/>
          <w:b w:val="0"/>
          <w:kern w:val="0"/>
          <w:sz w:val="32"/>
          <w:szCs w:val="32"/>
          <w:lang w:val="en-US" w:eastAsia="zh-CN" w:bidi="ar-SA"/>
        </w:rPr>
      </w:pPr>
      <w:r>
        <w:rPr>
          <w:rFonts w:hint="default" w:ascii="Times New Roman" w:hAnsi="Times New Roman" w:eastAsia="仿宋" w:cs="Times New Roman"/>
          <w:b w:val="0"/>
          <w:kern w:val="0"/>
          <w:sz w:val="32"/>
          <w:szCs w:val="32"/>
          <w:lang w:val="en-US" w:eastAsia="zh-CN" w:bidi="ar-SA"/>
        </w:rPr>
        <w:t>2、项目绩效目标</w:t>
      </w:r>
    </w:p>
    <w:p w14:paraId="2A91806E">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23</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eastAsia="zh-CN"/>
        </w:rPr>
        <w:t>汨罗市</w:t>
      </w:r>
      <w:r>
        <w:rPr>
          <w:rFonts w:hint="default" w:ascii="Times New Roman" w:hAnsi="Times New Roman" w:eastAsia="仿宋" w:cs="Times New Roman"/>
          <w:sz w:val="32"/>
          <w:szCs w:val="32"/>
          <w:lang w:val="en-US" w:eastAsia="zh-CN"/>
        </w:rPr>
        <w:t>质量强市</w:t>
      </w:r>
      <w:r>
        <w:rPr>
          <w:rFonts w:hint="default" w:ascii="Times New Roman" w:hAnsi="Times New Roman" w:eastAsia="仿宋" w:cs="Times New Roman"/>
          <w:sz w:val="32"/>
          <w:szCs w:val="32"/>
        </w:rPr>
        <w:t>资金目标为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kern w:val="0"/>
          <w:sz w:val="32"/>
          <w:szCs w:val="32"/>
          <w:lang w:val="en-US" w:eastAsia="zh-CN" w:bidi="ar-SA"/>
        </w:rPr>
        <w:t>质量体系有力优化。</w:t>
      </w:r>
    </w:p>
    <w:p w14:paraId="2BFCA4CB">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质量基础不断提升，汨罗获批湖南省质量基础设施“一站式”服务首批试点地。激励机制有效健全。综合监管体系日趋完善，安全防线不断加固。质量强市工作成效突出，质量工作机制完善，制度配套，质量工作责任制落实到位，在推进质量基础设施“一站式”服务平台建设和质量工作改革创新特色明显。</w:t>
      </w:r>
    </w:p>
    <w:p w14:paraId="7DE097CE">
      <w:pPr>
        <w:keepNext w:val="0"/>
        <w:keepLines w:val="0"/>
        <w:pageBreakBefore w:val="0"/>
        <w:shd w:val="solid" w:color="FFFFFF" w:fill="auto"/>
        <w:wordWrap/>
        <w:overflowPunct/>
        <w:topLinePunct w:val="0"/>
        <w:autoSpaceDN w:val="0"/>
        <w:bidi w:val="0"/>
        <w:spacing w:line="560" w:lineRule="exact"/>
        <w:ind w:firstLine="640" w:firstLineChars="200"/>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3、项目管理和使用情况</w:t>
      </w:r>
    </w:p>
    <w:p w14:paraId="7E05DB93">
      <w:pPr>
        <w:keepNext w:val="0"/>
        <w:keepLines w:val="0"/>
        <w:pageBreakBefore w:val="0"/>
        <w:shd w:val="solid" w:color="FFFFFF" w:fill="auto"/>
        <w:wordWrap/>
        <w:overflowPunct/>
        <w:topLinePunct w:val="0"/>
        <w:autoSpaceDN w:val="0"/>
        <w:bidi w:val="0"/>
        <w:spacing w:line="560" w:lineRule="exact"/>
        <w:ind w:firstLine="640" w:firstLineChars="200"/>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color w:val="000000"/>
          <w:sz w:val="32"/>
          <w:szCs w:val="32"/>
          <w:shd w:val="clear" w:color="auto" w:fill="FFFFFF"/>
        </w:rPr>
        <w:t>（一）专项经费管理措施、制度建设情况。我局对于批复到位的经费，根据工作任务需要，统一管理核算。每年年初为保障项目经费的专款专用和及时到位，发挥好资金使用效率，制定财务制度，对专项经费专门列项，</w:t>
      </w:r>
      <w:r>
        <w:rPr>
          <w:rFonts w:hint="default" w:ascii="Times New Roman" w:hAnsi="Times New Roman" w:eastAsia="仿宋" w:cs="Times New Roman"/>
          <w:color w:val="000000"/>
          <w:sz w:val="32"/>
          <w:szCs w:val="32"/>
        </w:rPr>
        <w:t>专题研究，专项预算，专项审批，专项开支。</w:t>
      </w:r>
    </w:p>
    <w:p w14:paraId="1035E4F1">
      <w:pPr>
        <w:keepNext w:val="0"/>
        <w:keepLines w:val="0"/>
        <w:pageBreakBefore w:val="0"/>
        <w:shd w:val="solid" w:color="FFFFFF" w:fill="auto"/>
        <w:wordWrap/>
        <w:overflowPunct/>
        <w:topLinePunct w:val="0"/>
        <w:autoSpaceDN w:val="0"/>
        <w:bidi w:val="0"/>
        <w:spacing w:line="560" w:lineRule="exact"/>
        <w:ind w:firstLine="640"/>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sz w:val="32"/>
          <w:szCs w:val="32"/>
          <w:shd w:val="clear" w:color="auto" w:fill="FFFFFF"/>
        </w:rPr>
        <w:t xml:space="preserve">（二）专项经费使用流程及监督检查情况。每一笔经费在核定的支出限额和支出范围内实行据实凭票报账制；严格财务程序，强化报销环节管理，认真落实经办人、经费使用单位负责人、财务管理人员责任，确保了经费支出的合规、到位。同时，严格监督专项经费专款专用，并通过党政负责人会议、工作群等不同形式，进行定期公开，确保了专项经费收支公开、透明。      </w:t>
      </w:r>
    </w:p>
    <w:p w14:paraId="22E5EFE1">
      <w:pPr>
        <w:pStyle w:val="5"/>
        <w:keepNext w:val="0"/>
        <w:keepLines w:val="0"/>
        <w:pageBreakBefore w:val="0"/>
        <w:wordWrap/>
        <w:overflowPunct/>
        <w:topLinePunct w:val="0"/>
        <w:bidi w:val="0"/>
        <w:spacing w:before="0" w:beforeAutospacing="0" w:after="0" w:afterAutospacing="0" w:line="560" w:lineRule="exact"/>
        <w:ind w:left="0" w:leftChars="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（三）管理和使用情况</w:t>
      </w:r>
    </w:p>
    <w:p w14:paraId="11AD2328">
      <w:pPr>
        <w:pStyle w:val="5"/>
        <w:keepNext w:val="0"/>
        <w:keepLines w:val="0"/>
        <w:pageBreakBefore w:val="0"/>
        <w:wordWrap/>
        <w:overflowPunct/>
        <w:topLinePunct w:val="0"/>
        <w:bidi w:val="0"/>
        <w:spacing w:before="0" w:beforeAutospacing="0" w:after="0" w:afterAutospacing="0" w:line="560" w:lineRule="exact"/>
        <w:ind w:firstLine="707" w:firstLineChars="221"/>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23</w:t>
      </w:r>
      <w:r>
        <w:rPr>
          <w:rFonts w:hint="default" w:ascii="Times New Roman" w:hAnsi="Times New Roman" w:eastAsia="仿宋" w:cs="Times New Roman"/>
          <w:sz w:val="32"/>
          <w:szCs w:val="32"/>
        </w:rPr>
        <w:t>年度结合本局的实际情况，对照专项绩效预算目标要求，严格按照财务制度的规定，合理使用</w:t>
      </w:r>
      <w:r>
        <w:rPr>
          <w:rFonts w:hint="default" w:ascii="Times New Roman" w:hAnsi="Times New Roman" w:eastAsia="仿宋" w:cs="Times New Roman"/>
          <w:sz w:val="32"/>
          <w:szCs w:val="32"/>
          <w:lang w:eastAsia="zh-CN"/>
        </w:rPr>
        <w:t>。</w:t>
      </w:r>
    </w:p>
    <w:p w14:paraId="19F0FA92">
      <w:pPr>
        <w:pStyle w:val="5"/>
        <w:keepNext w:val="0"/>
        <w:keepLines w:val="0"/>
        <w:pageBreakBefore w:val="0"/>
        <w:wordWrap/>
        <w:overflowPunct/>
        <w:topLinePunct w:val="0"/>
        <w:bidi w:val="0"/>
        <w:spacing w:before="0" w:beforeAutospacing="0" w:after="0" w:afterAutospacing="0" w:line="560" w:lineRule="exact"/>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23</w:t>
      </w:r>
      <w:r>
        <w:rPr>
          <w:rFonts w:hint="default" w:ascii="Times New Roman" w:hAnsi="Times New Roman" w:eastAsia="仿宋" w:cs="Times New Roman"/>
          <w:sz w:val="32"/>
          <w:szCs w:val="32"/>
        </w:rPr>
        <w:t>年度</w:t>
      </w:r>
      <w:r>
        <w:rPr>
          <w:rFonts w:hint="default" w:ascii="Times New Roman" w:hAnsi="Times New Roman" w:eastAsia="仿宋" w:cs="Times New Roman"/>
          <w:sz w:val="32"/>
          <w:szCs w:val="32"/>
          <w:lang w:val="en-US" w:eastAsia="zh-CN"/>
        </w:rPr>
        <w:t>质量强市和质量考核资金</w:t>
      </w:r>
      <w:r>
        <w:rPr>
          <w:rFonts w:hint="default" w:ascii="Times New Roman" w:hAnsi="Times New Roman" w:eastAsia="仿宋" w:cs="Times New Roman"/>
          <w:sz w:val="32"/>
          <w:szCs w:val="32"/>
        </w:rPr>
        <w:t>为</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万元，资金已全部下达</w:t>
      </w:r>
      <w:r>
        <w:rPr>
          <w:rFonts w:hint="eastAsia" w:ascii="Times New Roman" w:hAnsi="Times New Roman" w:eastAsia="仿宋" w:cs="Times New Roman"/>
          <w:sz w:val="32"/>
          <w:szCs w:val="32"/>
          <w:lang w:eastAsia="zh-CN"/>
        </w:rPr>
        <w:t>。</w:t>
      </w:r>
    </w:p>
    <w:p w14:paraId="4D64008D">
      <w:pPr>
        <w:keepNext w:val="0"/>
        <w:keepLines w:val="0"/>
        <w:pageBreakBefore w:val="0"/>
        <w:wordWrap/>
        <w:overflowPunct/>
        <w:topLinePunct w:val="0"/>
        <w:bidi w:val="0"/>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上述资金已全部按专项要求足额支出。主要是用于</w:t>
      </w:r>
      <w:r>
        <w:rPr>
          <w:rFonts w:hint="default" w:ascii="Times New Roman" w:hAnsi="Times New Roman" w:eastAsia="仿宋" w:cs="Times New Roman"/>
          <w:sz w:val="32"/>
          <w:szCs w:val="32"/>
          <w:lang w:val="en-US" w:eastAsia="zh-CN"/>
        </w:rPr>
        <w:t>2023年度</w:t>
      </w:r>
      <w:r>
        <w:rPr>
          <w:rFonts w:hint="default" w:ascii="Times New Roman" w:hAnsi="Times New Roman" w:eastAsia="仿宋" w:cs="Times New Roman"/>
          <w:color w:val="000000"/>
          <w:sz w:val="32"/>
          <w:szCs w:val="32"/>
        </w:rPr>
        <w:t>加强</w:t>
      </w:r>
      <w:r>
        <w:rPr>
          <w:rFonts w:hint="default" w:ascii="Times New Roman" w:hAnsi="Times New Roman" w:eastAsia="仿宋" w:cs="Times New Roman"/>
          <w:sz w:val="32"/>
          <w:szCs w:val="32"/>
        </w:rPr>
        <w:t>质量基础设施“一站式”服务</w:t>
      </w:r>
      <w:r>
        <w:rPr>
          <w:rFonts w:hint="default" w:ascii="Times New Roman" w:hAnsi="Times New Roman" w:eastAsia="仿宋" w:cs="Times New Roman"/>
          <w:sz w:val="32"/>
          <w:szCs w:val="32"/>
          <w:lang w:val="en-US" w:eastAsia="zh-CN"/>
        </w:rPr>
        <w:t>建设。</w:t>
      </w:r>
    </w:p>
    <w:p w14:paraId="624F0098">
      <w:pPr>
        <w:pStyle w:val="5"/>
        <w:keepNext w:val="0"/>
        <w:keepLines w:val="0"/>
        <w:pageBreakBefore w:val="0"/>
        <w:numPr>
          <w:ilvl w:val="0"/>
          <w:numId w:val="0"/>
        </w:numPr>
        <w:wordWrap/>
        <w:overflowPunct/>
        <w:topLinePunct w:val="0"/>
        <w:bidi w:val="0"/>
        <w:spacing w:before="0" w:beforeAutospacing="0" w:after="0" w:afterAutospacing="0"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（四）</w:t>
      </w:r>
      <w:r>
        <w:rPr>
          <w:rFonts w:hint="default" w:ascii="Times New Roman" w:hAnsi="Times New Roman" w:eastAsia="仿宋" w:cs="Times New Roman"/>
          <w:sz w:val="32"/>
          <w:szCs w:val="32"/>
        </w:rPr>
        <w:t>绩效情况分析</w:t>
      </w:r>
    </w:p>
    <w:p w14:paraId="215A6858">
      <w:pPr>
        <w:keepNext w:val="0"/>
        <w:keepLines w:val="0"/>
        <w:pageBreakBefore w:val="0"/>
        <w:widowControl/>
        <w:numPr>
          <w:ilvl w:val="0"/>
          <w:numId w:val="0"/>
        </w:numPr>
        <w:shd w:val="clear" w:color="auto" w:fill="FFFFFF"/>
        <w:wordWrap/>
        <w:overflowPunct/>
        <w:topLinePunct w:val="0"/>
        <w:bidi w:val="0"/>
        <w:spacing w:line="560" w:lineRule="exact"/>
        <w:ind w:firstLine="640" w:firstLineChars="200"/>
        <w:jc w:val="left"/>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工作</w:t>
      </w:r>
      <w:r>
        <w:rPr>
          <w:rFonts w:hint="default" w:ascii="Times New Roman" w:hAnsi="Times New Roman" w:eastAsia="仿宋" w:cs="Times New Roman"/>
          <w:sz w:val="32"/>
          <w:szCs w:val="32"/>
        </w:rPr>
        <w:t>完成情况。</w:t>
      </w:r>
    </w:p>
    <w:p w14:paraId="1F6D31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sz w:val="32"/>
          <w:szCs w:val="32"/>
          <w:lang w:val="en-US" w:eastAsia="zh-CN"/>
        </w:rPr>
        <w:t xml:space="preserve"> 一是</w:t>
      </w:r>
      <w:r>
        <w:rPr>
          <w:rFonts w:hint="default" w:ascii="Times New Roman" w:hAnsi="Times New Roman" w:eastAsia="仿宋" w:cs="Times New Roman"/>
          <w:kern w:val="0"/>
          <w:sz w:val="32"/>
          <w:szCs w:val="32"/>
          <w:lang w:val="en-US" w:eastAsia="zh-CN" w:bidi="ar-SA"/>
        </w:rPr>
        <w:t>质量基础不断提升，汨罗获批湖南省质量基础设施“一站式”服务首批试点地</w:t>
      </w:r>
      <w:r>
        <w:rPr>
          <w:rFonts w:hint="default" w:ascii="Times New Roman" w:hAnsi="Times New Roman" w:eastAsia="仿宋" w:cs="Times New Roman"/>
          <w:spacing w:val="5"/>
          <w:sz w:val="32"/>
          <w:szCs w:val="32"/>
        </w:rPr>
        <w:t>2023年11月21日，顺利通过省市场监管局验收</w:t>
      </w:r>
      <w:r>
        <w:rPr>
          <w:rFonts w:hint="default" w:ascii="Times New Roman" w:hAnsi="Times New Roman" w:eastAsia="仿宋" w:cs="Times New Roman"/>
          <w:kern w:val="0"/>
          <w:sz w:val="32"/>
          <w:szCs w:val="32"/>
          <w:lang w:val="en-US" w:eastAsia="zh-CN" w:bidi="ar-SA"/>
        </w:rPr>
        <w:t>。激励机制有效健全，出台《汨罗市市长质量奖管理办法》、《汨罗市支持工业企业十条措施》、《关于中小微企业创新创业问题的会议纪要》等文件，建立了政府质量奖励机制。二是据岳阳市局重点企业质量提升精准帮扶三年行动计划，上报“汨罗市屈原酒业有限公司”为市局重点帮扶企业，力争通过三年精准帮扶，使企业质量品牌效应彰显，产品质量稳定提高，企业实现卓越绩效管理，采标制标水平明显提升，打造质量管理标杆企业。为落实《湖南省市场监督管理局、湖南省工业信息化厅关于持续开展小微企业质量管理体系认证提升行动的通知》全面推广小微企业质量管理体系认证提升行动试点经验，推进小微企业体系认证提升行动，助推经济高质量发展，结合汨罗产业特定，遴选汨罗市凯胜塑业有限公司参与质量管理体系认证提升行动，确保行动工作任务落实。三是质量基础设施一站式服务工作，以园区所在地市监所为基础，以局相关股室为依托，设置了三个园区服务窗口，实现一窗口受理、一站式服务，同时将相关制度和联系方式在服务大厅上墙公示。服务窗口安排固定工作人员，统一受理企业质量服务需求信息，对在窗口无法解决的，及时流转至相关股室、各市场监管所、相关团体或机构开展工作。工作人员主动与被服务企业保持联系，跟进服务进度，协调解决服务中遇到的问题，在服务周期结束后，邀请企业进行服务满意度测评并提出服务建议。形成企业自觉抓质量提升的内动力和良好生态。持续深入开展“质量月”“质量官培训”“质量体检进企业”活动，广泛宣传培育先进质量文化。</w:t>
      </w:r>
    </w:p>
    <w:p w14:paraId="727FB7A4">
      <w:pPr>
        <w:keepNext w:val="0"/>
        <w:keepLines w:val="0"/>
        <w:pageBreakBefore w:val="0"/>
        <w:widowControl/>
        <w:wordWrap/>
        <w:overflowPunct/>
        <w:topLinePunct w:val="0"/>
        <w:bidi w:val="0"/>
        <w:spacing w:line="560" w:lineRule="exact"/>
        <w:ind w:firstLine="640" w:firstLineChars="200"/>
        <w:jc w:val="left"/>
        <w:textAlignment w:val="center"/>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2、效益完成情况。全市质量基础设施“一站式”直线服务乡镇试点服务能力持续增长，服务意识及服务水平不断提升。</w:t>
      </w:r>
    </w:p>
    <w:p w14:paraId="6BBCD639">
      <w:pPr>
        <w:keepNext w:val="0"/>
        <w:keepLines w:val="0"/>
        <w:pageBreakBefore w:val="0"/>
        <w:widowControl/>
        <w:wordWrap/>
        <w:overflowPunct/>
        <w:topLinePunct w:val="0"/>
        <w:bidi w:val="0"/>
        <w:spacing w:line="560" w:lineRule="exact"/>
        <w:ind w:firstLine="640" w:firstLineChars="200"/>
        <w:jc w:val="left"/>
        <w:textAlignment w:val="center"/>
        <w:rPr>
          <w:rFonts w:hint="eastAsia" w:eastAsia="仿宋_GB2312"/>
          <w:kern w:val="0"/>
          <w:sz w:val="32"/>
          <w:szCs w:val="32"/>
          <w:lang w:eastAsia="zh-CN"/>
        </w:rPr>
      </w:pPr>
      <w:r>
        <w:rPr>
          <w:rFonts w:hint="default" w:ascii="Times New Roman" w:hAnsi="Times New Roman" w:eastAsia="仿宋" w:cs="Times New Roman"/>
          <w:color w:val="000000"/>
          <w:kern w:val="2"/>
          <w:sz w:val="32"/>
          <w:szCs w:val="32"/>
          <w:lang w:val="en-US" w:eastAsia="zh-CN" w:bidi="ar-SA"/>
        </w:rPr>
        <w:t>3、满意度完成情况。通过调查，全市质量基础设施“一站式”服务满意度</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color w:val="000000"/>
          <w:kern w:val="2"/>
          <w:sz w:val="32"/>
          <w:szCs w:val="32"/>
          <w:lang w:val="en-US" w:eastAsia="zh-CN" w:bidi="ar-SA"/>
        </w:rPr>
        <w:t>≥90%，并逐步提高。</w:t>
      </w:r>
    </w:p>
    <w:sectPr>
      <w:footerReference r:id="rId1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
    <w:altName w:val="Verdana"/>
    <w:panose1 w:val="02010600030101010101"/>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4614"/>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DD0AB5C">
        <w:pPr>
          <w:pStyle w:val="3"/>
          <w:jc w:val="right"/>
          <w:rPr>
            <w:rFonts w:asciiTheme="minorEastAsia" w:hAnsiTheme="minorEastAsia" w:eastAsiaTheme="minorEastAsia"/>
            <w:kern w:val="0"/>
            <w:sz w:val="28"/>
            <w:szCs w:val="28"/>
          </w:rPr>
        </w:pPr>
      </w:p>
    </w:sdtContent>
  </w:sdt>
  <w:p w14:paraId="6BE2F15B">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9783"/>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004500AA">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8179BBD">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EA1BC">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2618">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E8603"/>
    <w:multiLevelType w:val="singleLevel"/>
    <w:tmpl w:val="8CEE8603"/>
    <w:lvl w:ilvl="0" w:tentative="0">
      <w:start w:val="4"/>
      <w:numFmt w:val="chineseCounting"/>
      <w:suff w:val="nothing"/>
      <w:lvlText w:val="（%1）"/>
      <w:lvlJc w:val="left"/>
      <w:rPr>
        <w:rFonts w:hint="eastAsia"/>
      </w:rPr>
    </w:lvl>
  </w:abstractNum>
  <w:abstractNum w:abstractNumId="1">
    <w:nsid w:val="0DC5F6CD"/>
    <w:multiLevelType w:val="singleLevel"/>
    <w:tmpl w:val="0DC5F6CD"/>
    <w:lvl w:ilvl="0" w:tentative="0">
      <w:start w:val="4"/>
      <w:numFmt w:val="chineseCounting"/>
      <w:suff w:val="nothing"/>
      <w:lvlText w:val="%1、"/>
      <w:lvlJc w:val="left"/>
      <w:rPr>
        <w:rFonts w:hint="eastAsia"/>
      </w:rPr>
    </w:lvl>
  </w:abstractNum>
  <w:abstractNum w:abstractNumId="2">
    <w:nsid w:val="3283A29A"/>
    <w:multiLevelType w:val="singleLevel"/>
    <w:tmpl w:val="3283A29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FlZTdiYzYzMWFkMDI2NTE0ZWJiMjljNWYxNzQyZmYifQ=="/>
  </w:docVars>
  <w:rsids>
    <w:rsidRoot w:val="00000000"/>
    <w:rsid w:val="01AF3811"/>
    <w:rsid w:val="03795BF7"/>
    <w:rsid w:val="086E756B"/>
    <w:rsid w:val="0ACF37E5"/>
    <w:rsid w:val="0B400BC6"/>
    <w:rsid w:val="0E68228D"/>
    <w:rsid w:val="0EA6787F"/>
    <w:rsid w:val="15276E52"/>
    <w:rsid w:val="19D32FBC"/>
    <w:rsid w:val="1CA76EDA"/>
    <w:rsid w:val="1E6A4395"/>
    <w:rsid w:val="25557A3D"/>
    <w:rsid w:val="26EA5ED7"/>
    <w:rsid w:val="27A93B82"/>
    <w:rsid w:val="2AE00186"/>
    <w:rsid w:val="308216BE"/>
    <w:rsid w:val="321F4546"/>
    <w:rsid w:val="34FE1149"/>
    <w:rsid w:val="3A550786"/>
    <w:rsid w:val="3B7A130F"/>
    <w:rsid w:val="494A1329"/>
    <w:rsid w:val="4F8B6063"/>
    <w:rsid w:val="52FA3F96"/>
    <w:rsid w:val="55850F17"/>
    <w:rsid w:val="563D3A91"/>
    <w:rsid w:val="57AE6D93"/>
    <w:rsid w:val="5F241970"/>
    <w:rsid w:val="5FB623A7"/>
    <w:rsid w:val="6E3851B0"/>
    <w:rsid w:val="781F6656"/>
    <w:rsid w:val="784167CA"/>
    <w:rsid w:val="793526EA"/>
    <w:rsid w:val="7BDB0825"/>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hd w:val="clear" w:color="auto" w:fill="FFFFFF"/>
      <w:spacing w:line="600" w:lineRule="exact"/>
      <w:ind w:firstLine="645"/>
    </w:pPr>
    <w:rPr>
      <w:rFonts w:ascii="仿宋_GB2312" w:hAnsi="Times New Roman" w:eastAsia="仿宋_GB2312" w:cs="仿宋_GB2312"/>
      <w:kern w:val="0"/>
      <w:sz w:val="32"/>
      <w:szCs w:val="32"/>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样式2"/>
    <w:basedOn w:val="1"/>
    <w:autoRedefine/>
    <w:qFormat/>
    <w:uiPriority w:val="0"/>
    <w:pPr>
      <w:widowControl/>
      <w:shd w:val="clear" w:color="auto" w:fill="FFFFFF"/>
      <w:spacing w:before="100" w:beforeAutospacing="1" w:after="100" w:afterAutospacing="1"/>
      <w:ind w:left="562"/>
      <w:jc w:val="center"/>
    </w:pPr>
    <w:rPr>
      <w:rFonts w:ascii="??" w:hAnsi="??"/>
      <w:b/>
      <w:bCs/>
      <w:szCs w:val="21"/>
    </w:rPr>
  </w:style>
  <w:style w:type="character" w:customStyle="1" w:styleId="12">
    <w:name w:val="font31"/>
    <w:basedOn w:val="7"/>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4974</Words>
  <Characters>5786</Characters>
  <TotalTime>7</TotalTime>
  <ScaleCrop>false</ScaleCrop>
  <LinksUpToDate>false</LinksUpToDate>
  <CharactersWithSpaces>5965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Smile^_-</cp:lastModifiedBy>
  <cp:lastPrinted>2024-10-11T07:07:42Z</cp:lastPrinted>
  <dcterms:modified xsi:type="dcterms:W3CDTF">2024-10-11T07:39:26Z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79ACD7203C7045DA9E4DBD0BB73D0FAA_13</vt:lpwstr>
  </property>
</Properties>
</file>