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
              </w:rPr>
            </w:pPr>
            <w:r>
              <w:rPr>
                <w:rFonts w:hint="default" w:ascii="仿宋_GB2312" w:eastAsia="仿宋_GB2312"/>
                <w:kern w:val="0"/>
                <w:lang w:val="en"/>
              </w:rPr>
              <w:t>49</w:t>
            </w:r>
          </w:p>
        </w:tc>
        <w:tc>
          <w:tcPr>
            <w:tcW w:w="2039" w:type="dxa"/>
            <w:gridSpan w:val="2"/>
            <w:vAlign w:val="center"/>
          </w:tcPr>
          <w:p>
            <w:pPr>
              <w:spacing w:line="240" w:lineRule="auto"/>
              <w:ind w:firstLine="420"/>
              <w:jc w:val="center"/>
              <w:rPr>
                <w:rFonts w:hint="default" w:ascii="仿宋_GB2312" w:eastAsia="仿宋_GB2312"/>
                <w:kern w:val="0"/>
                <w:lang w:val="en"/>
              </w:rPr>
            </w:pPr>
            <w:r>
              <w:rPr>
                <w:rFonts w:hint="default" w:ascii="仿宋_GB2312" w:eastAsia="仿宋_GB2312"/>
                <w:kern w:val="0"/>
                <w:lang w:val="en"/>
              </w:rPr>
              <w:t>49</w:t>
            </w:r>
          </w:p>
        </w:tc>
        <w:tc>
          <w:tcPr>
            <w:tcW w:w="1983" w:type="dxa"/>
            <w:gridSpan w:val="2"/>
            <w:vAlign w:val="center"/>
          </w:tcPr>
          <w:p>
            <w:pPr>
              <w:spacing w:line="240" w:lineRule="auto"/>
              <w:ind w:firstLine="420"/>
              <w:jc w:val="center"/>
              <w:rPr>
                <w:rFonts w:hint="default" w:ascii="仿宋_GB2312" w:eastAsia="仿宋_GB2312"/>
                <w:kern w:val="0"/>
                <w:lang w:val="en"/>
              </w:rPr>
            </w:pPr>
            <w:r>
              <w:rPr>
                <w:rFonts w:hint="default" w:ascii="仿宋_GB2312" w:eastAsia="仿宋_GB2312"/>
                <w:kern w:val="0"/>
                <w:lang w:val="e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hint="default" w:ascii="仿宋_GB2312" w:eastAsia="仿宋_GB2312"/>
                <w:kern w:val="0"/>
                <w:lang w:val="en"/>
              </w:rPr>
            </w:pPr>
            <w:r>
              <w:rPr>
                <w:rFonts w:hint="default" w:ascii="仿宋_GB2312" w:eastAsia="仿宋_GB2312"/>
                <w:kern w:val="0"/>
                <w:lang w:val="en"/>
              </w:rPr>
              <w:t>1.423103</w:t>
            </w:r>
          </w:p>
        </w:tc>
        <w:tc>
          <w:tcPr>
            <w:tcW w:w="2039" w:type="dxa"/>
            <w:gridSpan w:val="2"/>
            <w:vAlign w:val="center"/>
          </w:tcPr>
          <w:p>
            <w:pPr>
              <w:spacing w:line="240" w:lineRule="auto"/>
              <w:ind w:firstLine="420"/>
              <w:jc w:val="center"/>
              <w:rPr>
                <w:rFonts w:hint="default" w:ascii="仿宋_GB2312" w:eastAsia="仿宋_GB2312"/>
                <w:kern w:val="0"/>
                <w:lang w:val="en"/>
              </w:rPr>
            </w:pPr>
            <w:r>
              <w:rPr>
                <w:rFonts w:hint="default" w:ascii="仿宋_GB2312" w:eastAsia="仿宋_GB2312"/>
                <w:kern w:val="0"/>
                <w:lang w:val="en"/>
              </w:rPr>
              <w:t>4.8</w:t>
            </w:r>
          </w:p>
        </w:tc>
        <w:tc>
          <w:tcPr>
            <w:tcW w:w="1983" w:type="dxa"/>
            <w:gridSpan w:val="2"/>
            <w:vAlign w:val="center"/>
          </w:tcPr>
          <w:p>
            <w:pPr>
              <w:spacing w:line="240" w:lineRule="auto"/>
              <w:ind w:firstLine="420"/>
              <w:jc w:val="center"/>
              <w:rPr>
                <w:rFonts w:hint="default" w:ascii="仿宋_GB2312" w:eastAsia="仿宋_GB2312"/>
                <w:kern w:val="0"/>
                <w:lang w:val="en"/>
              </w:rPr>
            </w:pPr>
            <w:r>
              <w:rPr>
                <w:rFonts w:hint="default" w:ascii="仿宋_GB2312" w:eastAsia="仿宋_GB2312"/>
                <w:kern w:val="0"/>
                <w:lang w:val="en"/>
              </w:rPr>
              <w:t>1.223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
              </w:rPr>
            </w:pPr>
            <w:r>
              <w:rPr>
                <w:rFonts w:hint="default" w:ascii="仿宋_GB2312" w:eastAsia="仿宋_GB2312"/>
                <w:kern w:val="0"/>
                <w:lang w:val="en"/>
              </w:rPr>
              <w:t>1.423103</w:t>
            </w:r>
          </w:p>
        </w:tc>
        <w:tc>
          <w:tcPr>
            <w:tcW w:w="2039" w:type="dxa"/>
            <w:gridSpan w:val="2"/>
            <w:vAlign w:val="center"/>
          </w:tcPr>
          <w:p>
            <w:pPr>
              <w:spacing w:line="240" w:lineRule="auto"/>
              <w:ind w:firstLine="420"/>
              <w:jc w:val="center"/>
              <w:rPr>
                <w:rFonts w:hint="default" w:ascii="仿宋_GB2312" w:eastAsia="仿宋_GB2312"/>
                <w:kern w:val="0"/>
                <w:lang w:val="en"/>
              </w:rPr>
            </w:pPr>
            <w:r>
              <w:rPr>
                <w:rFonts w:hint="default" w:ascii="仿宋_GB2312" w:eastAsia="仿宋_GB2312"/>
                <w:kern w:val="0"/>
                <w:lang w:val="en"/>
              </w:rPr>
              <w:t>4.8</w:t>
            </w:r>
          </w:p>
        </w:tc>
        <w:tc>
          <w:tcPr>
            <w:tcW w:w="1983" w:type="dxa"/>
            <w:gridSpan w:val="2"/>
            <w:vAlign w:val="center"/>
          </w:tcPr>
          <w:p>
            <w:pPr>
              <w:spacing w:line="240" w:lineRule="auto"/>
              <w:ind w:firstLine="420"/>
              <w:jc w:val="center"/>
              <w:rPr>
                <w:rFonts w:hint="default" w:ascii="仿宋_GB2312" w:eastAsia="仿宋_GB2312"/>
                <w:kern w:val="0"/>
                <w:lang w:val="en"/>
              </w:rPr>
            </w:pPr>
            <w:r>
              <w:rPr>
                <w:rFonts w:hint="default" w:ascii="仿宋_GB2312" w:eastAsia="仿宋_GB2312"/>
                <w:kern w:val="0"/>
                <w:lang w:val="en"/>
              </w:rPr>
              <w:t>1.223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3287.918863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1189.245458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3287.918863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c>
          <w:tcPr>
            <w:tcW w:w="1983" w:type="dxa"/>
            <w:gridSpan w:val="2"/>
            <w:vAlign w:val="center"/>
          </w:tcPr>
          <w:p>
            <w:pPr>
              <w:spacing w:line="240" w:lineRule="auto"/>
              <w:ind w:firstLine="420"/>
              <w:jc w:val="center"/>
              <w:rPr>
                <w:rFonts w:ascii="仿宋_GB2312" w:eastAsia="仿宋_GB2312"/>
                <w:kern w:val="0"/>
                <w:lang w:eastAsia="zh-CN"/>
              </w:rPr>
            </w:pP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1189.245458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死亡补助及抚恤金专项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787.256725</w:t>
            </w: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1032.210338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 w:eastAsia="zh-CN"/>
              </w:rPr>
            </w:pPr>
            <w:r>
              <w:rPr>
                <w:rFonts w:hint="eastAsia" w:ascii="仿宋_GB2312" w:eastAsia="仿宋_GB2312"/>
                <w:kern w:val="0"/>
                <w:lang w:val="en" w:eastAsia="zh-CN"/>
              </w:rPr>
              <w:t>非财政专项资金</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11.506743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工会事务等专项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社保监督执法</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城乡居民养老保险征收及死亡认证奖励经费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983" w:type="dxa"/>
            <w:gridSpan w:val="2"/>
            <w:vAlign w:val="center"/>
          </w:tcPr>
          <w:p>
            <w:pPr>
              <w:spacing w:line="240" w:lineRule="auto"/>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社保监督执法专项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144.333377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机关事业单位退休人员职业年金补偿</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2385.662138</w:t>
            </w: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jc w:val="both"/>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社保征收经费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jc w:val="both"/>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13.44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19.63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19.67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1、压实部门责任，严格控制行政性支出；2、严格通用办公资产配置管理；3、加强监督管理，构建厉行节约长效机制</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汨罗市社会保险服务中心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632.32</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1680.8</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1680.8</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1669.30</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491.56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1189.25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11.51</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任务一：完成本单位日常工作，全年支出不超过预算收入；任务二：部门业务进行优化和简化；任务三：做好各项养老金发放工作，防范风险；任务四：落实机关事保职业年金虚账记实工作</w:t>
            </w:r>
          </w:p>
        </w:tc>
        <w:tc>
          <w:tcPr>
            <w:tcW w:w="4260" w:type="dxa"/>
            <w:gridSpan w:val="4"/>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完成年度任务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退休费社发率</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参保率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符合人社部和省人社局颁布的各项规范和标准</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在时限内完成</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jc w:val="both"/>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发放养老金</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保证参保缴费人员补助到位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生态环境改善情况</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有所改善</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有所改善</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促进我市构建和谐稳定的劳动关系</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持续</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持续</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服务对象满意服务</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w:t>
            </w:r>
            <w:r>
              <w:rPr>
                <w:rFonts w:hint="eastAsia" w:ascii="仿宋_GB2312" w:eastAsia="仿宋_GB2312"/>
                <w:kern w:val="0"/>
                <w:lang w:val="en-US" w:eastAsia="zh-CN"/>
              </w:rPr>
              <w:t>95%</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厉行节约，计划开支</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对社会发展可能造成的负面影响</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对自然生态环境造成的负面影响</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社保监督执法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汨罗市社会保险服务中心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落实社保监督执法，保障社会保险基金</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社保监督执法项目资金使用情况良好，分阶段分期使用完毕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全市养老保险参保数量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42.79万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社保工作是否平稳运行</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平稳运行</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2023年12月31日前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2023年12月31日前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资金是否节约使用</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良好</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良好</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是否使社保基金安全合理运营</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安全</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安全</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生态环境改善状况</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有所改善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促进我市构建和谐稳定的劳动关系</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群众是否满意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对社会发展可能造成的负面影响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对自然生态环境造成的负面影响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城乡居民养老保险征收及死亡认证奖励经费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汨罗市社会保险服务中心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完成社保征缴目标，扩大社保征缴覆盖面</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本项目资金使用情况良好，分阶段分期使用完毕。做到了合理有效使用资金。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全市养老保险参保人员数量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36.17万</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社保征缴参保人员是否合规</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合规</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2023年12月31日</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2023年12月31日前</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资金是否节约使用</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良好</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群众参保意识</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生态环境改善情况</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有所改善</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促进我市构建和谐稳定的劳动关系</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群众是否满意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对社会发展可能造成的负面影响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对生态环境造成的负面影响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汨罗市社会保险服务中心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bookmarkStart w:id="0" w:name="_GoBack"/>
      <w:r>
        <w:rPr>
          <w:rFonts w:hint="eastAsia" w:ascii="黑体" w:hAnsi="黑体" w:eastAsia="黑体" w:cs="黑体"/>
          <w:spacing w:val="16"/>
          <w:sz w:val="40"/>
          <w:szCs w:val="40"/>
          <w:lang w:eastAsia="zh-CN"/>
        </w:rPr>
        <w:t>汨罗市社会保险服务中心</w:t>
      </w:r>
      <w:r>
        <w:rPr>
          <w:rFonts w:ascii="黑体" w:hAnsi="黑体" w:eastAsia="黑体" w:cs="黑体"/>
          <w:spacing w:val="16"/>
          <w:sz w:val="40"/>
          <w:szCs w:val="40"/>
        </w:rPr>
        <w:t>部</w:t>
      </w:r>
      <w:bookmarkEnd w:id="0"/>
      <w:r>
        <w:rPr>
          <w:rFonts w:ascii="黑体" w:hAnsi="黑体" w:eastAsia="黑体" w:cs="黑体"/>
          <w:spacing w:val="16"/>
          <w:sz w:val="40"/>
          <w:szCs w:val="40"/>
        </w:rPr>
        <w:t>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方正黑体_GBK" w:hAnsi="仿宋" w:eastAsia="方正黑体_GBK" w:cs="仿宋"/>
          <w:snapToGrid w:val="0"/>
          <w:color w:val="000000"/>
          <w:sz w:val="32"/>
          <w:szCs w:val="32"/>
          <w:lang w:val="en-US" w:eastAsia="zh-CN" w:bidi="ar-SA"/>
        </w:rPr>
      </w:pPr>
      <w:r>
        <w:rPr>
          <w:rFonts w:hint="eastAsia" w:ascii="仿宋_GB2312" w:hAnsi="仿宋_GB2312" w:eastAsia="仿宋_GB2312" w:cs="Times New Roman"/>
          <w:spacing w:val="0"/>
          <w:sz w:val="32"/>
          <w:szCs w:val="32"/>
        </w:rPr>
        <w:t>汨罗市社会保险服务中心主要职能为统筹建立社会保障体系，组织实施社会保险及补充保险政策和标准。落实基本养老保险和社会保障基金投资政策。会同有关部门拟订社会保险及其补充保险基金管理和监督办法并实施监督，会同有关部门编制全市社会保险基金预决算草案。负责全市社会保险基金预测预警和信息引导，拟订应对预案，实施预防、调节和控制，保持社会保险基金总体收支平衡。</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kern w:val="0"/>
          <w:sz w:val="32"/>
          <w:szCs w:val="32"/>
          <w:lang w:eastAsia="zh-CN"/>
        </w:rPr>
      </w:pPr>
      <w:r>
        <w:rPr>
          <w:rFonts w:hint="eastAsia" w:ascii="仿宋_GB2312" w:hAnsi="仿宋_GB2312" w:eastAsia="仿宋_GB2312" w:cs="仿宋_GB2312"/>
          <w:sz w:val="32"/>
          <w:szCs w:val="32"/>
          <w:lang w:val="en-US" w:eastAsia="zh-CN"/>
        </w:rPr>
        <w:t>汨罗市社会保险服务中心2023年一般公共预算财政拨款支出1699.30万元，其中：基本支出491.56万元，其中人员经费436.89万元（工资福利支出436.22万元，对个人和家庭的补助0.67万元）、日常公用经费54.67万元（商品和服务支出54.67万元），项目支出1189.25万元。</w:t>
      </w:r>
    </w:p>
    <w:p>
      <w:pPr>
        <w:pStyle w:val="10"/>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我单位严格执行预算管理制度，依据“谁用钱，谁负责”的原则，专款专用，实时监控</w:t>
      </w:r>
      <w:r>
        <w:rPr>
          <w:rFonts w:hint="eastAsia" w:ascii="仿宋_GB2312" w:hAnsi="仿宋_GB2312"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汨罗市社会保险服务中心专项资金均已落实到位，按时按质合理使用完毕。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2、专项资金实际使用情况分析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项目资金严格按指定用途专款专用，实行专项报告制度，并接受财政部门或上级部门的检查、验收。202</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年项目支出基本能够严格按照相关制度规定等进行。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3、专项资金管理情况分析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1</w:t>
      </w:r>
      <w:r>
        <w:rPr>
          <w:rFonts w:hint="eastAsia" w:ascii="仿宋_GB2312" w:hAnsi="仿宋_GB2312" w:eastAsia="仿宋_GB2312" w:cs="Times New Roman"/>
          <w:color w:val="auto"/>
          <w:sz w:val="32"/>
          <w:szCs w:val="32"/>
          <w:highlight w:val="none"/>
          <w:lang w:eastAsia="zh-CN"/>
        </w:rPr>
        <w:t>）建章立制，积极推进专项资金管理制度化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我单位从专项资金设立、预算编制、分配方式、执行管理、监督评价等方面，对区级财政专项资金使用管理进行全面规范。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）建立体系，积极推进专项资金督查有序化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一是对各个专项资金的设立，严格项目申报、政策依据、项目评审，科学合理、因事编制。二是规范支出执行，实行专账核算、专款专用。三是强化监督管理，严把监督关。各部门各司其职，共同加强专项资金使用监督检查，加强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）公开信息，积极推进专项资金监督透明化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Times New Roman"/>
          <w:color w:val="auto"/>
          <w:sz w:val="32"/>
          <w:szCs w:val="32"/>
          <w:highlight w:val="none"/>
          <w:lang w:eastAsia="zh-CN"/>
        </w:rPr>
        <w:t>按照建立规范透明预算管理制度的要求，积极稳妥推进专项资金信息公开。</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2"/>
        <w:numPr>
          <w:ilvl w:val="0"/>
          <w:numId w:val="0"/>
        </w:numPr>
        <w:ind w:left="640" w:leftChars="0"/>
        <w:rPr>
          <w:rFonts w:hint="eastAsia" w:ascii="仿宋_GB2312" w:hAnsi="仿宋_GB2312" w:eastAsia="仿宋_GB2312" w:cs="Times New Roman"/>
          <w:snapToGrid w:val="0"/>
          <w:color w:val="auto"/>
          <w:kern w:val="0"/>
          <w:sz w:val="32"/>
          <w:szCs w:val="32"/>
          <w:highlight w:val="none"/>
          <w:lang w:val="en-US" w:eastAsia="zh-CN" w:bidi="ar-SA"/>
        </w:rPr>
      </w:pPr>
      <w:r>
        <w:rPr>
          <w:rFonts w:hint="eastAsia" w:ascii="仿宋_GB2312" w:hAnsi="仿宋_GB2312" w:eastAsia="仿宋_GB2312" w:cs="Times New Roman"/>
          <w:snapToGrid w:val="0"/>
          <w:color w:val="auto"/>
          <w:kern w:val="0"/>
          <w:sz w:val="32"/>
          <w:szCs w:val="32"/>
          <w:highlight w:val="none"/>
          <w:lang w:val="en-US" w:eastAsia="zh-CN" w:bidi="ar-SA"/>
        </w:rPr>
        <w:t>无</w:t>
      </w:r>
    </w:p>
    <w:p>
      <w:pPr>
        <w:numPr>
          <w:ilvl w:val="0"/>
          <w:numId w:val="0"/>
        </w:numPr>
        <w:tabs>
          <w:tab w:val="left" w:pos="1185"/>
        </w:tabs>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pStyle w:val="2"/>
        <w:numPr>
          <w:ilvl w:val="0"/>
          <w:numId w:val="0"/>
        </w:numPr>
        <w:ind w:left="640" w:leftChars="0"/>
        <w:rPr>
          <w:rFonts w:hint="eastAsia" w:ascii="仿宋_GB2312" w:hAnsi="仿宋_GB2312" w:eastAsia="仿宋_GB2312" w:cs="Times New Roman"/>
          <w:snapToGrid w:val="0"/>
          <w:color w:val="auto"/>
          <w:kern w:val="0"/>
          <w:sz w:val="32"/>
          <w:szCs w:val="32"/>
          <w:highlight w:val="none"/>
          <w:lang w:val="en-US" w:eastAsia="zh-CN" w:bidi="ar-SA"/>
        </w:rPr>
      </w:pPr>
      <w:r>
        <w:rPr>
          <w:rFonts w:hint="eastAsia" w:ascii="仿宋_GB2312" w:hAnsi="仿宋_GB2312" w:eastAsia="仿宋_GB2312" w:cs="Times New Roman"/>
          <w:snapToGrid w:val="0"/>
          <w:color w:val="auto"/>
          <w:kern w:val="0"/>
          <w:sz w:val="32"/>
          <w:szCs w:val="32"/>
          <w:highlight w:val="none"/>
          <w:lang w:val="en-US" w:eastAsia="zh-CN" w:bidi="ar-SA"/>
        </w:rPr>
        <w:t>无</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pStyle w:val="2"/>
        <w:numPr>
          <w:ilvl w:val="0"/>
          <w:numId w:val="0"/>
        </w:numPr>
        <w:ind w:left="640" w:leftChars="0"/>
        <w:rPr>
          <w:rFonts w:hint="eastAsia" w:ascii="仿宋_GB2312" w:hAnsi="仿宋_GB2312" w:eastAsia="仿宋_GB2312" w:cs="Times New Roman"/>
          <w:snapToGrid w:val="0"/>
          <w:color w:val="auto"/>
          <w:kern w:val="0"/>
          <w:sz w:val="32"/>
          <w:szCs w:val="32"/>
          <w:highlight w:val="none"/>
          <w:lang w:val="en-US" w:eastAsia="zh-CN" w:bidi="ar-SA"/>
        </w:rPr>
      </w:pPr>
      <w:r>
        <w:rPr>
          <w:rFonts w:hint="eastAsia" w:ascii="仿宋_GB2312" w:hAnsi="仿宋_GB2312" w:eastAsia="仿宋_GB2312" w:cs="Times New Roman"/>
          <w:snapToGrid w:val="0"/>
          <w:color w:val="auto"/>
          <w:kern w:val="0"/>
          <w:sz w:val="32"/>
          <w:szCs w:val="32"/>
          <w:highlight w:val="none"/>
          <w:lang w:val="en-US" w:eastAsia="zh-CN" w:bidi="ar-SA"/>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社会保险服务中心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2023年项目支出基本能够严格按照相关制度规定等进行。</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（1）项目推进力度有待进一步加强。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（2）政府采购年初预算与实际执行偏差大，政府采购预算编制准确性有待提高。</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强化预算执行，提高预算完成率。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（2）科学合理编制政府采购预算，强化政府采购预算执行，确保政府采购预算切合单位实际。</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（3）根据年初的绩效考核指标及预算绩效目标，扎实推进相关工作，确保考核指标及预算绩效目标按时、优质完成。</w:t>
      </w:r>
    </w:p>
    <w:p>
      <w:pPr>
        <w:pStyle w:val="2"/>
        <w:rPr>
          <w:lang w:eastAsia="zh-CN"/>
        </w:rPr>
      </w:pP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社保监督执法</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汨罗市社会保险服务中心</w:t>
      </w:r>
      <w:r>
        <w:rPr>
          <w:sz w:val="27"/>
          <w:szCs w:val="27"/>
          <w:u w:val="single" w:color="auto"/>
        </w:rPr>
        <w:t xml:space="preserve">   </w:t>
      </w:r>
    </w:p>
    <w:p>
      <w:pPr>
        <w:pStyle w:val="3"/>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2"/>
          <w:position w:val="26"/>
          <w:sz w:val="27"/>
          <w:szCs w:val="27"/>
          <w:lang w:val="en-US" w:eastAsia="zh-CN"/>
        </w:rPr>
        <w:t>15</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rPr>
      </w:pPr>
      <w:r>
        <w:rPr>
          <w:rFonts w:hint="eastAsia" w:ascii="仿宋_GB2312" w:hAnsi="仿宋_GB2312" w:eastAsia="黑体" w:cs="Times New Roman"/>
          <w:color w:val="auto"/>
          <w:kern w:val="2"/>
          <w:sz w:val="32"/>
          <w:szCs w:val="32"/>
          <w:lang w:val="en-US" w:eastAsia="zh-CN" w:bidi="ar-SA"/>
        </w:rPr>
        <w:t>一、</w:t>
      </w:r>
      <w:r>
        <w:rPr>
          <w:rFonts w:hint="eastAsia" w:ascii="仿宋_GB2312" w:hAnsi="仿宋_GB2312" w:eastAsia="黑体"/>
          <w:color w:val="auto"/>
          <w:sz w:val="32"/>
          <w:szCs w:val="32"/>
          <w:highlight w:val="none"/>
          <w:lang w:eastAsia="zh-CN"/>
        </w:rPr>
        <w:t>项目支出</w:t>
      </w:r>
      <w:r>
        <w:rPr>
          <w:rFonts w:ascii="仿宋_GB2312" w:hAnsi="仿宋_GB2312" w:eastAsia="黑体"/>
          <w:color w:val="auto"/>
          <w:sz w:val="32"/>
          <w:szCs w:val="32"/>
          <w:highlight w:val="none"/>
        </w:rPr>
        <w:t>基本情况</w:t>
      </w:r>
    </w:p>
    <w:p>
      <w:pPr>
        <w:keepNext w:val="0"/>
        <w:keepLines w:val="0"/>
        <w:pageBreakBefore w:val="0"/>
        <w:widowControl/>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（一）项目支出概况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sz w:val="32"/>
          <w:szCs w:val="32"/>
        </w:rPr>
      </w:pPr>
      <w:r>
        <w:rPr>
          <w:rFonts w:hint="eastAsia" w:ascii="仿宋_GB2312" w:hAnsi="仿宋_GB2312" w:eastAsia="仿宋_GB2312" w:cs="Times New Roman"/>
          <w:spacing w:val="0"/>
          <w:sz w:val="32"/>
          <w:szCs w:val="32"/>
        </w:rPr>
        <w:t xml:space="preserve"> 本项目资金用于社保监督执法,保障社会保险基金的安全，规范和加强社会保险基金运营。</w:t>
      </w:r>
    </w:p>
    <w:p>
      <w:pPr>
        <w:keepNext w:val="0"/>
        <w:keepLines w:val="0"/>
        <w:pageBreakBefore w:val="0"/>
        <w:widowControl/>
        <w:numPr>
          <w:ilvl w:val="0"/>
          <w:numId w:val="3"/>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项目支出使用情况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sz w:val="32"/>
          <w:szCs w:val="32"/>
          <w:lang w:val="en-US" w:eastAsia="zh-CN"/>
        </w:rPr>
      </w:pPr>
      <w:r>
        <w:rPr>
          <w:rFonts w:hint="eastAsia" w:ascii="仿宋_GB2312" w:hAnsi="仿宋_GB2312" w:eastAsia="仿宋_GB2312" w:cs="Times New Roman"/>
          <w:spacing w:val="0"/>
          <w:sz w:val="32"/>
          <w:szCs w:val="32"/>
          <w:lang w:val="en-US" w:eastAsia="zh-CN"/>
        </w:rPr>
        <w:t>社保监督执法项目一是对社保法纪责任进行多渠道多方面宣传，比如发放传单，设立横幅，采用流动宣传车对社保工作进行宣传等。二是用于社保工作非现场检查。持续开展社保基金网络监督工作，每月分发预警信息组织核查。三是加大现场检查力度。定期或不定期对基金收支情况、信息系统建设、岗位设置、档案管理、内控管理等情况进行检查。四是用于发挥部门联动效应，建立查处和防范社会保险欺诈工作联席会议制度，联合多部门强力追缴违规领取的社保待遇。</w:t>
      </w:r>
    </w:p>
    <w:p>
      <w:pPr>
        <w:keepNext w:val="0"/>
        <w:keepLines w:val="0"/>
        <w:pageBreakBefore w:val="0"/>
        <w:widowControl/>
        <w:numPr>
          <w:ilvl w:val="0"/>
          <w:numId w:val="3"/>
        </w:numPr>
        <w:kinsoku/>
        <w:wordWrap/>
        <w:overflowPunct/>
        <w:topLinePunct w:val="0"/>
        <w:autoSpaceDE/>
        <w:autoSpaceDN/>
        <w:bidi w:val="0"/>
        <w:adjustRightInd/>
        <w:spacing w:line="560" w:lineRule="exact"/>
        <w:ind w:left="0" w:leftChars="0" w:firstLine="642" w:firstLineChars="200"/>
        <w:textAlignment w:val="auto"/>
        <w:rPr>
          <w:rFonts w:hint="eastAsia" w:ascii="仿宋_GB2312" w:hAnsi="仿宋_GB2312" w:eastAsia="楷体_GB2312"/>
          <w:b/>
          <w:color w:val="auto"/>
          <w:sz w:val="32"/>
          <w:szCs w:val="32"/>
          <w:highlight w:val="none"/>
          <w:lang w:val="en-US" w:eastAsia="zh-CN"/>
        </w:rPr>
      </w:pPr>
      <w:r>
        <w:rPr>
          <w:rFonts w:hint="eastAsia" w:ascii="仿宋_GB2312" w:hAnsi="仿宋_GB2312" w:eastAsia="楷体_GB2312"/>
          <w:b/>
          <w:color w:val="auto"/>
          <w:sz w:val="32"/>
          <w:szCs w:val="32"/>
          <w:highlight w:val="none"/>
          <w:lang w:val="en-US" w:eastAsia="zh-CN"/>
        </w:rPr>
        <w:t>项目支出绩效目标完成程度</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社保监督执法项目资金使用情况良好，分阶段分期使用完毕。</w:t>
      </w:r>
    </w:p>
    <w:p>
      <w:pPr>
        <w:keepNext w:val="0"/>
        <w:keepLines w:val="0"/>
        <w:pageBreakBefore w:val="0"/>
        <w:widowControl/>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绩效工作评价情况</w:t>
      </w:r>
    </w:p>
    <w:p>
      <w:pPr>
        <w:pStyle w:val="2"/>
        <w:numPr>
          <w:ilvl w:val="0"/>
          <w:numId w:val="0"/>
        </w:numPr>
        <w:spacing w:after="0" w:line="240" w:lineRule="auto"/>
        <w:ind w:firstLine="640" w:firstLineChars="200"/>
        <w:rPr>
          <w:rFonts w:hint="eastAsia" w:ascii="仿宋_GB2312" w:hAnsi="仿宋_GB2312" w:eastAsia="仿宋_GB2312" w:cs="Times New Roman"/>
          <w:snapToGrid w:val="0"/>
          <w:color w:val="000000"/>
          <w:spacing w:val="0"/>
          <w:kern w:val="0"/>
          <w:sz w:val="32"/>
          <w:szCs w:val="32"/>
          <w:lang w:val="en-US" w:eastAsia="zh-CN" w:bidi="ar-SA"/>
        </w:rPr>
      </w:pPr>
      <w:r>
        <w:rPr>
          <w:rFonts w:hint="eastAsia" w:ascii="仿宋_GB2312" w:hAnsi="仿宋_GB2312" w:eastAsia="仿宋_GB2312" w:cs="Times New Roman"/>
          <w:snapToGrid w:val="0"/>
          <w:color w:val="000000"/>
          <w:spacing w:val="0"/>
          <w:kern w:val="0"/>
          <w:sz w:val="32"/>
          <w:szCs w:val="32"/>
          <w:lang w:val="en-US" w:eastAsia="zh-CN" w:bidi="ar-SA"/>
        </w:rPr>
        <w:t>根据《汨罗市财政局关于开展2023年度部门整体支出和项目支出绩效自评工作的通知》（汨财绩【2024】1号）等相关文件要求，我单位制定了绩效自评方案，成立了工作领导小组，严格按照方案要求，及时发现问题，解决问题，形成了本自评报告。</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三、项目支出主要绩效及评价结论</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本年度落实了基本养老保险和社会保障基金政策，社保工作平稳有序开展。</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四、绩效评价指标分析</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（一）项目支出决策情况</w:t>
      </w:r>
    </w:p>
    <w:p>
      <w:pPr>
        <w:pStyle w:val="2"/>
        <w:spacing w:after="0" w:line="240" w:lineRule="auto"/>
        <w:ind w:left="0" w:leftChars="0" w:firstLine="668" w:firstLineChars="200"/>
        <w:rPr>
          <w:rFonts w:hint="eastAsia" w:ascii="仿宋_GB2312" w:hAnsi="仿宋_GB2312" w:eastAsia="仿宋_GB2312" w:cs="仿宋_GB2312"/>
          <w:color w:val="auto"/>
          <w:spacing w:val="7"/>
          <w:kern w:val="2"/>
          <w:sz w:val="32"/>
          <w:szCs w:val="32"/>
          <w:lang w:val="en" w:eastAsia="zh-CN" w:bidi="ar-SA"/>
        </w:rPr>
      </w:pPr>
      <w:r>
        <w:rPr>
          <w:rFonts w:hint="eastAsia" w:ascii="仿宋_GB2312" w:hAnsi="仿宋_GB2312" w:eastAsia="仿宋_GB2312" w:cs="仿宋_GB2312"/>
          <w:color w:val="auto"/>
          <w:spacing w:val="7"/>
          <w:kern w:val="2"/>
          <w:sz w:val="32"/>
          <w:szCs w:val="32"/>
          <w:lang w:val="en" w:eastAsia="zh-CN" w:bidi="ar-SA"/>
        </w:rPr>
        <w:t>本单位项目决策根据实际情况制定了实施规划</w:t>
      </w:r>
      <w:r>
        <w:rPr>
          <w:rFonts w:hint="default" w:ascii="仿宋_GB2312" w:hAnsi="仿宋_GB2312" w:eastAsia="仿宋_GB2312" w:cs="仿宋_GB2312"/>
          <w:color w:val="auto"/>
          <w:spacing w:val="7"/>
          <w:kern w:val="2"/>
          <w:sz w:val="32"/>
          <w:szCs w:val="32"/>
          <w:lang w:val="en" w:eastAsia="zh-CN" w:bidi="ar-SA"/>
        </w:rPr>
        <w:t>,</w:t>
      </w:r>
      <w:r>
        <w:rPr>
          <w:rFonts w:hint="eastAsia" w:ascii="仿宋_GB2312" w:hAnsi="仿宋_GB2312" w:eastAsia="仿宋_GB2312" w:cs="仿宋_GB2312"/>
          <w:color w:val="auto"/>
          <w:spacing w:val="7"/>
          <w:kern w:val="2"/>
          <w:sz w:val="32"/>
          <w:szCs w:val="32"/>
          <w:lang w:val="en" w:eastAsia="zh-CN" w:bidi="ar-SA"/>
        </w:rPr>
        <w:t>秉持“保民生、保工资、保运转”的理念，合理安排项目资金。</w:t>
      </w:r>
    </w:p>
    <w:p>
      <w:pPr>
        <w:keepNext w:val="0"/>
        <w:keepLines w:val="0"/>
        <w:pageBreakBefore w:val="0"/>
        <w:widowControl/>
        <w:numPr>
          <w:ilvl w:val="0"/>
          <w:numId w:val="5"/>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项目执行过程情况</w:t>
      </w:r>
    </w:p>
    <w:p>
      <w:pPr>
        <w:pStyle w:val="2"/>
        <w:numPr>
          <w:ilvl w:val="0"/>
          <w:numId w:val="0"/>
        </w:numPr>
        <w:spacing w:after="0" w:line="240" w:lineRule="auto"/>
        <w:ind w:firstLine="668" w:firstLineChars="200"/>
        <w:rPr>
          <w:rFonts w:hint="eastAsia" w:ascii="仿宋_GB2312" w:hAnsi="仿宋_GB2312" w:eastAsia="仿宋_GB2312" w:cs="仿宋_GB2312"/>
          <w:color w:val="auto"/>
          <w:spacing w:val="7"/>
          <w:kern w:val="2"/>
          <w:sz w:val="32"/>
          <w:szCs w:val="32"/>
          <w:lang w:val="en" w:eastAsia="zh-CN" w:bidi="ar-SA"/>
        </w:rPr>
      </w:pPr>
      <w:r>
        <w:rPr>
          <w:rFonts w:hint="eastAsia" w:ascii="仿宋_GB2312" w:hAnsi="仿宋_GB2312" w:eastAsia="仿宋_GB2312" w:cs="仿宋_GB2312"/>
          <w:color w:val="auto"/>
          <w:spacing w:val="7"/>
          <w:kern w:val="2"/>
          <w:sz w:val="32"/>
          <w:szCs w:val="32"/>
          <w:lang w:val="en" w:eastAsia="zh-CN" w:bidi="ar-SA"/>
        </w:rPr>
        <w:t>本单位项目在开展过程中严格按照相关制度规定等进行，按照实际情况支出，严禁挤占、挪用、虚列支出等情况发生。</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（三）项目支出产出情况</w:t>
      </w:r>
    </w:p>
    <w:p>
      <w:pPr>
        <w:pStyle w:val="2"/>
        <w:numPr>
          <w:ilvl w:val="0"/>
          <w:numId w:val="0"/>
        </w:numPr>
        <w:spacing w:after="0" w:line="240" w:lineRule="auto"/>
        <w:ind w:firstLine="668" w:firstLineChars="200"/>
        <w:rPr>
          <w:rFonts w:hint="default"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 w:eastAsia="zh-CN" w:bidi="ar-SA"/>
        </w:rPr>
        <w:t>本单位项目产出按照数量、质量、时效、成本等四个方面，根据各自情况，设置相关指标内容，用于跟踪项目工作的开展。全市养老保险参保人员数量已完成；社保工作平稳运行；时效在</w:t>
      </w:r>
      <w:r>
        <w:rPr>
          <w:rFonts w:hint="eastAsia" w:ascii="仿宋_GB2312" w:hAnsi="仿宋_GB2312" w:eastAsia="仿宋_GB2312" w:cs="仿宋_GB2312"/>
          <w:color w:val="auto"/>
          <w:spacing w:val="7"/>
          <w:kern w:val="2"/>
          <w:sz w:val="32"/>
          <w:szCs w:val="32"/>
          <w:lang w:val="en-US" w:eastAsia="zh-CN" w:bidi="ar-SA"/>
        </w:rPr>
        <w:t>2023年12月31日前完成；成本指标15万元已完成。</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（四）项目支出效益情况</w:t>
      </w:r>
    </w:p>
    <w:p>
      <w:pPr>
        <w:pStyle w:val="2"/>
        <w:numPr>
          <w:ilvl w:val="0"/>
          <w:numId w:val="0"/>
        </w:numPr>
        <w:spacing w:after="0" w:line="240" w:lineRule="auto"/>
        <w:ind w:firstLine="668" w:firstLineChars="200"/>
        <w:rPr>
          <w:rFonts w:hint="eastAsia" w:ascii="仿宋_GB2312" w:hAnsi="仿宋_GB2312" w:eastAsia="仿宋_GB2312" w:cs="仿宋_GB2312"/>
          <w:snapToGrid w:val="0"/>
          <w:color w:val="auto"/>
          <w:spacing w:val="7"/>
          <w:kern w:val="2"/>
          <w:sz w:val="32"/>
          <w:szCs w:val="32"/>
          <w:lang w:val="en-US" w:eastAsia="zh-CN" w:bidi="ar-SA"/>
        </w:rPr>
      </w:pPr>
      <w:r>
        <w:rPr>
          <w:rFonts w:hint="eastAsia" w:ascii="仿宋_GB2312" w:hAnsi="仿宋_GB2312" w:eastAsia="仿宋_GB2312" w:cs="仿宋_GB2312"/>
          <w:snapToGrid w:val="0"/>
          <w:color w:val="auto"/>
          <w:spacing w:val="7"/>
          <w:kern w:val="2"/>
          <w:sz w:val="32"/>
          <w:szCs w:val="32"/>
          <w:lang w:val="en" w:eastAsia="zh-CN" w:bidi="ar-SA"/>
        </w:rPr>
        <w:t>本单位项目效益按照经济效益、社会效益、生态效益、服务对象满意度等四个方面，设置符合实际情况的指标内容，用于跟踪项目工作的开展。经济效益、社会效益完成情况良好；服务对象满意。</w:t>
      </w:r>
    </w:p>
    <w:p>
      <w:pPr>
        <w:keepNext w:val="0"/>
        <w:keepLines w:val="0"/>
        <w:pageBreakBefore w:val="0"/>
        <w:widowControl/>
        <w:numPr>
          <w:ilvl w:val="0"/>
          <w:numId w:val="6"/>
        </w:numPr>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主要经验及做法、存在的问题及原因分析</w:t>
      </w:r>
    </w:p>
    <w:p>
      <w:pPr>
        <w:pStyle w:val="2"/>
        <w:numPr>
          <w:ilvl w:val="0"/>
          <w:numId w:val="0"/>
        </w:numPr>
        <w:spacing w:after="0" w:line="240" w:lineRule="auto"/>
        <w:ind w:firstLine="668" w:firstLineChars="200"/>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snapToGrid w:val="0"/>
          <w:color w:val="auto"/>
          <w:spacing w:val="7"/>
          <w:kern w:val="2"/>
          <w:sz w:val="32"/>
          <w:szCs w:val="32"/>
          <w:lang w:val="en-US" w:eastAsia="zh-CN" w:bidi="ar-SA"/>
        </w:rPr>
        <w:t xml:space="preserve">在项目资金实施过程中我单位按照分时分段以及提前做好规划，合理制定工作方案等方式合规有序使用资金。但是在工作过程中，社保参保范围广，人员多，工作量大，社保工作任务重，执法监督人手不足，社保工作压力较大。    </w:t>
      </w:r>
      <w:r>
        <w:rPr>
          <w:rFonts w:hint="eastAsia" w:ascii="仿宋_GB2312" w:hAnsi="仿宋_GB2312" w:eastAsia="仿宋_GB2312" w:cs="仿宋_GB2312"/>
          <w:color w:val="auto"/>
          <w:spacing w:val="7"/>
          <w:kern w:val="2"/>
          <w:sz w:val="32"/>
          <w:szCs w:val="32"/>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黑体"/>
          <w:color w:val="auto"/>
          <w:sz w:val="32"/>
          <w:szCs w:val="32"/>
          <w:highlight w:val="none"/>
          <w:lang w:val="en-US" w:eastAsia="zh-CN"/>
        </w:rPr>
      </w:pPr>
      <w:r>
        <w:rPr>
          <w:rFonts w:hint="eastAsia" w:ascii="仿宋_GB2312" w:hAnsi="仿宋_GB2312" w:eastAsia="黑体"/>
          <w:color w:val="auto"/>
          <w:sz w:val="32"/>
          <w:szCs w:val="32"/>
          <w:highlight w:val="none"/>
          <w:lang w:val="en-US" w:eastAsia="zh-CN"/>
        </w:rPr>
        <w:t>六、有关建议</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我单位将继续深入贯彻落实省厅关于进一步加强社会保险基金管理风险防控工作的实施意见，努力构建政策、经办、信息、监督四位一体的风险防控工作机制，切实维护基金安全完整。同时，采取多种方式，突出抓好经常性警示教育，进一步增强人员的风险防控意识，树立底线思维，努力推动汨罗市社保事业健康快速发展。</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黑体"/>
          <w:color w:val="auto"/>
          <w:sz w:val="32"/>
          <w:szCs w:val="32"/>
          <w:highlight w:val="none"/>
          <w:lang w:val="en-US" w:eastAsia="zh-CN"/>
        </w:rPr>
      </w:pPr>
      <w:r>
        <w:rPr>
          <w:rFonts w:hint="eastAsia" w:ascii="仿宋_GB2312" w:hAnsi="仿宋_GB2312" w:eastAsia="黑体"/>
          <w:color w:val="auto"/>
          <w:sz w:val="32"/>
          <w:szCs w:val="32"/>
          <w:highlight w:val="none"/>
          <w:lang w:val="en-US" w:eastAsia="zh-CN"/>
        </w:rPr>
        <w:t>七、其他需要说明的问题</w:t>
      </w:r>
    </w:p>
    <w:p>
      <w:pPr>
        <w:pStyle w:val="2"/>
        <w:numPr>
          <w:ilvl w:val="0"/>
          <w:numId w:val="0"/>
        </w:numPr>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无</w:t>
      </w:r>
    </w:p>
    <w:p>
      <w:pPr>
        <w:pStyle w:val="2"/>
        <w:rPr>
          <w:rFonts w:ascii="黑体" w:hAnsi="黑体" w:eastAsia="黑体" w:cs="黑体"/>
          <w:b/>
          <w:bCs/>
          <w:spacing w:val="-15"/>
          <w:sz w:val="31"/>
          <w:szCs w:val="31"/>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hint="eastAsia" w:ascii="黑体" w:hAnsi="黑体" w:eastAsia="黑体" w:cs="黑体"/>
          <w:sz w:val="42"/>
          <w:szCs w:val="42"/>
          <w:lang w:eastAsia="zh-CN"/>
        </w:rPr>
      </w:pPr>
      <w:r>
        <w:rPr>
          <w:rFonts w:hint="eastAsia" w:ascii="黑体" w:hAnsi="黑体" w:eastAsia="黑体" w:cs="黑体"/>
          <w:spacing w:val="10"/>
          <w:sz w:val="42"/>
          <w:szCs w:val="42"/>
          <w:lang w:val="en-US" w:eastAsia="zh-CN"/>
        </w:rPr>
        <w:t>2023年度城乡居民养老保险征收及死亡认证奖励经费项</w:t>
      </w:r>
      <w:r>
        <w:rPr>
          <w:rFonts w:ascii="黑体" w:hAnsi="黑体" w:eastAsia="黑体" w:cs="黑体"/>
          <w:spacing w:val="10"/>
          <w:sz w:val="42"/>
          <w:szCs w:val="42"/>
        </w:rPr>
        <w:t>目</w:t>
      </w:r>
      <w:r>
        <w:rPr>
          <w:rFonts w:hint="eastAsia" w:ascii="黑体" w:hAnsi="黑体" w:eastAsia="黑体" w:cs="黑体"/>
          <w:spacing w:val="10"/>
          <w:sz w:val="42"/>
          <w:szCs w:val="42"/>
          <w:lang w:eastAsia="zh-CN"/>
        </w:rPr>
        <w:t>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汨罗市社会保险服务中心</w:t>
      </w:r>
      <w:r>
        <w:rPr>
          <w:sz w:val="27"/>
          <w:szCs w:val="27"/>
          <w:u w:val="single" w:color="auto"/>
        </w:rPr>
        <w:t xml:space="preserve">   </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9"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lang w:val="en-US" w:eastAsia="en-US"/>
        </w:rPr>
      </w:pPr>
      <w:r>
        <w:rPr>
          <w:rFonts w:ascii="仿宋_GB2312" w:hAnsi="仿宋_GB2312" w:eastAsia="黑体"/>
          <w:color w:val="auto"/>
          <w:sz w:val="32"/>
          <w:szCs w:val="32"/>
          <w:highlight w:val="none"/>
          <w:lang w:val="en-US" w:eastAsia="en-US"/>
        </w:rPr>
        <w:t>一 、项目支出基本情况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lang w:val="en-US" w:eastAsia="en-US"/>
        </w:rPr>
      </w:pPr>
      <w:r>
        <w:rPr>
          <w:rFonts w:hint="eastAsia" w:ascii="仿宋_GB2312" w:hAnsi="仿宋_GB2312" w:eastAsia="黑体"/>
          <w:color w:val="auto"/>
          <w:sz w:val="32"/>
          <w:szCs w:val="32"/>
          <w:highlight w:val="none"/>
          <w:lang w:val="en-US" w:eastAsia="zh-CN"/>
        </w:rPr>
        <w:t>（一）</w:t>
      </w:r>
      <w:r>
        <w:rPr>
          <w:rFonts w:ascii="仿宋_GB2312" w:hAnsi="仿宋_GB2312" w:eastAsia="黑体"/>
          <w:color w:val="auto"/>
          <w:sz w:val="32"/>
          <w:szCs w:val="32"/>
          <w:highlight w:val="none"/>
          <w:lang w:val="en-US" w:eastAsia="en-US"/>
        </w:rPr>
        <w:t>项目支出概况。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eastAsia" w:ascii="仿宋_GB2312" w:hAnsi="仿宋_GB2312" w:eastAsia="仿宋_GB2312" w:cs="Times New Roman"/>
          <w:spacing w:val="0"/>
          <w:sz w:val="32"/>
          <w:szCs w:val="32"/>
        </w:rPr>
        <w:t>汨罗市社会保险服务中心工作职责为统筹建立社会保障体系，组织实施社会保险及补充保险政策和标准。落实基本养老保险和社会保障基金投资政策。根据汨府阅[2012]6号《关于城乡居民社会养老保险试点工作的会议纪要》文件精神，社保征缴经费按服务的参保对象每人每年3元的标准安排预算，经费分配比例为：市级1.4元/人、乡镇0.6元/人、村级1元/人。为深入扩大社会保险覆盖面，提升社会保险费征缴率，增强社会保险基金抗风险能力，推荐我市社会保险事业的完善和发展，结合当前全市参保情况，本单位至少需要</w:t>
      </w:r>
      <w:r>
        <w:rPr>
          <w:rFonts w:hint="eastAsia" w:ascii="仿宋_GB2312" w:hAnsi="仿宋_GB2312" w:eastAsia="仿宋_GB2312" w:cs="Times New Roman"/>
          <w:spacing w:val="0"/>
          <w:sz w:val="32"/>
          <w:szCs w:val="32"/>
          <w:lang w:val="en-US" w:eastAsia="zh-CN"/>
        </w:rPr>
        <w:t>99</w:t>
      </w:r>
      <w:r>
        <w:rPr>
          <w:rFonts w:hint="eastAsia" w:ascii="仿宋_GB2312" w:hAnsi="仿宋_GB2312" w:eastAsia="仿宋_GB2312" w:cs="Times New Roman"/>
          <w:spacing w:val="0"/>
          <w:sz w:val="32"/>
          <w:szCs w:val="32"/>
        </w:rPr>
        <w:t>万征收经费开展社保征收工作。</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lang w:val="en-US" w:eastAsia="en-US"/>
        </w:rPr>
      </w:pPr>
      <w:r>
        <w:rPr>
          <w:rFonts w:hint="eastAsia" w:ascii="仿宋_GB2312" w:hAnsi="仿宋_GB2312" w:eastAsia="黑体"/>
          <w:color w:val="auto"/>
          <w:sz w:val="32"/>
          <w:szCs w:val="32"/>
          <w:highlight w:val="none"/>
          <w:lang w:val="en-US" w:eastAsia="zh-CN"/>
        </w:rPr>
        <w:t>（二）</w:t>
      </w:r>
      <w:r>
        <w:rPr>
          <w:rFonts w:ascii="仿宋_GB2312" w:hAnsi="仿宋_GB2312" w:eastAsia="黑体"/>
          <w:color w:val="auto"/>
          <w:sz w:val="32"/>
          <w:szCs w:val="32"/>
          <w:highlight w:val="none"/>
          <w:lang w:val="en-US" w:eastAsia="en-US"/>
        </w:rPr>
        <w:t>项目资金使用管理情况。</w:t>
      </w:r>
    </w:p>
    <w:p>
      <w:pPr>
        <w:pStyle w:val="2"/>
        <w:spacing w:after="0" w:line="240" w:lineRule="auto"/>
        <w:ind w:left="0" w:leftChars="0" w:firstLine="640" w:firstLineChars="200"/>
        <w:rPr>
          <w:rFonts w:hint="eastAsia" w:ascii="仿宋_GB2312" w:hAnsi="仿宋_GB2312" w:eastAsia="仿宋_GB2312" w:cs="Times New Roman"/>
          <w:snapToGrid w:val="0"/>
          <w:color w:val="000000"/>
          <w:spacing w:val="0"/>
          <w:kern w:val="0"/>
          <w:sz w:val="32"/>
          <w:szCs w:val="32"/>
          <w:lang w:val="en-US" w:eastAsia="en-US" w:bidi="ar-SA"/>
        </w:rPr>
      </w:pPr>
      <w:r>
        <w:rPr>
          <w:rFonts w:hint="eastAsia" w:ascii="仿宋_GB2312" w:hAnsi="仿宋_GB2312" w:eastAsia="仿宋_GB2312" w:cs="Times New Roman"/>
          <w:snapToGrid w:val="0"/>
          <w:color w:val="000000"/>
          <w:spacing w:val="0"/>
          <w:kern w:val="0"/>
          <w:sz w:val="32"/>
          <w:szCs w:val="32"/>
          <w:lang w:val="en-US" w:eastAsia="zh-CN" w:bidi="ar-SA"/>
        </w:rPr>
        <w:t>2023年度城乡居民养老保险征收及死亡认证奖励经费由财政拨付99万元，做到项目资金专款专用，在该年度已全部支出完毕，主要用于支付社保征缴工作中的办公开支、工作培训经费、根据各乡镇参保情况审核后再拨付到乡镇用于社保工作等。</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黑体"/>
          <w:color w:val="auto"/>
          <w:sz w:val="32"/>
          <w:szCs w:val="32"/>
          <w:highlight w:val="none"/>
          <w:lang w:val="en-US" w:eastAsia="zh-CN"/>
        </w:rPr>
      </w:pPr>
      <w:r>
        <w:rPr>
          <w:rFonts w:hint="eastAsia" w:ascii="仿宋_GB2312" w:hAnsi="仿宋_GB2312" w:eastAsia="黑体"/>
          <w:color w:val="auto"/>
          <w:sz w:val="32"/>
          <w:szCs w:val="32"/>
          <w:highlight w:val="none"/>
          <w:lang w:val="en-US" w:eastAsia="zh-CN"/>
        </w:rPr>
        <w:t>（三）</w:t>
      </w:r>
      <w:r>
        <w:rPr>
          <w:rFonts w:ascii="仿宋_GB2312" w:hAnsi="仿宋_GB2312" w:eastAsia="黑体"/>
          <w:color w:val="auto"/>
          <w:sz w:val="32"/>
          <w:szCs w:val="32"/>
          <w:highlight w:val="none"/>
          <w:lang w:val="en-US" w:eastAsia="en-US"/>
        </w:rPr>
        <w:t>项目支出绩效目标完成程度</w:t>
      </w:r>
      <w:r>
        <w:rPr>
          <w:rFonts w:hint="eastAsia" w:ascii="仿宋_GB2312" w:hAnsi="仿宋_GB2312" w:eastAsia="黑体"/>
          <w:color w:val="auto"/>
          <w:sz w:val="32"/>
          <w:szCs w:val="32"/>
          <w:highlight w:val="none"/>
          <w:lang w:val="en-US" w:eastAsia="zh-CN"/>
        </w:rPr>
        <w:t>。</w:t>
      </w:r>
    </w:p>
    <w:p>
      <w:pPr>
        <w:pStyle w:val="2"/>
        <w:spacing w:after="0" w:line="240" w:lineRule="auto"/>
        <w:ind w:left="0" w:leftChars="0" w:firstLine="640" w:firstLineChars="200"/>
        <w:rPr>
          <w:rFonts w:hint="eastAsia" w:ascii="仿宋_GB2312" w:hAnsi="仿宋_GB2312" w:eastAsia="仿宋_GB2312" w:cs="Times New Roman"/>
          <w:snapToGrid w:val="0"/>
          <w:color w:val="000000"/>
          <w:spacing w:val="0"/>
          <w:kern w:val="0"/>
          <w:sz w:val="32"/>
          <w:szCs w:val="32"/>
          <w:lang w:val="en-US" w:eastAsia="zh-CN" w:bidi="ar-SA"/>
        </w:rPr>
      </w:pPr>
      <w:r>
        <w:rPr>
          <w:rFonts w:hint="eastAsia" w:ascii="仿宋_GB2312" w:hAnsi="仿宋_GB2312" w:eastAsia="仿宋_GB2312" w:cs="Times New Roman"/>
          <w:snapToGrid w:val="0"/>
          <w:color w:val="000000"/>
          <w:spacing w:val="0"/>
          <w:kern w:val="0"/>
          <w:sz w:val="32"/>
          <w:szCs w:val="32"/>
          <w:lang w:val="en-US" w:eastAsia="zh-CN" w:bidi="ar-SA"/>
        </w:rPr>
        <w:t>一是用于扩面征缴的宣传工作，营造参保良好氛围。通过挂横幅、写标语、办宣传栏、流动宣传车等形式对我市社保扩面征缴工作全方位地宣传。动员各乡镇群众积极参与，使群众明白社会保险的意义和重要性。经过一段时间的努力，群众对于社保的认识有了很大的提高。为全年的社保扩面征缴工作顺利完成提供了坚实的保证。二是扩大社保覆盖面。社保工作人员不时深入企业调查，积极鼓励企业为职工进行企业养老保险参保，维护了职工的合法权益。对拒不参保、瞒报基数拒不整改、恶意欠费的用人单位依法督促其整改。联合各乡镇劳动保障站对居民参保进行动员，提高群众对参保的自觉性，对城乡居民养老保险和灵活就业人员参保政策进行宣传，扩大缴费面。三是对各乡镇劳动保障站社保工作人员加强指导、规范业务，提升服务。按照城乡居保征缴工作流程，严格人员信息管理，建立征缴台账，确保基金安全。</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黑体"/>
          <w:color w:val="auto"/>
          <w:sz w:val="32"/>
          <w:szCs w:val="32"/>
          <w:highlight w:val="none"/>
          <w:lang w:eastAsia="zh-CN"/>
        </w:rPr>
      </w:pPr>
      <w:r>
        <w:rPr>
          <w:rFonts w:ascii="仿宋_GB2312" w:hAnsi="仿宋_GB2312" w:eastAsia="黑体"/>
          <w:color w:val="auto"/>
          <w:sz w:val="32"/>
          <w:szCs w:val="32"/>
          <w:highlight w:val="none"/>
        </w:rPr>
        <w:t>二、</w:t>
      </w:r>
      <w:r>
        <w:rPr>
          <w:rFonts w:hint="eastAsia" w:ascii="仿宋_GB2312" w:hAnsi="仿宋_GB2312" w:eastAsia="黑体"/>
          <w:color w:val="auto"/>
          <w:sz w:val="32"/>
          <w:szCs w:val="32"/>
          <w:highlight w:val="none"/>
          <w:lang w:eastAsia="zh-CN"/>
        </w:rPr>
        <w:t>绩效工作评价情况</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本项目资金使用情况良好，分阶段分期使用完毕。做到了合理有效使用资金，并且发挥了应有的效果。</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三、项目支出主要绩效及评价结论</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我市社保征缴工作成效显著。在我单位社保工作人员和乡镇劳保站的共同努力和配合下，扩面征缴工作进展非常顺利，已超额完成市政府下达的扩面征缴任务。积极征缴、合理调度，确保了本年度社会保险基金圆满达标征缴目标，足额入库。</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四、绩效评价指标分析</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（一）项目支出决策情况</w:t>
      </w:r>
    </w:p>
    <w:p>
      <w:pPr>
        <w:pStyle w:val="2"/>
        <w:spacing w:after="0" w:line="240" w:lineRule="auto"/>
        <w:ind w:left="0" w:leftChars="0" w:firstLine="0" w:firstLineChars="0"/>
        <w:rPr>
          <w:rFonts w:hint="eastAsia" w:ascii="仿宋_GB2312" w:hAnsi="仿宋_GB2312" w:eastAsia="仿宋_GB2312" w:cs="仿宋_GB2312"/>
          <w:color w:val="auto"/>
          <w:spacing w:val="7"/>
          <w:kern w:val="2"/>
          <w:sz w:val="32"/>
          <w:szCs w:val="32"/>
          <w:lang w:val="en" w:eastAsia="zh-CN" w:bidi="ar-SA"/>
        </w:rPr>
      </w:pPr>
      <w:r>
        <w:rPr>
          <w:rFonts w:hint="eastAsia" w:ascii="仿宋_GB2312" w:hAnsi="仿宋_GB2312" w:eastAsia="仿宋_GB2312" w:cs="仿宋_GB2312"/>
          <w:color w:val="auto"/>
          <w:spacing w:val="7"/>
          <w:kern w:val="2"/>
          <w:sz w:val="32"/>
          <w:szCs w:val="32"/>
          <w:lang w:val="en" w:eastAsia="zh-CN" w:bidi="ar-SA"/>
        </w:rPr>
        <w:t>本单位项目决策根据实际情况制定了实施规划</w:t>
      </w:r>
      <w:r>
        <w:rPr>
          <w:rFonts w:hint="default" w:ascii="仿宋_GB2312" w:hAnsi="仿宋_GB2312" w:eastAsia="仿宋_GB2312" w:cs="仿宋_GB2312"/>
          <w:color w:val="auto"/>
          <w:spacing w:val="7"/>
          <w:kern w:val="2"/>
          <w:sz w:val="32"/>
          <w:szCs w:val="32"/>
          <w:lang w:val="en" w:eastAsia="zh-CN" w:bidi="ar-SA"/>
        </w:rPr>
        <w:t>,</w:t>
      </w:r>
      <w:r>
        <w:rPr>
          <w:rFonts w:hint="eastAsia" w:ascii="仿宋_GB2312" w:hAnsi="仿宋_GB2312" w:eastAsia="仿宋_GB2312" w:cs="仿宋_GB2312"/>
          <w:color w:val="auto"/>
          <w:spacing w:val="7"/>
          <w:kern w:val="2"/>
          <w:sz w:val="32"/>
          <w:szCs w:val="32"/>
          <w:lang w:val="en" w:eastAsia="zh-CN" w:bidi="ar-SA"/>
        </w:rPr>
        <w:t>秉持“保民生、保工资、保运转”的理念，合理安排项目资金。</w:t>
      </w:r>
    </w:p>
    <w:p>
      <w:pPr>
        <w:keepNext w:val="0"/>
        <w:keepLines w:val="0"/>
        <w:pageBreakBefore w:val="0"/>
        <w:widowControl/>
        <w:numPr>
          <w:ilvl w:val="0"/>
          <w:numId w:val="5"/>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项目执行过程情况</w:t>
      </w:r>
    </w:p>
    <w:p>
      <w:pPr>
        <w:pStyle w:val="2"/>
        <w:numPr>
          <w:ilvl w:val="0"/>
          <w:numId w:val="0"/>
        </w:numPr>
        <w:spacing w:after="0" w:line="240" w:lineRule="auto"/>
        <w:ind w:firstLine="0" w:firstLineChars="0"/>
        <w:rPr>
          <w:rFonts w:hint="eastAsia" w:ascii="仿宋_GB2312" w:hAnsi="仿宋_GB2312" w:eastAsia="仿宋_GB2312" w:cs="仿宋_GB2312"/>
          <w:color w:val="auto"/>
          <w:spacing w:val="7"/>
          <w:kern w:val="2"/>
          <w:sz w:val="32"/>
          <w:szCs w:val="32"/>
          <w:lang w:val="en" w:eastAsia="zh-CN" w:bidi="ar-SA"/>
        </w:rPr>
      </w:pPr>
      <w:r>
        <w:rPr>
          <w:rFonts w:hint="eastAsia" w:ascii="仿宋_GB2312" w:hAnsi="仿宋_GB2312" w:eastAsia="仿宋_GB2312" w:cs="仿宋_GB2312"/>
          <w:color w:val="auto"/>
          <w:spacing w:val="7"/>
          <w:kern w:val="2"/>
          <w:sz w:val="32"/>
          <w:szCs w:val="32"/>
          <w:lang w:val="en" w:eastAsia="zh-CN" w:bidi="ar-SA"/>
        </w:rPr>
        <w:t>本单位项目在开展过程中严格按照相关制度规定等进行，按照实际情况支出，严禁挤占、挪用、虚列支出等情况发生。</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（三）项目支出产出情况</w:t>
      </w:r>
    </w:p>
    <w:p>
      <w:pPr>
        <w:pStyle w:val="2"/>
        <w:numPr>
          <w:ilvl w:val="0"/>
          <w:numId w:val="0"/>
        </w:numPr>
        <w:spacing w:after="0" w:line="240" w:lineRule="auto"/>
        <w:ind w:firstLine="0" w:firstLineChars="0"/>
        <w:rPr>
          <w:rFonts w:hint="default"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 w:eastAsia="zh-CN" w:bidi="ar-SA"/>
        </w:rPr>
        <w:t>本单位项目产出按照数量、质量、时效、成本等四个方面，根据各自情况，设置相关指标内容，用于跟踪项目工作的开展。全市养老保险参保人员数量已完成；社保征缴参保人员合规；时效在</w:t>
      </w:r>
      <w:r>
        <w:rPr>
          <w:rFonts w:hint="eastAsia" w:ascii="仿宋_GB2312" w:hAnsi="仿宋_GB2312" w:eastAsia="仿宋_GB2312" w:cs="仿宋_GB2312"/>
          <w:color w:val="auto"/>
          <w:spacing w:val="7"/>
          <w:kern w:val="2"/>
          <w:sz w:val="32"/>
          <w:szCs w:val="32"/>
          <w:lang w:val="en-US" w:eastAsia="zh-CN" w:bidi="ar-SA"/>
        </w:rPr>
        <w:t>2023年12月31日前已完成；成本指标99万已完成。</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楷体_GB2312"/>
          <w:b/>
          <w:color w:val="auto"/>
          <w:sz w:val="32"/>
          <w:szCs w:val="32"/>
          <w:highlight w:val="none"/>
          <w:lang w:eastAsia="zh-CN"/>
        </w:rPr>
      </w:pPr>
      <w:r>
        <w:rPr>
          <w:rFonts w:hint="eastAsia" w:ascii="仿宋_GB2312" w:hAnsi="仿宋_GB2312" w:eastAsia="楷体_GB2312"/>
          <w:b/>
          <w:color w:val="auto"/>
          <w:sz w:val="32"/>
          <w:szCs w:val="32"/>
          <w:highlight w:val="none"/>
          <w:lang w:eastAsia="zh-CN"/>
        </w:rPr>
        <w:t>（四）项目支出效益情况</w:t>
      </w:r>
    </w:p>
    <w:p>
      <w:pPr>
        <w:pStyle w:val="2"/>
        <w:numPr>
          <w:ilvl w:val="0"/>
          <w:numId w:val="0"/>
        </w:numPr>
        <w:spacing w:after="0" w:line="240" w:lineRule="auto"/>
        <w:ind w:firstLine="668" w:firstLineChars="200"/>
        <w:rPr>
          <w:rFonts w:hint="default"/>
          <w:lang w:val="en" w:eastAsia="zh-CN"/>
        </w:rPr>
      </w:pPr>
      <w:r>
        <w:rPr>
          <w:rFonts w:hint="eastAsia" w:ascii="仿宋_GB2312" w:hAnsi="仿宋_GB2312" w:eastAsia="仿宋_GB2312" w:cs="仿宋_GB2312"/>
          <w:color w:val="auto"/>
          <w:spacing w:val="7"/>
          <w:kern w:val="2"/>
          <w:sz w:val="32"/>
          <w:szCs w:val="32"/>
          <w:lang w:val="en" w:eastAsia="zh-CN" w:bidi="ar-SA"/>
        </w:rPr>
        <w:t>本单位项目效益按照经济效益、社会效益、生态效益、服务对象满意度等四个方面，设置符合实际情况的指标内容，用于跟踪项目工作的开展。经济效益、社会效益完成良好；服务对象满意。</w:t>
      </w:r>
    </w:p>
    <w:p>
      <w:pPr>
        <w:keepNext w:val="0"/>
        <w:keepLines w:val="0"/>
        <w:pageBreakBefore w:val="0"/>
        <w:widowControl/>
        <w:numPr>
          <w:ilvl w:val="0"/>
          <w:numId w:val="0"/>
        </w:numPr>
        <w:kinsoku/>
        <w:wordWrap/>
        <w:overflowPunct/>
        <w:topLinePunct w:val="0"/>
        <w:autoSpaceDE/>
        <w:autoSpaceDN/>
        <w:bidi w:val="0"/>
        <w:adjustRightInd/>
        <w:spacing w:line="560" w:lineRule="exact"/>
        <w:ind w:leftChars="200"/>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五、主要经验及做法、存在的问题及原因分析</w:t>
      </w:r>
    </w:p>
    <w:p>
      <w:pPr>
        <w:pStyle w:val="2"/>
        <w:numPr>
          <w:ilvl w:val="0"/>
          <w:numId w:val="0"/>
        </w:numPr>
        <w:spacing w:after="0" w:line="240" w:lineRule="auto"/>
        <w:ind w:firstLine="640" w:firstLineChars="200"/>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在项目资金实施过程中我单位按照分时分段以及提前做好规划，合理制定工作方案等方式合规有序使用资金。</w:t>
      </w:r>
    </w:p>
    <w:p>
      <w:pPr>
        <w:pStyle w:val="2"/>
        <w:numPr>
          <w:ilvl w:val="0"/>
          <w:numId w:val="0"/>
        </w:numPr>
        <w:spacing w:after="0" w:line="240" w:lineRule="auto"/>
        <w:ind w:firstLine="640" w:firstLineChars="200"/>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但是在征缴工作中依然存在以下问题：1.部分人员存在观望情绪。大部分农村居民经济条件并不宽裕，历史形成的“养儿防老，积谷防饥”传统的家庭</w:t>
      </w:r>
      <w:r>
        <w:rPr>
          <w:rFonts w:hint="eastAsia" w:ascii="仿宋_GB2312" w:hAnsi="仿宋_GB2312" w:eastAsia="仿宋_GB2312" w:cs="仿宋_GB2312"/>
          <w:color w:val="auto"/>
          <w:spacing w:val="7"/>
          <w:kern w:val="2"/>
          <w:sz w:val="32"/>
          <w:szCs w:val="32"/>
          <w:lang w:val="en-US" w:eastAsia="zh-CN" w:bidi="ar-SA"/>
        </w:rPr>
        <w:t>养老观念根深蒂固，加之多数老年人文化水平不高，政策理解有限。参保对象中的中青年人员又存在等待观望情绪，认为自己还年轻，离领取养老待遇还有很长一段时间，存在等待观望思想。2.乡镇年轻劳动力常住人口少，扩面征缴难。近年外出务工经商人员多，对社保政策不知晓，没有防老的意识，还有些已在务工所在地参加了养老保险，这些都为社保扩面工作增加了难度。3.乡镇社保工作人员人手不足，参保信息工作量大，错误信息多。参保人的身份信息存在录入错误，参保重复等情况。</w:t>
      </w:r>
    </w:p>
    <w:p>
      <w:pPr>
        <w:pStyle w:val="2"/>
        <w:numPr>
          <w:ilvl w:val="0"/>
          <w:numId w:val="0"/>
        </w:numPr>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黑体" w:cs="Times New Roman"/>
          <w:color w:val="auto"/>
          <w:kern w:val="2"/>
          <w:sz w:val="32"/>
          <w:szCs w:val="32"/>
          <w:highlight w:val="none"/>
          <w:lang w:val="en-US" w:eastAsia="zh-CN" w:bidi="ar-SA"/>
        </w:rPr>
        <w:t>六、有关建议</w:t>
      </w:r>
    </w:p>
    <w:p>
      <w:pPr>
        <w:pStyle w:val="2"/>
        <w:numPr>
          <w:ilvl w:val="0"/>
          <w:numId w:val="0"/>
        </w:numPr>
        <w:spacing w:after="0" w:line="240" w:lineRule="auto"/>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1、强化宣传，巩固提高成绩。继续发扬攻坚克难的优良作风，加大宣传力度，确保老百姓对社会养老保险政策的理解更加透彻，达到自愿参保和续保。</w:t>
      </w:r>
    </w:p>
    <w:p>
      <w:pPr>
        <w:pStyle w:val="2"/>
        <w:numPr>
          <w:ilvl w:val="0"/>
          <w:numId w:val="0"/>
        </w:numPr>
        <w:spacing w:after="0" w:line="240" w:lineRule="auto"/>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2、加强培训，提升业务能力。进一步加强经办人员业务能力的提升，每年组织乡镇社保中心人员业务培训，使他们及时掌握城乡居保新政策，熟练操作系统软件，通过培训，做到经办工作人员懂业务，熟政策。</w:t>
      </w:r>
    </w:p>
    <w:p>
      <w:pPr>
        <w:pStyle w:val="2"/>
        <w:numPr>
          <w:ilvl w:val="0"/>
          <w:numId w:val="0"/>
        </w:numPr>
        <w:spacing w:after="0" w:line="240" w:lineRule="auto"/>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3、认真学习，创新工作思路。社保政策随时在更新，政策性强，需要我们在工作中不断加强学习和总结。在干中学、学中干，我们要以工作任务为牵引，依托工作岗位来学习提高。观察、摸索、查阅资料，问书本、问同事，不断丰富知识，掌握工作技巧，不断掌握方法，积累经验。摸清工作中的难点，找准切入点，使征缴工作健康有序推进。</w:t>
      </w: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仿宋_GB2312" w:hAnsi="仿宋_GB2312" w:eastAsia="黑体"/>
          <w:color w:val="auto"/>
          <w:sz w:val="32"/>
          <w:szCs w:val="32"/>
          <w:highlight w:val="none"/>
          <w:lang w:eastAsia="zh-CN"/>
        </w:rPr>
      </w:pPr>
      <w:r>
        <w:rPr>
          <w:rFonts w:hint="eastAsia" w:ascii="仿宋_GB2312" w:hAnsi="仿宋_GB2312" w:eastAsia="黑体"/>
          <w:color w:val="auto"/>
          <w:sz w:val="32"/>
          <w:szCs w:val="32"/>
          <w:highlight w:val="none"/>
          <w:lang w:eastAsia="zh-CN"/>
        </w:rPr>
        <w:t>七、其他需要说明的问题</w:t>
      </w:r>
    </w:p>
    <w:p>
      <w:pPr>
        <w:pStyle w:val="2"/>
        <w:numPr>
          <w:ilvl w:val="0"/>
          <w:numId w:val="0"/>
        </w:numPr>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无</w:t>
      </w:r>
    </w:p>
    <w:p>
      <w:pPr>
        <w:pStyle w:val="2"/>
        <w:spacing w:after="0" w:line="240" w:lineRule="auto"/>
        <w:ind w:left="0" w:leftChars="0"/>
        <w:rPr>
          <w:rFonts w:hint="eastAsia" w:ascii="黑体" w:hAnsi="黑体" w:eastAsia="黑体" w:cs="黑体"/>
          <w:b/>
          <w:bCs/>
          <w:spacing w:val="-15"/>
          <w:sz w:val="31"/>
          <w:szCs w:val="31"/>
          <w:lang w:eastAsia="zh-CN"/>
        </w:rPr>
      </w:pP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A957E"/>
    <w:multiLevelType w:val="singleLevel"/>
    <w:tmpl w:val="D3BA957E"/>
    <w:lvl w:ilvl="0" w:tentative="0">
      <w:start w:val="5"/>
      <w:numFmt w:val="chineseCounting"/>
      <w:suff w:val="nothing"/>
      <w:lvlText w:val="%1、"/>
      <w:lvlJc w:val="left"/>
      <w:rPr>
        <w:rFonts w:hint="eastAsia"/>
      </w:rPr>
    </w:lvl>
  </w:abstractNum>
  <w:abstractNum w:abstractNumId="1">
    <w:nsid w:val="F9AEB1A6"/>
    <w:multiLevelType w:val="singleLevel"/>
    <w:tmpl w:val="F9AEB1A6"/>
    <w:lvl w:ilvl="0" w:tentative="0">
      <w:start w:val="2"/>
      <w:numFmt w:val="chineseCounting"/>
      <w:suff w:val="nothing"/>
      <w:lvlText w:val="（%1）"/>
      <w:lvlJc w:val="left"/>
      <w:rPr>
        <w:rFonts w:hint="eastAsia"/>
      </w:rPr>
    </w:lvl>
  </w:abstractNum>
  <w:abstractNum w:abstractNumId="2">
    <w:nsid w:val="0FDE49E0"/>
    <w:multiLevelType w:val="singleLevel"/>
    <w:tmpl w:val="0FDE49E0"/>
    <w:lvl w:ilvl="0" w:tentative="0">
      <w:start w:val="1"/>
      <w:numFmt w:val="chineseCounting"/>
      <w:suff w:val="nothing"/>
      <w:lvlText w:val="%1、"/>
      <w:lvlJc w:val="left"/>
      <w:rPr>
        <w:rFonts w:hint="eastAsia"/>
      </w:rPr>
    </w:lvl>
  </w:abstractNum>
  <w:abstractNum w:abstractNumId="3">
    <w:nsid w:val="16C7B061"/>
    <w:multiLevelType w:val="singleLevel"/>
    <w:tmpl w:val="16C7B061"/>
    <w:lvl w:ilvl="0" w:tentative="0">
      <w:start w:val="2"/>
      <w:numFmt w:val="chineseCounting"/>
      <w:suff w:val="nothing"/>
      <w:lvlText w:val="（%1）"/>
      <w:lvlJc w:val="left"/>
      <w:rPr>
        <w:rFonts w:hint="eastAsia"/>
      </w:rPr>
    </w:lvl>
  </w:abstractNum>
  <w:abstractNum w:abstractNumId="4">
    <w:nsid w:val="5A5ED1C7"/>
    <w:multiLevelType w:val="singleLevel"/>
    <w:tmpl w:val="5A5ED1C7"/>
    <w:lvl w:ilvl="0" w:tentative="0">
      <w:start w:val="2"/>
      <w:numFmt w:val="chineseCounting"/>
      <w:suff w:val="nothing"/>
      <w:lvlText w:val="%1、"/>
      <w:lvlJc w:val="left"/>
      <w:rPr>
        <w:rFonts w:hint="eastAsia"/>
      </w:rPr>
    </w:lvl>
  </w:abstractNum>
  <w:abstractNum w:abstractNumId="5">
    <w:nsid w:val="5DCAE475"/>
    <w:multiLevelType w:val="singleLevel"/>
    <w:tmpl w:val="5DCAE475"/>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hlZDUzZGYxNzYyMDEzOWQ1YTI4MjdmZmM4OTIzOWYifQ=="/>
  </w:docVars>
  <w:rsids>
    <w:rsidRoot w:val="00000000"/>
    <w:rsid w:val="01AF3811"/>
    <w:rsid w:val="03795BF7"/>
    <w:rsid w:val="086E756B"/>
    <w:rsid w:val="08D3CC63"/>
    <w:rsid w:val="0ACF37E5"/>
    <w:rsid w:val="0B400BC6"/>
    <w:rsid w:val="0E68228D"/>
    <w:rsid w:val="0EA6787F"/>
    <w:rsid w:val="15276E52"/>
    <w:rsid w:val="19D32FBC"/>
    <w:rsid w:val="1C7B9BE9"/>
    <w:rsid w:val="1E6A4395"/>
    <w:rsid w:val="25557A3D"/>
    <w:rsid w:val="26EA5ED7"/>
    <w:rsid w:val="27A93B82"/>
    <w:rsid w:val="2AE00186"/>
    <w:rsid w:val="2FBB3C71"/>
    <w:rsid w:val="308216BE"/>
    <w:rsid w:val="32FF3DAE"/>
    <w:rsid w:val="34B46725"/>
    <w:rsid w:val="34FBA5DB"/>
    <w:rsid w:val="34FE1149"/>
    <w:rsid w:val="354B81FF"/>
    <w:rsid w:val="3A550786"/>
    <w:rsid w:val="3B7A130F"/>
    <w:rsid w:val="3BDBCFA7"/>
    <w:rsid w:val="3DFF9D13"/>
    <w:rsid w:val="3F7B1D33"/>
    <w:rsid w:val="494A1329"/>
    <w:rsid w:val="4E0B6126"/>
    <w:rsid w:val="4F3BCDB6"/>
    <w:rsid w:val="4F8B6063"/>
    <w:rsid w:val="4FFFB200"/>
    <w:rsid w:val="52FA3F96"/>
    <w:rsid w:val="55850F17"/>
    <w:rsid w:val="57AE6D93"/>
    <w:rsid w:val="5DE6BE57"/>
    <w:rsid w:val="5FB623A7"/>
    <w:rsid w:val="667FF781"/>
    <w:rsid w:val="68764C91"/>
    <w:rsid w:val="6E3851B0"/>
    <w:rsid w:val="6E7F80DD"/>
    <w:rsid w:val="6EF9642D"/>
    <w:rsid w:val="6F9E3CE5"/>
    <w:rsid w:val="6FDF689C"/>
    <w:rsid w:val="6FFA92B6"/>
    <w:rsid w:val="7177BF8C"/>
    <w:rsid w:val="76C727EE"/>
    <w:rsid w:val="76CF6FCD"/>
    <w:rsid w:val="784167CA"/>
    <w:rsid w:val="7BE95507"/>
    <w:rsid w:val="7BFEDD9B"/>
    <w:rsid w:val="7D9D8ED9"/>
    <w:rsid w:val="7DEAC324"/>
    <w:rsid w:val="7E7B7DB8"/>
    <w:rsid w:val="7ED67756"/>
    <w:rsid w:val="7EFF385D"/>
    <w:rsid w:val="7EFF96BC"/>
    <w:rsid w:val="7F1FAD50"/>
    <w:rsid w:val="7F5F72D5"/>
    <w:rsid w:val="7FB22BB1"/>
    <w:rsid w:val="7FBFCED3"/>
    <w:rsid w:val="7FD9BE5A"/>
    <w:rsid w:val="7FE7FD21"/>
    <w:rsid w:val="7FEC9908"/>
    <w:rsid w:val="7FF1D080"/>
    <w:rsid w:val="7FF67713"/>
    <w:rsid w:val="7FFE3DD6"/>
    <w:rsid w:val="96DEA5BC"/>
    <w:rsid w:val="ABF733CA"/>
    <w:rsid w:val="AF6E9052"/>
    <w:rsid w:val="B565A247"/>
    <w:rsid w:val="BB29DD6D"/>
    <w:rsid w:val="BB34F061"/>
    <w:rsid w:val="BCEEF6C5"/>
    <w:rsid w:val="BDA53EF3"/>
    <w:rsid w:val="CC9E5115"/>
    <w:rsid w:val="CECC7A2B"/>
    <w:rsid w:val="CF3F1825"/>
    <w:rsid w:val="D7F57BAE"/>
    <w:rsid w:val="DBBFE7DB"/>
    <w:rsid w:val="DBFE9B01"/>
    <w:rsid w:val="DEFC333C"/>
    <w:rsid w:val="DEFDFDD0"/>
    <w:rsid w:val="DF7BC713"/>
    <w:rsid w:val="DFD7F97F"/>
    <w:rsid w:val="E76F480D"/>
    <w:rsid w:val="E9EF4B10"/>
    <w:rsid w:val="EAB7CA3E"/>
    <w:rsid w:val="EB8FFF3B"/>
    <w:rsid w:val="EFFFA490"/>
    <w:rsid w:val="F3EFC8A4"/>
    <w:rsid w:val="F7330944"/>
    <w:rsid w:val="F778E275"/>
    <w:rsid w:val="F77F4E8D"/>
    <w:rsid w:val="F79A09DA"/>
    <w:rsid w:val="FB9BFD9E"/>
    <w:rsid w:val="FBF7FB8C"/>
    <w:rsid w:val="FDB7ED7E"/>
    <w:rsid w:val="FEFE1FCB"/>
    <w:rsid w:val="FF67FD63"/>
    <w:rsid w:val="FF9EFEFC"/>
    <w:rsid w:val="FFA941D9"/>
    <w:rsid w:val="FFB3BD8F"/>
    <w:rsid w:val="FFF3586C"/>
    <w:rsid w:val="FFF6B9E2"/>
    <w:rsid w:val="FFFD55E0"/>
    <w:rsid w:val="FFFEDE67"/>
    <w:rsid w:val="FFFFA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footer"/>
    <w:basedOn w:val="1"/>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1893</Words>
  <Characters>1955</Characters>
  <TotalTime>0</TotalTime>
  <ScaleCrop>false</ScaleCrop>
  <LinksUpToDate>false</LinksUpToDate>
  <CharactersWithSpaces>2120</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2024-04-20T21:25:00Z</dcterms:created>
  <dc:creator>Administrator</dc:creator>
  <cp:lastModifiedBy>greatwall</cp:lastModifiedBy>
  <cp:lastPrinted>2024-05-22T14:05:00Z</cp:lastPrinted>
  <dcterms:modified xsi:type="dcterms:W3CDTF">2024-10-16T16:18:44Z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2052-11.8.2.10125</vt:lpwstr>
  </property>
  <property fmtid="{D5CDD505-2E9C-101B-9397-08002B2CF9AE}" pid="6" name="ICV">
    <vt:lpwstr>A1E9AC54BF58440288AD196632C2A254_12</vt:lpwstr>
  </property>
</Properties>
</file>