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16" w:firstLineChars="100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83.33%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11.71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9.96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305.4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1、严格审批，节约办公经费；2、杜绝浪费，切实降低能耗；3、健全制度，建立长效机制。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汨罗市光荣院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70.54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61.4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61.4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87.04%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61.4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61.4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numPr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1.保障在职人员基本待遇按时发放，保障各项人员保障经费足额拨付到位，使职工生活得到保障</w:t>
            </w:r>
          </w:p>
          <w:p>
            <w:pPr>
              <w:numPr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2.确保日常运转经费足额拨付到位，保障单位日常性工作正常开展；</w:t>
            </w:r>
          </w:p>
          <w:p>
            <w:pPr>
              <w:numPr>
                <w:numId w:val="0"/>
              </w:numPr>
              <w:spacing w:line="240" w:lineRule="auto"/>
              <w:ind w:firstLine="420" w:firstLineChars="2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3.保障优抚对象生活水平不低于当地居民平均生活水平，解决优抚对象生活难的问题。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基本完成年初预期目标，保障在职人员相关待遇发放，机构正常有序运转，优抚对象生活水平得到提高。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经费金额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70.54万元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61.4万元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预算人员减少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各项经费补贴按政策发放率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经费及时拨付率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保障荣军老人生活，维护社会稳定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做好荣军老人服务管理工作，有利社会稳定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效果提升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显著提升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严格控制经费预算不超标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lang w:val="en-US"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不适用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960"/>
        <w:gridCol w:w="1405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624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48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48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4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66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4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05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405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66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05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汨罗市光荣院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10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汨罗市光荣院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2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Arial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单位职责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保障孤老优抚对象的生活，全方位为孤老优抚对象服务。加快孤老优抚对象养老服务设施建设；加快孤老优抚对象养老服务业发展，推进孤老优抚对象健康快速发展。确保院内老人的生活保障。</w:t>
      </w:r>
    </w:p>
    <w:p>
      <w:pPr>
        <w:spacing w:line="600" w:lineRule="exact"/>
        <w:ind w:firstLine="642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Arial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机构设置及决算单位构成</w:t>
      </w:r>
    </w:p>
    <w:p>
      <w:pPr>
        <w:spacing w:line="600" w:lineRule="exact"/>
        <w:ind w:firstLine="640" w:firstLineChars="200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汨罗市光荣院属于退役军人事务局二级机构，只有本级，没有其他决算单位，因此纳入2023年决算编制的范围仅包括汨罗市光荣院本级。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default" w:eastAsia="仿宋_GB2312"/>
          <w:kern w:val="0"/>
          <w:sz w:val="32"/>
          <w:szCs w:val="32"/>
          <w:lang w:eastAsia="zh-CN"/>
        </w:rPr>
        <w:t>1、基本支出具体使用情况：基本支出合计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61.4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万元，其中工资福利支出为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53.47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万元；商品和服务支出为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7.93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万元；对个人和家庭的补助为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万元；资本性支出为0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</w:t>
      </w:r>
      <w:r>
        <w:rPr>
          <w:rFonts w:hint="default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default" w:eastAsia="仿宋_GB2312"/>
          <w:kern w:val="0"/>
          <w:sz w:val="32"/>
          <w:szCs w:val="32"/>
          <w:lang w:eastAsia="zh-CN"/>
        </w:rPr>
        <w:t>2、三公经费具体支出情况：我局202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default" w:eastAsia="仿宋_GB2312"/>
          <w:kern w:val="0"/>
          <w:sz w:val="32"/>
          <w:szCs w:val="32"/>
          <w:lang w:eastAsia="zh-CN"/>
        </w:rPr>
        <w:t>年三公经费总支出为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0.5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万元，其中公务接待费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0.5</w:t>
      </w:r>
      <w:r>
        <w:rPr>
          <w:rFonts w:hint="default" w:eastAsia="仿宋_GB2312"/>
          <w:kern w:val="0"/>
          <w:sz w:val="32"/>
          <w:szCs w:val="32"/>
          <w:lang w:eastAsia="zh-CN"/>
        </w:rPr>
        <w:t>元；公务用车运行维护费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default" w:eastAsia="仿宋_GB2312"/>
          <w:kern w:val="0"/>
          <w:sz w:val="32"/>
          <w:szCs w:val="32"/>
          <w:lang w:eastAsia="zh-CN"/>
        </w:rPr>
        <w:t>万元，因公出国(境)支出为0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</w:t>
      </w:r>
      <w:r>
        <w:rPr>
          <w:rFonts w:hint="default" w:eastAsia="仿宋_GB2312"/>
          <w:kern w:val="0"/>
          <w:sz w:val="32"/>
          <w:szCs w:val="32"/>
          <w:lang w:eastAsia="zh-CN"/>
        </w:rPr>
        <w:t>。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本单位无项目支出。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2023年度本单位无政府性基金预算支出。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2023年度本单位无国有资本经营预算支出。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2023年度本单位无社会保险基金预算支出。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1、认真执行了年初部门预算和财政政策要求。我院工作经费安排严格按照年初预算来执行，有效防止了超预算；认真学习财经法规，严格执行财经纪律，防止了违法违纪行为的发生；认真落实了有关资金要求。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2、保障了单位有效运转。严格按照厉行节约的要求，精打细算，规范单位事务管理工作，提高服务质量，降低运行成本，合理配置，提高保障能力。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切实加强收养和管理荣军老人工作。全年每月按时发放了工资、津贴补贴、离休费等，缴纳住房公积金和基本养老保险、医保金等社会保险缴费。及时支付单位履行职能所需求的办公费、印刷费、水电费、邮电费、物业管理费、维修维护费、差旅费等日常开支。经费保障率100%，服务对象满意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eastAsia="仿宋_GB2312"/>
          <w:kern w:val="0"/>
          <w:sz w:val="32"/>
          <w:szCs w:val="32"/>
          <w:lang w:eastAsia="zh-CN"/>
        </w:rPr>
        <w:t>%。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（一）预算绩效观念不强，工作质量待提高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部分职能部门对预算绩效管理工作重视程度还不足，缺乏主动性；对预算绩效管理工作的意义、框架、思路、操作规程认识不够深入，申报绩效目标不够明确，设计的评价指标体系不科学、不严谨；从财政职能方面看，财政收支矛盾仍然突出，运行经费不足。科学理财，强化职能作用。积极推进账务决算公开，不断提高财务透明度；严格兑现各项节支降费，增强单位发展动力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（二）评价指标体系不完善，实际操作有难度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尽管绩效评价共性指标体系，但是对指标具体的设置没有统一的明确规定，没有针对性较强的个性评价指标体系可供预算单位借鉴。同时财政预算支出的范围在逐年扩大，新政策新情况不断出现，现有评价指标的针对性和适应性已降低，直接影响了绩效评价的质量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（三）绩效管理体系不健全，工作流程需优化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我单位人数较少，因此在预算管理制度和预算支出管理方面做的还不够完善，应定期或不定期的对管理人员进行业务培训，提供交流平台，不断提高工作人员的政治思想和业务素质，将绩效考核作为日常工作的目标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2、项目预算不够准确，因项目资金安排上存在不可预见性，资金使用效益有待进一步提高。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要采取召开会议、出台规范性文件、专题培训、分类指导等多种形式，组织财务人员学习预算绩效管理的法律法规、规范要求，让绩效理念深入人心、让绩效管理人员熟知政策。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部门整体支出绩效自评结果将作为下一年度，各部门用款申请的重要依据，确保各部门提前制定资金使用计划，并尽最大可能提高资金使用的经济效益、社会效益和行政效能等，确保全年各项目标任务的圆满完成。2023年绩效自评情况拟在公示栏和官网上进行公开,切实做到部门预算支出使用规范、程序透明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1F7F8DE1"/>
    <w:rsid w:val="25557A3D"/>
    <w:rsid w:val="26EA5ED7"/>
    <w:rsid w:val="27A93B82"/>
    <w:rsid w:val="2AE00186"/>
    <w:rsid w:val="308216BE"/>
    <w:rsid w:val="32AF33ED"/>
    <w:rsid w:val="34FE1149"/>
    <w:rsid w:val="3A550786"/>
    <w:rsid w:val="3B7A130F"/>
    <w:rsid w:val="3BF7DA5D"/>
    <w:rsid w:val="494A1329"/>
    <w:rsid w:val="4F8B6063"/>
    <w:rsid w:val="52FA3F96"/>
    <w:rsid w:val="55850F17"/>
    <w:rsid w:val="57AE6D93"/>
    <w:rsid w:val="5FB623A7"/>
    <w:rsid w:val="6E3851B0"/>
    <w:rsid w:val="6FE7FA62"/>
    <w:rsid w:val="784167CA"/>
    <w:rsid w:val="7BDDF2B7"/>
    <w:rsid w:val="7D96AC86"/>
    <w:rsid w:val="7ED67756"/>
    <w:rsid w:val="7FF98E88"/>
    <w:rsid w:val="DBCD8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2</TotalTime>
  <ScaleCrop>false</ScaleCrop>
  <LinksUpToDate>false</LinksUpToDate>
  <CharactersWithSpaces>2120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2024-04-21T05:25:00Z</dcterms:created>
  <dc:creator>Administrator</dc:creator>
  <cp:lastModifiedBy>thtf</cp:lastModifiedBy>
  <cp:lastPrinted>2024-05-22T22:05:00Z</cp:lastPrinted>
  <dcterms:modified xsi:type="dcterms:W3CDTF">2024-10-17T09:48:13Z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2052-11.8.2.11929</vt:lpwstr>
  </property>
  <property fmtid="{D5CDD505-2E9C-101B-9397-08002B2CF9AE}" pid="6" name="ICV">
    <vt:lpwstr>A1E9AC54BF58440288AD196632C2A254_12</vt:lpwstr>
  </property>
</Properties>
</file>