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tabs>
                <w:tab w:val="left" w:pos="1009"/>
              </w:tabs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ab/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13.77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10.64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</w:t>
            </w: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57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57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hint="default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向葵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20210-15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15074083078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黄青竹</w:t>
      </w:r>
    </w:p>
    <w:p w14:paraId="1153D14B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  <w:bookmarkStart w:id="0" w:name="_GoBack"/>
      <w:bookmarkEnd w:id="0"/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tabs>
                <w:tab w:val="left" w:pos="696"/>
              </w:tabs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ab/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汨罗市罗城医院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0867B6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1298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69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0424998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2.5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30C8F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200</w:t>
            </w:r>
          </w:p>
        </w:tc>
        <w:tc>
          <w:tcPr>
            <w:tcW w:w="4260" w:type="dxa"/>
            <w:gridSpan w:val="4"/>
            <w:vAlign w:val="center"/>
          </w:tcPr>
          <w:p w14:paraId="156E0DC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332.86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785EE4BB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确保100%完成保障民生工作任务</w:t>
            </w:r>
          </w:p>
        </w:tc>
        <w:tc>
          <w:tcPr>
            <w:tcW w:w="1298" w:type="dxa"/>
            <w:vAlign w:val="center"/>
          </w:tcPr>
          <w:p w14:paraId="2A3748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69" w:type="dxa"/>
            <w:vAlign w:val="center"/>
          </w:tcPr>
          <w:p w14:paraId="708D788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99" w:type="dxa"/>
            <w:shd w:val="clear"/>
            <w:vAlign w:val="top"/>
          </w:tcPr>
          <w:p w14:paraId="112DC050">
            <w:pPr>
              <w:pStyle w:val="8"/>
            </w:pPr>
          </w:p>
          <w:p w14:paraId="3D16B6C3">
            <w:pPr>
              <w:bidi w:val="0"/>
              <w:ind w:firstLine="380" w:firstLineChars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69" w:type="dxa"/>
            <w:shd w:val="clear"/>
            <w:vAlign w:val="top"/>
          </w:tcPr>
          <w:p w14:paraId="13F29258">
            <w:pPr>
              <w:pStyle w:val="8"/>
              <w:ind w:firstLine="210" w:firstLineChars="100"/>
              <w:rPr>
                <w:rFonts w:hint="eastAsia" w:eastAsia="宋体"/>
                <w:lang w:val="en-US" w:eastAsia="zh-CN"/>
              </w:rPr>
            </w:pPr>
          </w:p>
          <w:p w14:paraId="2717B7C4">
            <w:pPr>
              <w:pStyle w:val="8"/>
              <w:ind w:firstLine="210" w:firstLineChars="100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</w:tr>
      <w:tr w14:paraId="44FA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591BD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4CAD2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2D67C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5E485C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5CE1D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46D111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812C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26654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1001F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10423A41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</w:rPr>
              <w:t>本年收入</w:t>
            </w:r>
            <w:r>
              <w:rPr>
                <w:rFonts w:hint="eastAsia" w:eastAsia="宋体"/>
                <w:lang w:val="en-US" w:eastAsia="zh-CN"/>
              </w:rPr>
              <w:t>200</w:t>
            </w:r>
            <w:r>
              <w:rPr>
                <w:rFonts w:hint="eastAsia"/>
              </w:rPr>
              <w:t>万元</w:t>
            </w:r>
          </w:p>
        </w:tc>
        <w:tc>
          <w:tcPr>
            <w:tcW w:w="1298" w:type="dxa"/>
            <w:vAlign w:val="center"/>
          </w:tcPr>
          <w:p w14:paraId="1A5A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eastAsia="宋体"/>
                <w:lang w:val="en-US" w:eastAsia="zh-CN"/>
              </w:rPr>
              <w:t>200万元</w:t>
            </w:r>
          </w:p>
        </w:tc>
        <w:tc>
          <w:tcPr>
            <w:tcW w:w="1269" w:type="dxa"/>
            <w:shd w:val="clear"/>
            <w:vAlign w:val="top"/>
          </w:tcPr>
          <w:p w14:paraId="54075F02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332.86万元</w:t>
            </w:r>
          </w:p>
        </w:tc>
        <w:tc>
          <w:tcPr>
            <w:tcW w:w="699" w:type="dxa"/>
            <w:shd w:val="clear"/>
            <w:vAlign w:val="top"/>
          </w:tcPr>
          <w:p w14:paraId="5580FC82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69" w:type="dxa"/>
            <w:shd w:val="clear"/>
            <w:vAlign w:val="top"/>
          </w:tcPr>
          <w:p w14:paraId="0982B111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F7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3ECD9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201BA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EE261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BA53E0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33DF5A2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F080A0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55F4AE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2A2261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D7116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shd w:val="clear"/>
            <w:vAlign w:val="top"/>
          </w:tcPr>
          <w:p w14:paraId="5323318C">
            <w:pPr>
              <w:pStyle w:val="8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/>
              </w:rPr>
              <w:t>年完成绩效目标</w:t>
            </w:r>
          </w:p>
        </w:tc>
        <w:tc>
          <w:tcPr>
            <w:tcW w:w="1298" w:type="dxa"/>
            <w:shd w:val="clear"/>
            <w:vAlign w:val="top"/>
          </w:tcPr>
          <w:p w14:paraId="479FA5D5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及时完成</w:t>
            </w:r>
          </w:p>
        </w:tc>
        <w:tc>
          <w:tcPr>
            <w:tcW w:w="1269" w:type="dxa"/>
            <w:shd w:val="clear"/>
            <w:vAlign w:val="top"/>
          </w:tcPr>
          <w:p w14:paraId="5C1B3402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90%完成</w:t>
            </w:r>
          </w:p>
        </w:tc>
        <w:tc>
          <w:tcPr>
            <w:tcW w:w="699" w:type="dxa"/>
            <w:shd w:val="clear"/>
            <w:vAlign w:val="top"/>
          </w:tcPr>
          <w:p w14:paraId="4C56B99F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69" w:type="dxa"/>
            <w:shd w:val="clear"/>
            <w:vAlign w:val="top"/>
          </w:tcPr>
          <w:p w14:paraId="5DA34835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423" w:type="dxa"/>
            <w:shd w:val="clear"/>
            <w:vAlign w:val="top"/>
          </w:tcPr>
          <w:p w14:paraId="7BF8C6A4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没有及时完成</w:t>
            </w:r>
          </w:p>
        </w:tc>
      </w:tr>
      <w:tr w14:paraId="0E1E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C42FD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8ADF2D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8AFBDE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14EC5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A000B20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94C6C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37EBC3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0E73072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5672D5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shd w:val="clear"/>
            <w:vAlign w:val="top"/>
          </w:tcPr>
          <w:p w14:paraId="32611957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医疗收入及成果</w:t>
            </w:r>
          </w:p>
        </w:tc>
        <w:tc>
          <w:tcPr>
            <w:tcW w:w="1298" w:type="dxa"/>
            <w:shd w:val="clear"/>
            <w:vAlign w:val="top"/>
          </w:tcPr>
          <w:p w14:paraId="078289F3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完成指标</w:t>
            </w:r>
          </w:p>
        </w:tc>
        <w:tc>
          <w:tcPr>
            <w:tcW w:w="1269" w:type="dxa"/>
            <w:shd w:val="clear"/>
            <w:vAlign w:val="top"/>
          </w:tcPr>
          <w:p w14:paraId="7A453B87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及时完成</w:t>
            </w:r>
          </w:p>
        </w:tc>
        <w:tc>
          <w:tcPr>
            <w:tcW w:w="699" w:type="dxa"/>
            <w:shd w:val="clear"/>
            <w:vAlign w:val="top"/>
          </w:tcPr>
          <w:p w14:paraId="415A3F60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869" w:type="dxa"/>
            <w:shd w:val="clear"/>
            <w:vAlign w:val="top"/>
          </w:tcPr>
          <w:p w14:paraId="2AC58B95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423" w:type="dxa"/>
            <w:shd w:val="clear"/>
            <w:vAlign w:val="top"/>
          </w:tcPr>
          <w:p w14:paraId="63D43995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医疗收入未明显增加</w:t>
            </w:r>
          </w:p>
        </w:tc>
      </w:tr>
      <w:tr w14:paraId="53370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95DEC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40B64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0745A3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50A34D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4DB10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0D8D4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2404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6DE220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004A8B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shd w:val="clear"/>
            <w:vAlign w:val="top"/>
          </w:tcPr>
          <w:p w14:paraId="5D9BC272">
            <w:pPr>
              <w:pStyle w:val="8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改善服务病友的就医体验</w:t>
            </w:r>
          </w:p>
        </w:tc>
        <w:tc>
          <w:tcPr>
            <w:tcW w:w="1298" w:type="dxa"/>
            <w:shd w:val="clear"/>
            <w:vAlign w:val="top"/>
          </w:tcPr>
          <w:p w14:paraId="6E8C4873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效益显著</w:t>
            </w:r>
          </w:p>
        </w:tc>
        <w:tc>
          <w:tcPr>
            <w:tcW w:w="1269" w:type="dxa"/>
            <w:shd w:val="clear"/>
            <w:vAlign w:val="top"/>
          </w:tcPr>
          <w:p w14:paraId="4886005B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效益显著提高</w:t>
            </w:r>
          </w:p>
        </w:tc>
        <w:tc>
          <w:tcPr>
            <w:tcW w:w="699" w:type="dxa"/>
            <w:shd w:val="clear"/>
            <w:vAlign w:val="top"/>
          </w:tcPr>
          <w:p w14:paraId="75FAE414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869" w:type="dxa"/>
            <w:shd w:val="clear"/>
            <w:vAlign w:val="top"/>
          </w:tcPr>
          <w:p w14:paraId="3309901E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423" w:type="dxa"/>
            <w:shd w:val="clear"/>
            <w:vAlign w:val="top"/>
          </w:tcPr>
          <w:p w14:paraId="4D65F265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改善服务病友的就医体验</w:t>
            </w:r>
          </w:p>
        </w:tc>
      </w:tr>
      <w:tr w14:paraId="3FBA8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4A612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7D09F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2ABD6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10DCE7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10F1A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AC0299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6C66ED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14AC289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59B9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shd w:val="clear"/>
            <w:vAlign w:val="top"/>
          </w:tcPr>
          <w:p w14:paraId="4DC60689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坚持绿色环保</w:t>
            </w:r>
          </w:p>
        </w:tc>
        <w:tc>
          <w:tcPr>
            <w:tcW w:w="1298" w:type="dxa"/>
            <w:shd w:val="clear"/>
            <w:vAlign w:val="top"/>
          </w:tcPr>
          <w:p w14:paraId="45B96CBB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效果显著</w:t>
            </w:r>
          </w:p>
        </w:tc>
        <w:tc>
          <w:tcPr>
            <w:tcW w:w="1269" w:type="dxa"/>
            <w:shd w:val="clear"/>
            <w:vAlign w:val="top"/>
          </w:tcPr>
          <w:p w14:paraId="35C3564D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效果显著</w:t>
            </w:r>
          </w:p>
        </w:tc>
        <w:tc>
          <w:tcPr>
            <w:tcW w:w="699" w:type="dxa"/>
            <w:shd w:val="clear"/>
            <w:vAlign w:val="top"/>
          </w:tcPr>
          <w:p w14:paraId="6A822248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869" w:type="dxa"/>
            <w:shd w:val="clear"/>
            <w:vAlign w:val="top"/>
          </w:tcPr>
          <w:p w14:paraId="73C931F8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7F4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7D494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FDA62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D8728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4F0190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F4912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3DC03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66481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4C2501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B6320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shd w:val="clear"/>
            <w:vAlign w:val="top"/>
          </w:tcPr>
          <w:p w14:paraId="1B548B4C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坚持可持续发展</w:t>
            </w:r>
          </w:p>
        </w:tc>
        <w:tc>
          <w:tcPr>
            <w:tcW w:w="1298" w:type="dxa"/>
            <w:shd w:val="clear"/>
            <w:vAlign w:val="top"/>
          </w:tcPr>
          <w:p w14:paraId="055B34ED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逐步实行</w:t>
            </w:r>
          </w:p>
        </w:tc>
        <w:tc>
          <w:tcPr>
            <w:tcW w:w="1269" w:type="dxa"/>
            <w:shd w:val="clear"/>
            <w:vAlign w:val="top"/>
          </w:tcPr>
          <w:p w14:paraId="46B41467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效果显著</w:t>
            </w:r>
          </w:p>
        </w:tc>
        <w:tc>
          <w:tcPr>
            <w:tcW w:w="699" w:type="dxa"/>
            <w:shd w:val="clear"/>
            <w:vAlign w:val="top"/>
          </w:tcPr>
          <w:p w14:paraId="447C4D99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869" w:type="dxa"/>
            <w:shd w:val="clear"/>
            <w:vAlign w:val="top"/>
          </w:tcPr>
          <w:p w14:paraId="71C7C72F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FAF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2BCD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4D0DE1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8272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6B927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BB249F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4B7E67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CB64A1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006A71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4C6D2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shd w:val="clear"/>
            <w:vAlign w:val="top"/>
          </w:tcPr>
          <w:p w14:paraId="4F2AFDD1">
            <w:pPr>
              <w:pStyle w:val="8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就医病友对相关工作的满意度</w:t>
            </w:r>
          </w:p>
        </w:tc>
        <w:tc>
          <w:tcPr>
            <w:tcW w:w="1298" w:type="dxa"/>
            <w:shd w:val="clear"/>
            <w:vAlign w:val="top"/>
          </w:tcPr>
          <w:p w14:paraId="41359973">
            <w:pPr>
              <w:pStyle w:val="8"/>
            </w:pPr>
          </w:p>
          <w:p w14:paraId="34E6B45F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≥90%</w:t>
            </w:r>
          </w:p>
        </w:tc>
        <w:tc>
          <w:tcPr>
            <w:tcW w:w="1269" w:type="dxa"/>
            <w:shd w:val="clear"/>
            <w:vAlign w:val="top"/>
          </w:tcPr>
          <w:p w14:paraId="31B5B329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97%</w:t>
            </w:r>
          </w:p>
        </w:tc>
        <w:tc>
          <w:tcPr>
            <w:tcW w:w="699" w:type="dxa"/>
            <w:shd w:val="clear"/>
            <w:vAlign w:val="top"/>
          </w:tcPr>
          <w:p w14:paraId="41D3F37B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69" w:type="dxa"/>
            <w:shd w:val="clear"/>
            <w:vAlign w:val="top"/>
          </w:tcPr>
          <w:p w14:paraId="19FFC8CC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9D3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FFA43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4778A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 w14:paraId="28984C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67D8AA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D1571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14AA98D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5F318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3D62FDE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57DECF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B5DD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7573E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782E37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58BA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53ED4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3D4C98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2FC22B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97110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7760B7D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40A98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shd w:val="clear"/>
            <w:vAlign w:val="top"/>
          </w:tcPr>
          <w:p w14:paraId="63B7EC90">
            <w:pPr>
              <w:pStyle w:val="8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医疗收入及成果</w:t>
            </w:r>
          </w:p>
        </w:tc>
        <w:tc>
          <w:tcPr>
            <w:tcW w:w="1298" w:type="dxa"/>
            <w:shd w:val="clear"/>
            <w:vAlign w:val="top"/>
          </w:tcPr>
          <w:p w14:paraId="15ECA8D3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完成指标</w:t>
            </w:r>
          </w:p>
        </w:tc>
        <w:tc>
          <w:tcPr>
            <w:tcW w:w="1269" w:type="dxa"/>
            <w:shd w:val="clear"/>
            <w:vAlign w:val="top"/>
          </w:tcPr>
          <w:p w14:paraId="3C328246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及时完成</w:t>
            </w:r>
          </w:p>
        </w:tc>
        <w:tc>
          <w:tcPr>
            <w:tcW w:w="699" w:type="dxa"/>
            <w:shd w:val="clear"/>
            <w:vAlign w:val="top"/>
          </w:tcPr>
          <w:p w14:paraId="42BD2B94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869" w:type="dxa"/>
            <w:shd w:val="clear"/>
            <w:vAlign w:val="top"/>
          </w:tcPr>
          <w:p w14:paraId="786F4305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423" w:type="dxa"/>
            <w:shd w:val="clear"/>
            <w:vAlign w:val="top"/>
          </w:tcPr>
          <w:p w14:paraId="0F79A5E1"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医疗收入未明显增加</w:t>
            </w: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shd w:val="clear"/>
            <w:vAlign w:val="top"/>
          </w:tcPr>
          <w:p w14:paraId="4C2510AC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降低病人的就医成本</w:t>
            </w:r>
          </w:p>
        </w:tc>
        <w:tc>
          <w:tcPr>
            <w:tcW w:w="1298" w:type="dxa"/>
            <w:shd w:val="clear"/>
            <w:vAlign w:val="top"/>
          </w:tcPr>
          <w:p w14:paraId="09361E43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逐步降低</w:t>
            </w:r>
          </w:p>
        </w:tc>
        <w:tc>
          <w:tcPr>
            <w:tcW w:w="1269" w:type="dxa"/>
            <w:shd w:val="clear"/>
            <w:vAlign w:val="top"/>
          </w:tcPr>
          <w:p w14:paraId="32DCD303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有待提高</w:t>
            </w:r>
          </w:p>
        </w:tc>
        <w:tc>
          <w:tcPr>
            <w:tcW w:w="699" w:type="dxa"/>
            <w:shd w:val="clear"/>
            <w:vAlign w:val="top"/>
          </w:tcPr>
          <w:p w14:paraId="765229A3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869" w:type="dxa"/>
            <w:shd w:val="clear"/>
            <w:vAlign w:val="top"/>
          </w:tcPr>
          <w:p w14:paraId="4012A71B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成本降低效果不佳</w:t>
            </w: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shd w:val="clear"/>
            <w:vAlign w:val="top"/>
          </w:tcPr>
          <w:p w14:paraId="304051C0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坚持环保、</w:t>
            </w:r>
            <w:r>
              <w:rPr>
                <w:rFonts w:hint="eastAsia" w:eastAsia="宋体"/>
                <w:lang w:val="en-US" w:eastAsia="zh-CN"/>
              </w:rPr>
              <w:t>健康</w:t>
            </w:r>
          </w:p>
        </w:tc>
        <w:tc>
          <w:tcPr>
            <w:tcW w:w="1298" w:type="dxa"/>
            <w:shd w:val="clear"/>
            <w:vAlign w:val="top"/>
          </w:tcPr>
          <w:p w14:paraId="789CDCB9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逐渐改善</w:t>
            </w:r>
          </w:p>
        </w:tc>
        <w:tc>
          <w:tcPr>
            <w:tcW w:w="1269" w:type="dxa"/>
            <w:shd w:val="clear"/>
            <w:vAlign w:val="top"/>
          </w:tcPr>
          <w:p w14:paraId="4E354EE6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效</w:t>
            </w:r>
            <w:r>
              <w:rPr>
                <w:rFonts w:hint="eastAsia" w:eastAsia="宋体"/>
                <w:lang w:val="en-US" w:eastAsia="zh-CN"/>
              </w:rPr>
              <w:t>果明显</w:t>
            </w:r>
          </w:p>
        </w:tc>
        <w:tc>
          <w:tcPr>
            <w:tcW w:w="699" w:type="dxa"/>
            <w:shd w:val="clear"/>
            <w:vAlign w:val="top"/>
          </w:tcPr>
          <w:p w14:paraId="6C36DE67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869" w:type="dxa"/>
            <w:shd w:val="clear"/>
            <w:vAlign w:val="top"/>
          </w:tcPr>
          <w:p w14:paraId="6B31F2AB"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环保、健康完成较好</w:t>
            </w: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95</w:t>
            </w: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向葵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2024-10-15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1574083078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黄青竹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汨罗市卫生健康局</w:t>
            </w: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汨罗市罗城医院</w:t>
            </w: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4579A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6619C8B4">
      <w:pPr>
        <w:rPr>
          <w:rFonts w:hint="default" w:ascii="仿宋_GB2312" w:hAnsi="宋体" w:eastAsia="仿宋_GB2312" w:cs="宋体"/>
          <w:lang w:val="en-US"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 xml:space="preserve">向葵 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 xml:space="preserve">2024-10-15 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15074083078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黄青竹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汨罗市罗城医院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E7A976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CC76BB9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2024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年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 10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>月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 xml:space="preserve"> 20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4145AA24">
      <w:pPr>
        <w:kinsoku w:val="0"/>
        <w:autoSpaceDE w:val="0"/>
        <w:autoSpaceDN w:val="0"/>
        <w:adjustRightInd w:val="0"/>
        <w:snapToGrid w:val="0"/>
        <w:spacing w:before="211" w:line="224" w:lineRule="auto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6E38B2FF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汨 罗 市 罗 城 医 院 </w:t>
      </w:r>
      <w:r>
        <w:rPr>
          <w:rFonts w:ascii="黑体" w:hAnsi="黑体" w:eastAsia="黑体" w:cs="黑体"/>
          <w:spacing w:val="16"/>
          <w:sz w:val="40"/>
          <w:szCs w:val="40"/>
        </w:rPr>
        <w:t>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单位基本情况</w:t>
      </w:r>
    </w:p>
    <w:p w14:paraId="4075F9DE">
      <w:pPr>
        <w:numPr>
          <w:ilvl w:val="0"/>
          <w:numId w:val="0"/>
        </w:numPr>
        <w:spacing w:before="104" w:line="222" w:lineRule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（一）本院主要从事血吸虫病治疗的专科医院，并设有内科、血吸虫病科、中医理疗科、牙科、等临床科室，医技科室有B超、放射、检验、心电图等。社卫中心设有公卫科、妇保科、儿保科、计免科（预防接种）、健康教育及计划生育技术指导等。</w:t>
      </w:r>
    </w:p>
    <w:p w14:paraId="455CBB14">
      <w:pPr>
        <w:numPr>
          <w:ilvl w:val="0"/>
          <w:numId w:val="0"/>
        </w:numPr>
        <w:spacing w:before="104" w:line="222" w:lineRule="auto"/>
        <w:rPr>
          <w:rFonts w:hint="default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（二）本院收入主要用于血吸虫病人的门诊及住院病人治疗，主要内容包括检查费，治疗费，药品费，水电费，人员经费支出等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。</w:t>
      </w: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3132D145">
      <w:pPr>
        <w:pStyle w:val="2"/>
        <w:spacing w:before="1" w:line="225" w:lineRule="auto"/>
        <w:ind w:left="750"/>
        <w:rPr>
          <w:spacing w:val="-13"/>
          <w:sz w:val="32"/>
          <w:szCs w:val="32"/>
        </w:rPr>
      </w:pPr>
      <w:r>
        <w:rPr>
          <w:rFonts w:ascii="楷体" w:hAnsi="楷体" w:eastAsia="楷体" w:cs="楷体"/>
          <w:spacing w:val="-13"/>
          <w:sz w:val="32"/>
          <w:szCs w:val="32"/>
        </w:rPr>
        <w:t>(</w:t>
      </w:r>
      <w:r>
        <w:rPr>
          <w:rFonts w:ascii="楷体" w:hAnsi="楷体" w:eastAsia="楷体" w:cs="楷体"/>
          <w:spacing w:val="-6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3"/>
          <w:sz w:val="32"/>
          <w:szCs w:val="32"/>
        </w:rPr>
        <w:t>一</w:t>
      </w:r>
      <w:r>
        <w:rPr>
          <w:rFonts w:ascii="楷体" w:hAnsi="楷体" w:eastAsia="楷体" w:cs="楷体"/>
          <w:spacing w:val="-7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3"/>
          <w:sz w:val="32"/>
          <w:szCs w:val="32"/>
        </w:rPr>
        <w:t>)</w:t>
      </w:r>
      <w:r>
        <w:rPr>
          <w:rFonts w:ascii="楷体" w:hAnsi="楷体" w:eastAsia="楷体" w:cs="楷体"/>
          <w:spacing w:val="-76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基本支出情况</w:t>
      </w:r>
    </w:p>
    <w:p w14:paraId="69095D3D">
      <w:pPr>
        <w:numPr>
          <w:ilvl w:val="0"/>
          <w:numId w:val="0"/>
        </w:numPr>
        <w:spacing w:before="104" w:line="222" w:lineRule="auto"/>
        <w:ind w:firstLine="804" w:firstLineChars="3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本院整体支出按量入为出及专款专用，专人管理的原则，使用情况总体收支平衡，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基本支出416.25万元</w:t>
      </w:r>
      <w:r>
        <w:rPr>
          <w:rFonts w:hint="eastAsia"/>
          <w:spacing w:val="5"/>
          <w:sz w:val="32"/>
          <w:szCs w:val="32"/>
          <w:lang w:val="en-US" w:eastAsia="zh-CN"/>
        </w:rPr>
        <w:t xml:space="preserve">     </w:t>
      </w:r>
    </w:p>
    <w:p w14:paraId="00657FCB">
      <w:pPr>
        <w:pStyle w:val="9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6EFEBDCD">
      <w:pPr>
        <w:numPr>
          <w:ilvl w:val="0"/>
          <w:numId w:val="0"/>
        </w:numPr>
        <w:spacing w:before="104" w:line="222" w:lineRule="auto"/>
        <w:ind w:firstLine="960" w:firstLineChars="3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5"/>
          <w:sz w:val="28"/>
          <w:szCs w:val="28"/>
          <w:lang w:val="en-US" w:eastAsia="zh-CN"/>
        </w:rPr>
        <w:t>本院无项目支出</w:t>
      </w:r>
    </w:p>
    <w:p w14:paraId="516D3C52">
      <w:pPr>
        <w:numPr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>三、</w:t>
      </w: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政府性基金预算支出情况</w:t>
      </w:r>
    </w:p>
    <w:p w14:paraId="4D951C30">
      <w:pPr>
        <w:numPr>
          <w:ilvl w:val="0"/>
          <w:numId w:val="0"/>
        </w:numPr>
        <w:spacing w:before="204" w:line="222" w:lineRule="auto"/>
        <w:ind w:left="560" w:leftChars="0" w:firstLine="508" w:firstLineChars="200"/>
        <w:rPr>
          <w:rFonts w:hint="eastAsia" w:ascii="仿宋" w:hAnsi="仿宋" w:eastAsia="仿宋" w:cs="仿宋"/>
          <w:b w:val="0"/>
          <w:bCs w:val="0"/>
          <w:spacing w:val="-1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3"/>
          <w:sz w:val="28"/>
          <w:szCs w:val="28"/>
          <w:lang w:eastAsia="zh-CN"/>
        </w:rPr>
        <w:t>本院无政府性基金预算支出</w:t>
      </w:r>
    </w:p>
    <w:p w14:paraId="2A755169"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 w14:paraId="0D8AEBF3">
      <w:pPr>
        <w:numPr>
          <w:ilvl w:val="0"/>
          <w:numId w:val="0"/>
        </w:numPr>
        <w:spacing w:before="226" w:line="590" w:lineRule="exact"/>
        <w:ind w:left="560" w:leftChars="0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pacing w:val="-14"/>
          <w:position w:val="19"/>
          <w:sz w:val="28"/>
          <w:szCs w:val="28"/>
          <w:lang w:val="en-US" w:eastAsia="zh-CN"/>
        </w:rPr>
        <w:t>本院无国有资本经营预算支出</w:t>
      </w:r>
    </w:p>
    <w:p w14:paraId="07F1EBC0">
      <w:pPr>
        <w:numPr>
          <w:ilvl w:val="0"/>
          <w:numId w:val="3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 w14:paraId="720EC919">
      <w:pPr>
        <w:numPr>
          <w:numId w:val="0"/>
        </w:numPr>
        <w:spacing w:line="600" w:lineRule="exact"/>
        <w:ind w:left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8"/>
          <w:sz w:val="28"/>
          <w:szCs w:val="28"/>
          <w:lang w:eastAsia="zh-CN"/>
        </w:rPr>
        <w:t>本院无社会保障基金预算支出</w:t>
      </w:r>
    </w:p>
    <w:p w14:paraId="03087A41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4A31E0CA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本单位年初预算为2.5万元，年终决算为2.5万元，绩效目标完成情况为100%完成。本单位部门职责为血吸虫病人救助的专科医院，医院将加大对信息技术的应用力度，推进信息化管理系统的建设和应用，包括电子病历、电子处方和医院信息管理系统等。</w:t>
      </w:r>
    </w:p>
    <w:p w14:paraId="4D33A17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79EE0041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本单位主要资金来源为事业收入资金，保持收支平衡，收入略大于支出，社会效益略显著。</w:t>
      </w:r>
    </w:p>
    <w:p w14:paraId="21E6073D">
      <w:pPr>
        <w:numPr>
          <w:ilvl w:val="0"/>
          <w:numId w:val="4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下一步改进措施</w:t>
      </w:r>
    </w:p>
    <w:p w14:paraId="7EFEEA17">
      <w:pPr>
        <w:numPr>
          <w:numId w:val="0"/>
        </w:numPr>
        <w:spacing w:line="600" w:lineRule="exact"/>
        <w:jc w:val="both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增收节支，对职工工资实行绩效考核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。</w:t>
      </w:r>
    </w:p>
    <w:p w14:paraId="37ACA1CA">
      <w:pPr>
        <w:numPr>
          <w:ilvl w:val="0"/>
          <w:numId w:val="4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 w14:paraId="1182EE37">
      <w:pPr>
        <w:spacing w:line="221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  <w:sectPr>
          <w:pgSz w:w="12140" w:h="17000"/>
          <w:pgMar w:top="850" w:right="1821" w:bottom="403" w:left="1459" w:header="0" w:footer="0" w:gutter="0"/>
          <w:cols w:space="0" w:num="1"/>
          <w:rtlGutter w:val="0"/>
          <w:docGrid w:linePitch="0" w:charSpace="0"/>
        </w:sect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后续将继续努力改进绩效方案</w:t>
      </w:r>
    </w:p>
    <w:p w14:paraId="270AC016">
      <w:pPr>
        <w:numPr>
          <w:numId w:val="0"/>
        </w:numPr>
        <w:spacing w:line="600" w:lineRule="exact"/>
        <w:jc w:val="both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3C7E2132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EC8C4B6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1E1E2F4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79B976E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9658A96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09988CE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48B4C33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B8FEF75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7B7D913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1CDFCBE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59234D4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632EDA9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20F14DD2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A7FF9D0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1E46BBC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4736B37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43BE0C0A">
      <w:pPr>
        <w:spacing w:line="246" w:lineRule="auto"/>
        <w:rPr>
          <w:rFonts w:ascii="Arial"/>
          <w:sz w:val="21"/>
        </w:rPr>
      </w:pPr>
    </w:p>
    <w:p w14:paraId="7C3E6552">
      <w:pPr>
        <w:spacing w:line="246" w:lineRule="auto"/>
        <w:rPr>
          <w:rFonts w:ascii="Arial"/>
          <w:sz w:val="21"/>
        </w:rPr>
      </w:pPr>
    </w:p>
    <w:p w14:paraId="5050EEAE">
      <w:pPr>
        <w:spacing w:line="246" w:lineRule="auto"/>
        <w:rPr>
          <w:rFonts w:ascii="Arial"/>
          <w:sz w:val="21"/>
        </w:rPr>
      </w:pPr>
    </w:p>
    <w:p w14:paraId="1C1624B9">
      <w:pPr>
        <w:spacing w:line="246" w:lineRule="auto"/>
        <w:rPr>
          <w:rFonts w:ascii="Arial"/>
          <w:sz w:val="21"/>
        </w:rPr>
      </w:pPr>
    </w:p>
    <w:p w14:paraId="44D70D6A">
      <w:pPr>
        <w:spacing w:line="246" w:lineRule="auto"/>
        <w:rPr>
          <w:rFonts w:ascii="Arial"/>
          <w:sz w:val="21"/>
        </w:rPr>
      </w:pPr>
    </w:p>
    <w:p w14:paraId="220E3116">
      <w:pPr>
        <w:spacing w:line="246" w:lineRule="auto"/>
        <w:rPr>
          <w:rFonts w:ascii="Arial"/>
          <w:sz w:val="21"/>
        </w:rPr>
      </w:pPr>
    </w:p>
    <w:p w14:paraId="55BAABD1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 xml:space="preserve">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 xml:space="preserve">2024 </w:t>
      </w:r>
      <w:r>
        <w:rPr>
          <w:spacing w:val="-13"/>
          <w:position w:val="26"/>
          <w:sz w:val="27"/>
          <w:szCs w:val="27"/>
        </w:rPr>
        <w:t>年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 xml:space="preserve"> 10 </w:t>
      </w:r>
      <w:r>
        <w:rPr>
          <w:spacing w:val="-13"/>
          <w:position w:val="26"/>
          <w:sz w:val="27"/>
          <w:szCs w:val="27"/>
        </w:rPr>
        <w:t>月</w:t>
      </w:r>
      <w:r>
        <w:rPr>
          <w:spacing w:val="12"/>
          <w:position w:val="26"/>
          <w:sz w:val="27"/>
          <w:szCs w:val="27"/>
        </w:rPr>
        <w:t xml:space="preserve"> 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 xml:space="preserve">24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6599D035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3410C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 w14:paraId="4FE9CF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14:paraId="6AC96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 w14:paraId="093A69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 w14:paraId="6732EB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FD15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1E93AE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2FDADA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 w14:paraId="2025BF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71B21C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 w14:paraId="117F41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 w14:paraId="58DE1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C0D20C"/>
    <w:multiLevelType w:val="singleLevel"/>
    <w:tmpl w:val="F9C0D2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6EF84B4"/>
    <w:multiLevelType w:val="singleLevel"/>
    <w:tmpl w:val="16EF84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B9103E6"/>
    <w:multiLevelType w:val="singleLevel"/>
    <w:tmpl w:val="1B9103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66A236"/>
    <w:multiLevelType w:val="singleLevel"/>
    <w:tmpl w:val="7666A23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JhOWE4YzhlZGU1ZTZlYWNhMWMyNjQ0NTYxMGNiOTIifQ=="/>
  </w:docVars>
  <w:rsids>
    <w:rsidRoot w:val="00000000"/>
    <w:rsid w:val="01AF3811"/>
    <w:rsid w:val="03795BF7"/>
    <w:rsid w:val="086E756B"/>
    <w:rsid w:val="0ACF37E5"/>
    <w:rsid w:val="0B400BC6"/>
    <w:rsid w:val="0BA06587"/>
    <w:rsid w:val="0E68228D"/>
    <w:rsid w:val="0EA6787F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94A1329"/>
    <w:rsid w:val="4F8B6063"/>
    <w:rsid w:val="52FA3F96"/>
    <w:rsid w:val="55850F17"/>
    <w:rsid w:val="57AE6D93"/>
    <w:rsid w:val="5FB623A7"/>
    <w:rsid w:val="6E3851B0"/>
    <w:rsid w:val="784167CA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1893</Words>
  <Characters>1955</Characters>
  <TotalTime>2</TotalTime>
  <ScaleCrop>false</ScaleCrop>
  <LinksUpToDate>false</LinksUpToDate>
  <CharactersWithSpaces>2119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2024-10-15T03:24:37Z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A1E9AC54BF58440288AD196632C2A254_12</vt:lpwstr>
  </property>
</Properties>
</file>