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ascii="仿宋_GB2312" w:eastAsia="仿宋_GB2312"/>
                <w:kern w:val="0"/>
              </w:rPr>
            </w:pPr>
          </w:p>
        </w:tc>
        <w:tc>
          <w:tcPr>
            <w:tcW w:w="2039" w:type="dxa"/>
            <w:gridSpan w:val="2"/>
            <w:vAlign w:val="center"/>
          </w:tcPr>
          <w:p w14:paraId="1D6514EA">
            <w:pPr>
              <w:spacing w:line="240" w:lineRule="auto"/>
              <w:ind w:firstLine="420"/>
              <w:jc w:val="center"/>
              <w:rPr>
                <w:rFonts w:ascii="仿宋_GB2312" w:eastAsia="仿宋_GB2312"/>
                <w:kern w:val="0"/>
              </w:rPr>
            </w:pPr>
          </w:p>
        </w:tc>
        <w:tc>
          <w:tcPr>
            <w:tcW w:w="1983" w:type="dxa"/>
            <w:gridSpan w:val="2"/>
            <w:vAlign w:val="center"/>
          </w:tcPr>
          <w:p w14:paraId="7DFA6482">
            <w:pPr>
              <w:spacing w:line="240" w:lineRule="auto"/>
              <w:ind w:firstLine="420"/>
              <w:jc w:val="center"/>
              <w:rPr>
                <w:rFonts w:ascii="仿宋_GB2312" w:eastAsia="仿宋_GB2312"/>
                <w:kern w:val="0"/>
              </w:rPr>
            </w:pP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1.76</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5.08</w:t>
            </w:r>
          </w:p>
        </w:tc>
        <w:tc>
          <w:tcPr>
            <w:tcW w:w="2039" w:type="dxa"/>
            <w:gridSpan w:val="2"/>
            <w:vAlign w:val="center"/>
          </w:tcPr>
          <w:p w14:paraId="56A401C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7E496EB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710C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1E486BE">
            <w:pPr>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val="en-US" w:eastAsia="zh-CN"/>
              </w:rPr>
              <w:t>血防查、灭螺经费</w:t>
            </w:r>
          </w:p>
        </w:tc>
        <w:tc>
          <w:tcPr>
            <w:tcW w:w="2116" w:type="dxa"/>
            <w:gridSpan w:val="2"/>
            <w:vAlign w:val="center"/>
          </w:tcPr>
          <w:p w14:paraId="3E8799A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5.08</w:t>
            </w:r>
          </w:p>
        </w:tc>
        <w:tc>
          <w:tcPr>
            <w:tcW w:w="2039" w:type="dxa"/>
            <w:gridSpan w:val="2"/>
            <w:vAlign w:val="center"/>
          </w:tcPr>
          <w:p w14:paraId="6299D1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790EA83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6.79</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102.04</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102.04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7.32</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2.36</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17.08</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6.07</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6.07</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严格控制三公经费、差旅费，压缩开支</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王庭玮</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13786007223</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单位负责人签字：</w:t>
      </w:r>
    </w:p>
    <w:p w14:paraId="03103D72">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lang w:val="en-US" w:eastAsia="zh-CN"/>
              </w:rPr>
              <w:t>血吸虫病地方病防治服务中心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748.87</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1561.71</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1561.71</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ascii="仿宋_GB2312" w:eastAsia="仿宋_GB2312"/>
                <w:kern w:val="0"/>
              </w:rPr>
            </w:pP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1561.71</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1556.71</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ascii="仿宋_GB2312" w:eastAsia="仿宋_GB2312"/>
                <w:kern w:val="0"/>
              </w:rPr>
            </w:pPr>
            <w:r>
              <w:rPr>
                <w:rFonts w:hint="eastAsia"/>
              </w:rPr>
              <w:t>做好血吸虫病疫区居民防控项目</w:t>
            </w:r>
            <w:r>
              <w:rPr>
                <w:rFonts w:hint="eastAsia" w:eastAsia="宋体"/>
                <w:lang w:eastAsia="zh-CN"/>
              </w:rPr>
              <w:t>，完善好急性血吸虫病的防控网络、确保不发生急性血吸虫病病例，认真开展好查灭螺、查治病、健教宣传等工作，降低人畜血吸虫病感染率</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rPr>
              <w:t>完成汨罗市血吸虫病重疫区居民无害化厕所改造254座，有效的对居民粪便进行无害化处理，杀灭血吸虫卵，控制传染源，切断血吸虫病传播途径，保护疫区人民的身体健康。取得一定的社会效益和生态效益。社会效益就是通过查、灭螺防治、宣传教育，保护了疫区人民的身体健康；生态效益就是通过降低人畜血吸虫病感染率，确保全市血吸虫病疫情达到血吸虫病传播控制标准。</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top"/>
          </w:tcPr>
          <w:p w14:paraId="785EE4BB">
            <w:pPr>
              <w:pStyle w:val="8"/>
              <w:rPr>
                <w:rFonts w:ascii="仿宋_GB2312" w:eastAsia="仿宋_GB2312"/>
                <w:kern w:val="0"/>
              </w:rPr>
            </w:pPr>
            <w:r>
              <w:rPr>
                <w:rFonts w:hint="eastAsia"/>
              </w:rPr>
              <w:t>降低人畜血吸虫病感染率，确保全市血吸虫病疫情达到血吸虫病传播控制标准</w:t>
            </w:r>
          </w:p>
        </w:tc>
        <w:tc>
          <w:tcPr>
            <w:tcW w:w="1298" w:type="dxa"/>
            <w:vAlign w:val="top"/>
          </w:tcPr>
          <w:p w14:paraId="2A374824">
            <w:pPr>
              <w:pStyle w:val="8"/>
              <w:rPr>
                <w:rFonts w:ascii="仿宋_GB2312" w:eastAsia="仿宋_GB2312"/>
                <w:kern w:val="0"/>
              </w:rPr>
            </w:pPr>
            <w:r>
              <w:rPr>
                <w:rFonts w:hint="eastAsia" w:eastAsia="宋体"/>
                <w:lang w:val="en-US" w:eastAsia="zh-CN"/>
              </w:rPr>
              <w:t>95</w:t>
            </w:r>
          </w:p>
        </w:tc>
        <w:tc>
          <w:tcPr>
            <w:tcW w:w="1269" w:type="dxa"/>
            <w:vAlign w:val="top"/>
          </w:tcPr>
          <w:p w14:paraId="708D788A">
            <w:pPr>
              <w:pStyle w:val="8"/>
              <w:rPr>
                <w:rFonts w:ascii="仿宋_GB2312" w:eastAsia="仿宋_GB2312"/>
                <w:kern w:val="0"/>
              </w:rPr>
            </w:pPr>
            <w:r>
              <w:rPr>
                <w:rFonts w:hint="eastAsia"/>
              </w:rPr>
              <w:t>降低</w:t>
            </w:r>
            <w:r>
              <w:rPr>
                <w:rFonts w:hint="eastAsia" w:eastAsia="宋体"/>
                <w:lang w:val="en-US" w:eastAsia="zh-CN"/>
              </w:rPr>
              <w:t>了</w:t>
            </w:r>
            <w:r>
              <w:rPr>
                <w:rFonts w:hint="eastAsia"/>
              </w:rPr>
              <w:t>人畜血吸虫病感染率，确保全市血吸虫病疫情达到血吸虫病传播控制标准</w:t>
            </w:r>
          </w:p>
        </w:tc>
        <w:tc>
          <w:tcPr>
            <w:tcW w:w="699" w:type="dxa"/>
            <w:vAlign w:val="top"/>
          </w:tcPr>
          <w:p w14:paraId="567F5E54">
            <w:pPr>
              <w:pStyle w:val="8"/>
              <w:rPr>
                <w:rFonts w:ascii="仿宋_GB2312" w:eastAsia="仿宋_GB2312"/>
                <w:kern w:val="0"/>
              </w:rPr>
            </w:pPr>
            <w:r>
              <w:rPr>
                <w:rFonts w:hint="eastAsia" w:eastAsia="宋体"/>
                <w:lang w:val="en-US" w:eastAsia="zh-CN"/>
              </w:rPr>
              <w:t>10</w:t>
            </w:r>
          </w:p>
        </w:tc>
        <w:tc>
          <w:tcPr>
            <w:tcW w:w="869" w:type="dxa"/>
            <w:vAlign w:val="top"/>
          </w:tcPr>
          <w:p w14:paraId="2717B7C4">
            <w:pPr>
              <w:pStyle w:val="8"/>
              <w:rPr>
                <w:rFonts w:ascii="仿宋_GB2312" w:eastAsia="仿宋_GB2312"/>
                <w:kern w:val="0"/>
              </w:rPr>
            </w:pPr>
            <w:r>
              <w:rPr>
                <w:rFonts w:hint="eastAsia" w:eastAsia="宋体"/>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top"/>
          </w:tcPr>
          <w:p w14:paraId="35E485C8">
            <w:pPr>
              <w:pStyle w:val="8"/>
              <w:rPr>
                <w:rFonts w:ascii="仿宋_GB2312" w:eastAsia="仿宋_GB2312"/>
                <w:kern w:val="0"/>
              </w:rPr>
            </w:pPr>
          </w:p>
        </w:tc>
        <w:tc>
          <w:tcPr>
            <w:tcW w:w="1298" w:type="dxa"/>
            <w:vAlign w:val="top"/>
          </w:tcPr>
          <w:p w14:paraId="15CE1D7F">
            <w:pPr>
              <w:pStyle w:val="8"/>
              <w:rPr>
                <w:rFonts w:ascii="仿宋_GB2312" w:eastAsia="仿宋_GB2312"/>
                <w:kern w:val="0"/>
              </w:rPr>
            </w:pPr>
          </w:p>
        </w:tc>
        <w:tc>
          <w:tcPr>
            <w:tcW w:w="1269" w:type="dxa"/>
            <w:vAlign w:val="top"/>
          </w:tcPr>
          <w:p w14:paraId="346D111F">
            <w:pPr>
              <w:pStyle w:val="8"/>
              <w:rPr>
                <w:rFonts w:ascii="仿宋_GB2312" w:eastAsia="仿宋_GB2312"/>
                <w:kern w:val="0"/>
              </w:rPr>
            </w:pPr>
          </w:p>
        </w:tc>
        <w:tc>
          <w:tcPr>
            <w:tcW w:w="699" w:type="dxa"/>
            <w:vAlign w:val="top"/>
          </w:tcPr>
          <w:p w14:paraId="4812C5E9">
            <w:pPr>
              <w:pStyle w:val="8"/>
              <w:rPr>
                <w:rFonts w:ascii="仿宋_GB2312" w:eastAsia="仿宋_GB2312"/>
                <w:kern w:val="0"/>
              </w:rPr>
            </w:pPr>
          </w:p>
        </w:tc>
        <w:tc>
          <w:tcPr>
            <w:tcW w:w="869" w:type="dxa"/>
            <w:vAlign w:val="top"/>
          </w:tcPr>
          <w:p w14:paraId="42665481">
            <w:pPr>
              <w:pStyle w:val="8"/>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top"/>
          </w:tcPr>
          <w:p w14:paraId="10423A41">
            <w:pPr>
              <w:pStyle w:val="8"/>
              <w:rPr>
                <w:rFonts w:ascii="仿宋_GB2312" w:eastAsia="仿宋_GB2312"/>
                <w:kern w:val="0"/>
              </w:rPr>
            </w:pPr>
            <w:r>
              <w:rPr>
                <w:rFonts w:hint="eastAsia"/>
              </w:rPr>
              <w:t>降低人畜血吸虫病感染率，确保全市血吸虫病疫情达到血吸虫病传播控制标准</w:t>
            </w:r>
          </w:p>
        </w:tc>
        <w:tc>
          <w:tcPr>
            <w:tcW w:w="1298" w:type="dxa"/>
            <w:vAlign w:val="top"/>
          </w:tcPr>
          <w:p w14:paraId="1A5ADA3A">
            <w:pPr>
              <w:pStyle w:val="8"/>
              <w:rPr>
                <w:rFonts w:ascii="仿宋_GB2312" w:eastAsia="仿宋_GB2312"/>
                <w:kern w:val="0"/>
              </w:rPr>
            </w:pPr>
            <w:r>
              <w:rPr>
                <w:rFonts w:hint="eastAsia" w:eastAsia="宋体"/>
                <w:lang w:val="en-US" w:eastAsia="zh-CN"/>
              </w:rPr>
              <w:t>95</w:t>
            </w:r>
          </w:p>
        </w:tc>
        <w:tc>
          <w:tcPr>
            <w:tcW w:w="1269" w:type="dxa"/>
            <w:vAlign w:val="top"/>
          </w:tcPr>
          <w:p w14:paraId="54075F02">
            <w:pPr>
              <w:pStyle w:val="8"/>
              <w:rPr>
                <w:rFonts w:ascii="仿宋_GB2312" w:eastAsia="仿宋_GB2312"/>
                <w:kern w:val="0"/>
              </w:rPr>
            </w:pPr>
            <w:r>
              <w:rPr>
                <w:rFonts w:hint="eastAsia"/>
              </w:rPr>
              <w:t>降低</w:t>
            </w:r>
            <w:r>
              <w:rPr>
                <w:rFonts w:hint="eastAsia" w:eastAsia="宋体"/>
                <w:lang w:val="en-US" w:eastAsia="zh-CN"/>
              </w:rPr>
              <w:t>了</w:t>
            </w:r>
            <w:r>
              <w:rPr>
                <w:rFonts w:hint="eastAsia"/>
              </w:rPr>
              <w:t>人畜血吸虫病感染率，确保全市血吸虫病疫情达到血吸虫病传播控制标准</w:t>
            </w:r>
          </w:p>
        </w:tc>
        <w:tc>
          <w:tcPr>
            <w:tcW w:w="699" w:type="dxa"/>
            <w:vAlign w:val="top"/>
          </w:tcPr>
          <w:p w14:paraId="5580FC82">
            <w:pPr>
              <w:pStyle w:val="8"/>
              <w:rPr>
                <w:rFonts w:ascii="仿宋_GB2312" w:eastAsia="仿宋_GB2312"/>
                <w:kern w:val="0"/>
              </w:rPr>
            </w:pPr>
            <w:r>
              <w:rPr>
                <w:rFonts w:hint="eastAsia" w:eastAsia="宋体"/>
                <w:lang w:val="en-US" w:eastAsia="zh-CN"/>
              </w:rPr>
              <w:t>10</w:t>
            </w:r>
          </w:p>
        </w:tc>
        <w:tc>
          <w:tcPr>
            <w:tcW w:w="869" w:type="dxa"/>
            <w:vAlign w:val="top"/>
          </w:tcPr>
          <w:p w14:paraId="0982B111">
            <w:pPr>
              <w:pStyle w:val="8"/>
              <w:rPr>
                <w:rFonts w:ascii="仿宋_GB2312" w:eastAsia="仿宋_GB2312"/>
                <w:kern w:val="0"/>
              </w:rPr>
            </w:pPr>
            <w:r>
              <w:rPr>
                <w:rFonts w:hint="eastAsia" w:eastAsia="宋体"/>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top"/>
          </w:tcPr>
          <w:p w14:paraId="3BA53E08">
            <w:pPr>
              <w:pStyle w:val="8"/>
              <w:rPr>
                <w:rFonts w:ascii="仿宋_GB2312" w:eastAsia="仿宋_GB2312"/>
                <w:kern w:val="0"/>
              </w:rPr>
            </w:pPr>
          </w:p>
        </w:tc>
        <w:tc>
          <w:tcPr>
            <w:tcW w:w="1298" w:type="dxa"/>
            <w:vAlign w:val="top"/>
          </w:tcPr>
          <w:p w14:paraId="33DF5A21">
            <w:pPr>
              <w:pStyle w:val="8"/>
              <w:rPr>
                <w:rFonts w:ascii="仿宋_GB2312" w:eastAsia="仿宋_GB2312"/>
                <w:kern w:val="0"/>
              </w:rPr>
            </w:pPr>
          </w:p>
        </w:tc>
        <w:tc>
          <w:tcPr>
            <w:tcW w:w="1269" w:type="dxa"/>
            <w:vAlign w:val="top"/>
          </w:tcPr>
          <w:p w14:paraId="4F080A08">
            <w:pPr>
              <w:pStyle w:val="8"/>
              <w:rPr>
                <w:rFonts w:ascii="仿宋_GB2312" w:eastAsia="仿宋_GB2312"/>
                <w:kern w:val="0"/>
              </w:rPr>
            </w:pPr>
          </w:p>
        </w:tc>
        <w:tc>
          <w:tcPr>
            <w:tcW w:w="699" w:type="dxa"/>
            <w:vAlign w:val="top"/>
          </w:tcPr>
          <w:p w14:paraId="155F4AED">
            <w:pPr>
              <w:pStyle w:val="8"/>
              <w:rPr>
                <w:rFonts w:ascii="仿宋_GB2312" w:eastAsia="仿宋_GB2312"/>
                <w:kern w:val="0"/>
              </w:rPr>
            </w:pPr>
          </w:p>
        </w:tc>
        <w:tc>
          <w:tcPr>
            <w:tcW w:w="869" w:type="dxa"/>
            <w:vAlign w:val="top"/>
          </w:tcPr>
          <w:p w14:paraId="2A226188">
            <w:pPr>
              <w:pStyle w:val="8"/>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top"/>
          </w:tcPr>
          <w:p w14:paraId="5323318C">
            <w:pPr>
              <w:pStyle w:val="8"/>
              <w:rPr>
                <w:rFonts w:ascii="仿宋_GB2312" w:eastAsia="仿宋_GB2312"/>
                <w:kern w:val="0"/>
              </w:rPr>
            </w:pPr>
            <w:r>
              <w:rPr>
                <w:rFonts w:hint="eastAsia"/>
              </w:rPr>
              <w:t>完成时间</w:t>
            </w:r>
          </w:p>
        </w:tc>
        <w:tc>
          <w:tcPr>
            <w:tcW w:w="1298" w:type="dxa"/>
            <w:vAlign w:val="top"/>
          </w:tcPr>
          <w:p w14:paraId="479FA5D5">
            <w:pPr>
              <w:pStyle w:val="8"/>
              <w:rPr>
                <w:rFonts w:ascii="仿宋_GB2312" w:eastAsia="仿宋_GB2312"/>
                <w:kern w:val="0"/>
              </w:rPr>
            </w:pPr>
            <w:r>
              <w:rPr>
                <w:rFonts w:hint="eastAsia" w:eastAsia="宋体"/>
                <w:lang w:val="en-US" w:eastAsia="zh-CN"/>
              </w:rPr>
              <w:t>2023年全年</w:t>
            </w:r>
          </w:p>
        </w:tc>
        <w:tc>
          <w:tcPr>
            <w:tcW w:w="1269" w:type="dxa"/>
            <w:vAlign w:val="top"/>
          </w:tcPr>
          <w:p w14:paraId="5C1B3402">
            <w:pPr>
              <w:pStyle w:val="8"/>
              <w:rPr>
                <w:rFonts w:ascii="仿宋_GB2312" w:eastAsia="仿宋_GB2312"/>
                <w:kern w:val="0"/>
              </w:rPr>
            </w:pPr>
            <w:r>
              <w:rPr>
                <w:rFonts w:hint="eastAsia" w:eastAsia="宋体"/>
                <w:lang w:val="en-US" w:eastAsia="zh-CN"/>
              </w:rPr>
              <w:t>2023年全年</w:t>
            </w:r>
          </w:p>
        </w:tc>
        <w:tc>
          <w:tcPr>
            <w:tcW w:w="699" w:type="dxa"/>
            <w:vAlign w:val="top"/>
          </w:tcPr>
          <w:p w14:paraId="4C56B99F">
            <w:pPr>
              <w:pStyle w:val="8"/>
              <w:rPr>
                <w:rFonts w:ascii="仿宋_GB2312" w:eastAsia="仿宋_GB2312"/>
                <w:kern w:val="0"/>
              </w:rPr>
            </w:pPr>
            <w:r>
              <w:rPr>
                <w:rFonts w:hint="eastAsia" w:eastAsia="宋体"/>
                <w:lang w:val="en-US" w:eastAsia="zh-CN"/>
              </w:rPr>
              <w:t>10</w:t>
            </w:r>
          </w:p>
        </w:tc>
        <w:tc>
          <w:tcPr>
            <w:tcW w:w="869" w:type="dxa"/>
            <w:vAlign w:val="top"/>
          </w:tcPr>
          <w:p w14:paraId="5DA34835">
            <w:pPr>
              <w:pStyle w:val="8"/>
              <w:rPr>
                <w:rFonts w:ascii="仿宋_GB2312" w:eastAsia="仿宋_GB2312"/>
                <w:kern w:val="0"/>
              </w:rPr>
            </w:pPr>
            <w:r>
              <w:rPr>
                <w:rFonts w:hint="eastAsia" w:eastAsia="宋体"/>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top"/>
          </w:tcPr>
          <w:p w14:paraId="14EC514E">
            <w:pPr>
              <w:pStyle w:val="8"/>
              <w:rPr>
                <w:rFonts w:ascii="仿宋_GB2312" w:eastAsia="仿宋_GB2312"/>
                <w:kern w:val="0"/>
              </w:rPr>
            </w:pPr>
          </w:p>
        </w:tc>
        <w:tc>
          <w:tcPr>
            <w:tcW w:w="1298" w:type="dxa"/>
            <w:vAlign w:val="top"/>
          </w:tcPr>
          <w:p w14:paraId="7A000B20">
            <w:pPr>
              <w:pStyle w:val="8"/>
              <w:rPr>
                <w:rFonts w:ascii="仿宋_GB2312" w:eastAsia="仿宋_GB2312"/>
                <w:kern w:val="0"/>
              </w:rPr>
            </w:pPr>
          </w:p>
        </w:tc>
        <w:tc>
          <w:tcPr>
            <w:tcW w:w="1269" w:type="dxa"/>
            <w:vAlign w:val="top"/>
          </w:tcPr>
          <w:p w14:paraId="494C6CF7">
            <w:pPr>
              <w:pStyle w:val="8"/>
              <w:rPr>
                <w:rFonts w:ascii="仿宋_GB2312" w:eastAsia="仿宋_GB2312"/>
                <w:kern w:val="0"/>
              </w:rPr>
            </w:pPr>
          </w:p>
        </w:tc>
        <w:tc>
          <w:tcPr>
            <w:tcW w:w="699" w:type="dxa"/>
            <w:vAlign w:val="top"/>
          </w:tcPr>
          <w:p w14:paraId="37EBC37F">
            <w:pPr>
              <w:pStyle w:val="8"/>
              <w:rPr>
                <w:rFonts w:ascii="仿宋_GB2312" w:eastAsia="仿宋_GB2312"/>
                <w:kern w:val="0"/>
              </w:rPr>
            </w:pPr>
          </w:p>
        </w:tc>
        <w:tc>
          <w:tcPr>
            <w:tcW w:w="869" w:type="dxa"/>
            <w:vAlign w:val="top"/>
          </w:tcPr>
          <w:p w14:paraId="0E73072C">
            <w:pPr>
              <w:pStyle w:val="8"/>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top"/>
          </w:tcPr>
          <w:p w14:paraId="32611957">
            <w:pPr>
              <w:pStyle w:val="8"/>
              <w:rPr>
                <w:rFonts w:ascii="仿宋_GB2312" w:eastAsia="仿宋_GB2312"/>
                <w:kern w:val="0"/>
              </w:rPr>
            </w:pPr>
            <w:r>
              <w:rPr>
                <w:rFonts w:hint="eastAsia"/>
              </w:rPr>
              <w:t>促进经济发</w:t>
            </w:r>
          </w:p>
        </w:tc>
        <w:tc>
          <w:tcPr>
            <w:tcW w:w="1298" w:type="dxa"/>
            <w:vAlign w:val="top"/>
          </w:tcPr>
          <w:p w14:paraId="078289F3">
            <w:pPr>
              <w:pStyle w:val="8"/>
              <w:rPr>
                <w:rFonts w:ascii="仿宋_GB2312" w:eastAsia="仿宋_GB2312"/>
                <w:kern w:val="0"/>
              </w:rPr>
            </w:pPr>
            <w:r>
              <w:rPr>
                <w:rFonts w:hint="eastAsia"/>
              </w:rPr>
              <w:t>有所提升</w:t>
            </w:r>
          </w:p>
        </w:tc>
        <w:tc>
          <w:tcPr>
            <w:tcW w:w="1269" w:type="dxa"/>
            <w:vAlign w:val="top"/>
          </w:tcPr>
          <w:p w14:paraId="7A453B87">
            <w:pPr>
              <w:pStyle w:val="8"/>
              <w:rPr>
                <w:rFonts w:ascii="仿宋_GB2312" w:eastAsia="仿宋_GB2312"/>
                <w:kern w:val="0"/>
              </w:rPr>
            </w:pPr>
            <w:r>
              <w:rPr>
                <w:rFonts w:hint="eastAsia" w:eastAsia="宋体"/>
                <w:lang w:val="en-US" w:eastAsia="zh-CN"/>
              </w:rPr>
              <w:t>有所</w:t>
            </w:r>
            <w:r>
              <w:rPr>
                <w:rFonts w:hint="eastAsia"/>
              </w:rPr>
              <w:t>促进经</w:t>
            </w:r>
          </w:p>
        </w:tc>
        <w:tc>
          <w:tcPr>
            <w:tcW w:w="699" w:type="dxa"/>
            <w:vAlign w:val="top"/>
          </w:tcPr>
          <w:p w14:paraId="415A3F60">
            <w:pPr>
              <w:pStyle w:val="8"/>
              <w:rPr>
                <w:rFonts w:ascii="仿宋_GB2312" w:eastAsia="仿宋_GB2312"/>
                <w:kern w:val="0"/>
              </w:rPr>
            </w:pPr>
            <w:r>
              <w:rPr>
                <w:rFonts w:hint="eastAsia" w:eastAsia="宋体"/>
                <w:lang w:val="en-US" w:eastAsia="zh-CN"/>
              </w:rPr>
              <w:t>10</w:t>
            </w:r>
          </w:p>
        </w:tc>
        <w:tc>
          <w:tcPr>
            <w:tcW w:w="869" w:type="dxa"/>
            <w:vAlign w:val="top"/>
          </w:tcPr>
          <w:p w14:paraId="2AC58B95">
            <w:pPr>
              <w:pStyle w:val="8"/>
              <w:rPr>
                <w:rFonts w:ascii="仿宋_GB2312" w:eastAsia="仿宋_GB2312"/>
                <w:kern w:val="0"/>
              </w:rPr>
            </w:pPr>
            <w:r>
              <w:rPr>
                <w:rFonts w:hint="eastAsia" w:eastAsia="宋体"/>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top"/>
          </w:tcPr>
          <w:p w14:paraId="50A34D2D">
            <w:pPr>
              <w:pStyle w:val="8"/>
              <w:rPr>
                <w:rFonts w:ascii="仿宋_GB2312" w:eastAsia="仿宋_GB2312"/>
                <w:kern w:val="0"/>
              </w:rPr>
            </w:pPr>
          </w:p>
        </w:tc>
        <w:tc>
          <w:tcPr>
            <w:tcW w:w="1298" w:type="dxa"/>
            <w:vAlign w:val="top"/>
          </w:tcPr>
          <w:p w14:paraId="54DB100B">
            <w:pPr>
              <w:pStyle w:val="8"/>
              <w:rPr>
                <w:rFonts w:ascii="仿宋_GB2312" w:eastAsia="仿宋_GB2312"/>
                <w:kern w:val="0"/>
              </w:rPr>
            </w:pPr>
          </w:p>
        </w:tc>
        <w:tc>
          <w:tcPr>
            <w:tcW w:w="1269" w:type="dxa"/>
            <w:vAlign w:val="top"/>
          </w:tcPr>
          <w:p w14:paraId="40D8D424">
            <w:pPr>
              <w:pStyle w:val="8"/>
              <w:rPr>
                <w:rFonts w:ascii="仿宋_GB2312" w:eastAsia="仿宋_GB2312"/>
                <w:kern w:val="0"/>
              </w:rPr>
            </w:pPr>
          </w:p>
        </w:tc>
        <w:tc>
          <w:tcPr>
            <w:tcW w:w="699" w:type="dxa"/>
            <w:vAlign w:val="top"/>
          </w:tcPr>
          <w:p w14:paraId="12404D44">
            <w:pPr>
              <w:pStyle w:val="8"/>
              <w:rPr>
                <w:rFonts w:ascii="仿宋_GB2312" w:eastAsia="仿宋_GB2312"/>
                <w:kern w:val="0"/>
              </w:rPr>
            </w:pPr>
          </w:p>
        </w:tc>
        <w:tc>
          <w:tcPr>
            <w:tcW w:w="869" w:type="dxa"/>
            <w:vAlign w:val="top"/>
          </w:tcPr>
          <w:p w14:paraId="6DE220A2">
            <w:pPr>
              <w:pStyle w:val="8"/>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top"/>
          </w:tcPr>
          <w:p w14:paraId="5D9BC272">
            <w:pPr>
              <w:pStyle w:val="8"/>
              <w:rPr>
                <w:rFonts w:ascii="仿宋_GB2312" w:eastAsia="仿宋_GB2312"/>
                <w:kern w:val="0"/>
              </w:rPr>
            </w:pPr>
            <w:r>
              <w:rPr>
                <w:rFonts w:hint="eastAsia"/>
              </w:rPr>
              <w:t>促进社会发展</w:t>
            </w:r>
          </w:p>
        </w:tc>
        <w:tc>
          <w:tcPr>
            <w:tcW w:w="1298" w:type="dxa"/>
            <w:vAlign w:val="top"/>
          </w:tcPr>
          <w:p w14:paraId="6E8C4873">
            <w:pPr>
              <w:pStyle w:val="8"/>
              <w:rPr>
                <w:rFonts w:ascii="仿宋_GB2312" w:eastAsia="仿宋_GB2312"/>
                <w:kern w:val="0"/>
              </w:rPr>
            </w:pPr>
            <w:r>
              <w:rPr>
                <w:rFonts w:hint="eastAsia" w:eastAsia="宋体"/>
                <w:lang w:val="en-US" w:eastAsia="zh-CN"/>
              </w:rPr>
              <w:t>95%</w:t>
            </w:r>
          </w:p>
        </w:tc>
        <w:tc>
          <w:tcPr>
            <w:tcW w:w="1269" w:type="dxa"/>
            <w:vAlign w:val="top"/>
          </w:tcPr>
          <w:p w14:paraId="4886005B">
            <w:pPr>
              <w:pStyle w:val="8"/>
              <w:rPr>
                <w:rFonts w:ascii="仿宋_GB2312" w:eastAsia="仿宋_GB2312"/>
                <w:kern w:val="0"/>
              </w:rPr>
            </w:pPr>
            <w:r>
              <w:rPr>
                <w:rFonts w:hint="eastAsia" w:eastAsia="宋体"/>
                <w:lang w:val="en-US" w:eastAsia="zh-CN"/>
              </w:rPr>
              <w:t>促进社会发展</w:t>
            </w:r>
          </w:p>
        </w:tc>
        <w:tc>
          <w:tcPr>
            <w:tcW w:w="699" w:type="dxa"/>
            <w:vAlign w:val="top"/>
          </w:tcPr>
          <w:p w14:paraId="75FAE414">
            <w:pPr>
              <w:pStyle w:val="8"/>
              <w:rPr>
                <w:rFonts w:ascii="仿宋_GB2312" w:eastAsia="仿宋_GB2312"/>
                <w:kern w:val="0"/>
              </w:rPr>
            </w:pPr>
            <w:r>
              <w:rPr>
                <w:rFonts w:hint="eastAsia" w:eastAsia="宋体"/>
                <w:lang w:val="en-US" w:eastAsia="zh-CN"/>
              </w:rPr>
              <w:t>10</w:t>
            </w:r>
          </w:p>
        </w:tc>
        <w:tc>
          <w:tcPr>
            <w:tcW w:w="869" w:type="dxa"/>
            <w:vAlign w:val="top"/>
          </w:tcPr>
          <w:p w14:paraId="3309901E">
            <w:pPr>
              <w:pStyle w:val="8"/>
              <w:rPr>
                <w:rFonts w:ascii="仿宋_GB2312" w:eastAsia="仿宋_GB2312"/>
                <w:kern w:val="0"/>
              </w:rPr>
            </w:pPr>
            <w:r>
              <w:rPr>
                <w:rFonts w:hint="eastAsia" w:eastAsia="宋体"/>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top"/>
          </w:tcPr>
          <w:p w14:paraId="710DCE7A">
            <w:pPr>
              <w:pStyle w:val="8"/>
              <w:rPr>
                <w:rFonts w:ascii="仿宋_GB2312" w:eastAsia="仿宋_GB2312"/>
                <w:kern w:val="0"/>
              </w:rPr>
            </w:pPr>
          </w:p>
        </w:tc>
        <w:tc>
          <w:tcPr>
            <w:tcW w:w="1298" w:type="dxa"/>
            <w:vAlign w:val="top"/>
          </w:tcPr>
          <w:p w14:paraId="610F1A26">
            <w:pPr>
              <w:pStyle w:val="8"/>
              <w:rPr>
                <w:rFonts w:ascii="仿宋_GB2312" w:eastAsia="仿宋_GB2312"/>
                <w:kern w:val="0"/>
              </w:rPr>
            </w:pPr>
          </w:p>
        </w:tc>
        <w:tc>
          <w:tcPr>
            <w:tcW w:w="1269" w:type="dxa"/>
            <w:vAlign w:val="top"/>
          </w:tcPr>
          <w:p w14:paraId="4AC02997">
            <w:pPr>
              <w:pStyle w:val="8"/>
              <w:rPr>
                <w:rFonts w:ascii="仿宋_GB2312" w:eastAsia="仿宋_GB2312"/>
                <w:kern w:val="0"/>
              </w:rPr>
            </w:pPr>
          </w:p>
        </w:tc>
        <w:tc>
          <w:tcPr>
            <w:tcW w:w="699" w:type="dxa"/>
            <w:vAlign w:val="top"/>
          </w:tcPr>
          <w:p w14:paraId="56C66EDF">
            <w:pPr>
              <w:pStyle w:val="8"/>
              <w:rPr>
                <w:rFonts w:ascii="仿宋_GB2312" w:eastAsia="仿宋_GB2312"/>
                <w:kern w:val="0"/>
              </w:rPr>
            </w:pPr>
          </w:p>
        </w:tc>
        <w:tc>
          <w:tcPr>
            <w:tcW w:w="869" w:type="dxa"/>
            <w:vAlign w:val="top"/>
          </w:tcPr>
          <w:p w14:paraId="14AC2896">
            <w:pPr>
              <w:pStyle w:val="8"/>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top"/>
          </w:tcPr>
          <w:p w14:paraId="4DC60689">
            <w:pPr>
              <w:pStyle w:val="8"/>
              <w:rPr>
                <w:rFonts w:ascii="仿宋_GB2312" w:eastAsia="仿宋_GB2312"/>
                <w:kern w:val="0"/>
              </w:rPr>
            </w:pPr>
            <w:r>
              <w:rPr>
                <w:rFonts w:hint="eastAsia"/>
              </w:rPr>
              <w:t>生态</w:t>
            </w:r>
            <w:r>
              <w:rPr>
                <w:rFonts w:hint="eastAsia" w:eastAsia="宋体"/>
                <w:lang w:val="en-US" w:eastAsia="zh-CN"/>
              </w:rPr>
              <w:t>环境</w:t>
            </w:r>
            <w:r>
              <w:rPr>
                <w:rFonts w:hint="eastAsia"/>
              </w:rPr>
              <w:t>改变状况</w:t>
            </w:r>
          </w:p>
        </w:tc>
        <w:tc>
          <w:tcPr>
            <w:tcW w:w="1298" w:type="dxa"/>
            <w:vAlign w:val="top"/>
          </w:tcPr>
          <w:p w14:paraId="45B96CBB">
            <w:pPr>
              <w:pStyle w:val="8"/>
              <w:rPr>
                <w:rFonts w:ascii="仿宋_GB2312" w:eastAsia="仿宋_GB2312"/>
                <w:kern w:val="0"/>
              </w:rPr>
            </w:pPr>
            <w:r>
              <w:rPr>
                <w:rFonts w:hint="eastAsia"/>
              </w:rPr>
              <w:t>有所</w:t>
            </w:r>
            <w:r>
              <w:rPr>
                <w:rFonts w:hint="eastAsia" w:eastAsia="宋体"/>
                <w:lang w:val="en-US" w:eastAsia="zh-CN"/>
              </w:rPr>
              <w:t>改善</w:t>
            </w:r>
          </w:p>
        </w:tc>
        <w:tc>
          <w:tcPr>
            <w:tcW w:w="1269" w:type="dxa"/>
            <w:vAlign w:val="top"/>
          </w:tcPr>
          <w:p w14:paraId="35C3564D">
            <w:pPr>
              <w:pStyle w:val="8"/>
              <w:rPr>
                <w:rFonts w:ascii="仿宋_GB2312" w:eastAsia="仿宋_GB2312"/>
                <w:kern w:val="0"/>
              </w:rPr>
            </w:pPr>
            <w:r>
              <w:rPr>
                <w:rFonts w:hint="eastAsia" w:eastAsia="宋体"/>
                <w:lang w:val="en-US" w:eastAsia="zh-CN"/>
              </w:rPr>
              <w:t>改善生态</w:t>
            </w:r>
            <w:r>
              <w:rPr>
                <w:rFonts w:hint="eastAsia"/>
              </w:rPr>
              <w:t>环境状况</w:t>
            </w:r>
          </w:p>
        </w:tc>
        <w:tc>
          <w:tcPr>
            <w:tcW w:w="699" w:type="dxa"/>
            <w:vAlign w:val="top"/>
          </w:tcPr>
          <w:p w14:paraId="6A822248">
            <w:pPr>
              <w:pStyle w:val="8"/>
              <w:rPr>
                <w:rFonts w:ascii="仿宋_GB2312" w:eastAsia="仿宋_GB2312"/>
                <w:kern w:val="0"/>
              </w:rPr>
            </w:pPr>
            <w:r>
              <w:rPr>
                <w:rFonts w:hint="eastAsia" w:eastAsia="宋体"/>
                <w:lang w:val="en-US" w:eastAsia="zh-CN"/>
              </w:rPr>
              <w:t>5</w:t>
            </w:r>
          </w:p>
        </w:tc>
        <w:tc>
          <w:tcPr>
            <w:tcW w:w="869" w:type="dxa"/>
            <w:vAlign w:val="top"/>
          </w:tcPr>
          <w:p w14:paraId="73C931F8">
            <w:pPr>
              <w:pStyle w:val="8"/>
              <w:rPr>
                <w:rFonts w:ascii="仿宋_GB2312" w:eastAsia="仿宋_GB2312"/>
                <w:kern w:val="0"/>
              </w:rPr>
            </w:pPr>
            <w:r>
              <w:rPr>
                <w:rFonts w:hint="eastAsia" w:eastAsia="宋体"/>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top"/>
          </w:tcPr>
          <w:p w14:paraId="4F0190D3">
            <w:pPr>
              <w:pStyle w:val="8"/>
              <w:rPr>
                <w:rFonts w:ascii="仿宋_GB2312" w:eastAsia="仿宋_GB2312"/>
                <w:kern w:val="0"/>
              </w:rPr>
            </w:pPr>
          </w:p>
        </w:tc>
        <w:tc>
          <w:tcPr>
            <w:tcW w:w="1298" w:type="dxa"/>
            <w:vAlign w:val="top"/>
          </w:tcPr>
          <w:p w14:paraId="1F4912D3">
            <w:pPr>
              <w:pStyle w:val="8"/>
              <w:rPr>
                <w:rFonts w:ascii="仿宋_GB2312" w:eastAsia="仿宋_GB2312"/>
                <w:kern w:val="0"/>
              </w:rPr>
            </w:pPr>
          </w:p>
        </w:tc>
        <w:tc>
          <w:tcPr>
            <w:tcW w:w="1269" w:type="dxa"/>
            <w:vAlign w:val="top"/>
          </w:tcPr>
          <w:p w14:paraId="53DC0322">
            <w:pPr>
              <w:pStyle w:val="8"/>
              <w:rPr>
                <w:rFonts w:ascii="仿宋_GB2312" w:eastAsia="仿宋_GB2312"/>
                <w:kern w:val="0"/>
              </w:rPr>
            </w:pPr>
          </w:p>
        </w:tc>
        <w:tc>
          <w:tcPr>
            <w:tcW w:w="699" w:type="dxa"/>
            <w:vAlign w:val="top"/>
          </w:tcPr>
          <w:p w14:paraId="5664813A">
            <w:pPr>
              <w:pStyle w:val="8"/>
              <w:rPr>
                <w:rFonts w:ascii="仿宋_GB2312" w:eastAsia="仿宋_GB2312"/>
                <w:kern w:val="0"/>
              </w:rPr>
            </w:pPr>
          </w:p>
        </w:tc>
        <w:tc>
          <w:tcPr>
            <w:tcW w:w="869" w:type="dxa"/>
            <w:vAlign w:val="top"/>
          </w:tcPr>
          <w:p w14:paraId="44C25015">
            <w:pPr>
              <w:pStyle w:val="8"/>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top"/>
          </w:tcPr>
          <w:p w14:paraId="1B548B4C">
            <w:pPr>
              <w:pStyle w:val="8"/>
              <w:rPr>
                <w:rFonts w:ascii="仿宋_GB2312" w:eastAsia="仿宋_GB2312"/>
                <w:kern w:val="0"/>
              </w:rPr>
            </w:pPr>
            <w:r>
              <w:rPr>
                <w:rFonts w:hint="eastAsia"/>
              </w:rPr>
              <w:t>促进生态</w:t>
            </w:r>
            <w:r>
              <w:rPr>
                <w:rFonts w:hint="eastAsia" w:eastAsia="宋体"/>
                <w:lang w:val="en-US" w:eastAsia="zh-CN"/>
              </w:rPr>
              <w:t>可</w:t>
            </w:r>
            <w:r>
              <w:rPr>
                <w:rFonts w:hint="eastAsia"/>
              </w:rPr>
              <w:t>持续发展，促进经济可持续发展</w:t>
            </w:r>
          </w:p>
        </w:tc>
        <w:tc>
          <w:tcPr>
            <w:tcW w:w="1298" w:type="dxa"/>
            <w:vAlign w:val="top"/>
          </w:tcPr>
          <w:p w14:paraId="055B34ED">
            <w:pPr>
              <w:pStyle w:val="8"/>
              <w:rPr>
                <w:rFonts w:ascii="仿宋_GB2312" w:eastAsia="仿宋_GB2312"/>
                <w:kern w:val="0"/>
              </w:rPr>
            </w:pPr>
            <w:r>
              <w:rPr>
                <w:rFonts w:hint="eastAsia"/>
              </w:rPr>
              <w:t>持续</w:t>
            </w:r>
          </w:p>
        </w:tc>
        <w:tc>
          <w:tcPr>
            <w:tcW w:w="1269" w:type="dxa"/>
            <w:vAlign w:val="top"/>
          </w:tcPr>
          <w:p w14:paraId="46B41467">
            <w:pPr>
              <w:bidi w:val="0"/>
              <w:jc w:val="left"/>
              <w:rPr>
                <w:rFonts w:ascii="仿宋_GB2312" w:eastAsia="仿宋_GB2312"/>
                <w:kern w:val="0"/>
              </w:rPr>
            </w:pPr>
            <w:r>
              <w:rPr>
                <w:rFonts w:hint="eastAsia"/>
              </w:rPr>
              <w:t>促进生态</w:t>
            </w:r>
            <w:r>
              <w:rPr>
                <w:rFonts w:hint="eastAsia" w:eastAsia="宋体"/>
                <w:lang w:val="en-US" w:eastAsia="zh-CN"/>
              </w:rPr>
              <w:t>可持</w:t>
            </w:r>
            <w:r>
              <w:rPr>
                <w:rFonts w:hint="eastAsia"/>
              </w:rPr>
              <w:t>续发展，促进经济可</w:t>
            </w:r>
            <w:r>
              <w:rPr>
                <w:rFonts w:hint="eastAsia" w:eastAsia="宋体"/>
                <w:lang w:val="en-US" w:eastAsia="zh-CN"/>
              </w:rPr>
              <w:t>持续</w:t>
            </w:r>
            <w:r>
              <w:rPr>
                <w:rFonts w:hint="eastAsia"/>
              </w:rPr>
              <w:t>发展</w:t>
            </w:r>
          </w:p>
        </w:tc>
        <w:tc>
          <w:tcPr>
            <w:tcW w:w="699" w:type="dxa"/>
            <w:vAlign w:val="top"/>
          </w:tcPr>
          <w:p w14:paraId="447C4D99">
            <w:pPr>
              <w:pStyle w:val="8"/>
              <w:rPr>
                <w:rFonts w:ascii="仿宋_GB2312" w:eastAsia="仿宋_GB2312"/>
                <w:kern w:val="0"/>
              </w:rPr>
            </w:pPr>
            <w:r>
              <w:rPr>
                <w:rFonts w:hint="eastAsia" w:eastAsia="宋体"/>
                <w:lang w:val="en-US" w:eastAsia="zh-CN"/>
              </w:rPr>
              <w:t>5</w:t>
            </w:r>
          </w:p>
        </w:tc>
        <w:tc>
          <w:tcPr>
            <w:tcW w:w="869" w:type="dxa"/>
            <w:vAlign w:val="top"/>
          </w:tcPr>
          <w:p w14:paraId="71C7C72F">
            <w:pPr>
              <w:pStyle w:val="8"/>
              <w:rPr>
                <w:rFonts w:ascii="仿宋_GB2312" w:eastAsia="仿宋_GB2312"/>
                <w:kern w:val="0"/>
              </w:rPr>
            </w:pPr>
            <w:r>
              <w:rPr>
                <w:rFonts w:hint="eastAsia" w:eastAsia="宋体"/>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top"/>
          </w:tcPr>
          <w:p w14:paraId="66B92778">
            <w:pPr>
              <w:pStyle w:val="8"/>
              <w:rPr>
                <w:rFonts w:ascii="仿宋_GB2312" w:eastAsia="仿宋_GB2312"/>
                <w:kern w:val="0"/>
              </w:rPr>
            </w:pPr>
          </w:p>
        </w:tc>
        <w:tc>
          <w:tcPr>
            <w:tcW w:w="1298" w:type="dxa"/>
            <w:vAlign w:val="top"/>
          </w:tcPr>
          <w:p w14:paraId="5BB249F1">
            <w:pPr>
              <w:pStyle w:val="8"/>
              <w:rPr>
                <w:rFonts w:ascii="仿宋_GB2312" w:eastAsia="仿宋_GB2312"/>
                <w:kern w:val="0"/>
              </w:rPr>
            </w:pPr>
          </w:p>
        </w:tc>
        <w:tc>
          <w:tcPr>
            <w:tcW w:w="1269" w:type="dxa"/>
            <w:vAlign w:val="top"/>
          </w:tcPr>
          <w:p w14:paraId="54B7E676">
            <w:pPr>
              <w:pStyle w:val="8"/>
              <w:rPr>
                <w:rFonts w:ascii="仿宋_GB2312" w:eastAsia="仿宋_GB2312"/>
                <w:kern w:val="0"/>
              </w:rPr>
            </w:pPr>
          </w:p>
        </w:tc>
        <w:tc>
          <w:tcPr>
            <w:tcW w:w="699" w:type="dxa"/>
            <w:vAlign w:val="top"/>
          </w:tcPr>
          <w:p w14:paraId="5CB64A1A">
            <w:pPr>
              <w:pStyle w:val="8"/>
              <w:rPr>
                <w:rFonts w:ascii="仿宋_GB2312" w:eastAsia="仿宋_GB2312"/>
                <w:kern w:val="0"/>
              </w:rPr>
            </w:pPr>
          </w:p>
        </w:tc>
        <w:tc>
          <w:tcPr>
            <w:tcW w:w="869" w:type="dxa"/>
            <w:vAlign w:val="top"/>
          </w:tcPr>
          <w:p w14:paraId="006A7188">
            <w:pPr>
              <w:pStyle w:val="8"/>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top"/>
          </w:tcPr>
          <w:p w14:paraId="4F2AFDD1">
            <w:pPr>
              <w:pStyle w:val="8"/>
              <w:rPr>
                <w:rFonts w:ascii="仿宋_GB2312" w:eastAsia="仿宋_GB2312"/>
                <w:kern w:val="0"/>
              </w:rPr>
            </w:pPr>
            <w:r>
              <w:rPr>
                <w:rFonts w:hint="eastAsia"/>
              </w:rPr>
              <w:t>受益对象满意度</w:t>
            </w:r>
          </w:p>
        </w:tc>
        <w:tc>
          <w:tcPr>
            <w:tcW w:w="1298" w:type="dxa"/>
            <w:vAlign w:val="top"/>
          </w:tcPr>
          <w:p w14:paraId="6ABEB3E2">
            <w:pPr>
              <w:pStyle w:val="8"/>
              <w:rPr>
                <w:rFonts w:ascii="仿宋_GB2312" w:eastAsia="仿宋_GB2312"/>
                <w:kern w:val="0"/>
              </w:rPr>
            </w:pPr>
            <w:r>
              <w:rPr>
                <w:rFonts w:hint="eastAsia"/>
              </w:rPr>
              <w:t>&gt;=95</w:t>
            </w:r>
            <w:r>
              <w:rPr>
                <w:rFonts w:hint="eastAsia" w:eastAsia="宋体"/>
                <w:lang w:val="en-US" w:eastAsia="zh-CN"/>
              </w:rPr>
              <w:t>%</w:t>
            </w:r>
          </w:p>
        </w:tc>
        <w:tc>
          <w:tcPr>
            <w:tcW w:w="1269" w:type="dxa"/>
            <w:vAlign w:val="top"/>
          </w:tcPr>
          <w:p w14:paraId="31B5B329">
            <w:pPr>
              <w:pStyle w:val="8"/>
              <w:rPr>
                <w:rFonts w:ascii="仿宋_GB2312" w:eastAsia="仿宋_GB2312"/>
                <w:kern w:val="0"/>
              </w:rPr>
            </w:pPr>
            <w:r>
              <w:rPr>
                <w:rFonts w:hint="eastAsia"/>
              </w:rPr>
              <w:t>受益对象满意度</w:t>
            </w:r>
          </w:p>
        </w:tc>
        <w:tc>
          <w:tcPr>
            <w:tcW w:w="699" w:type="dxa"/>
            <w:vAlign w:val="top"/>
          </w:tcPr>
          <w:p w14:paraId="41D3F37B">
            <w:pPr>
              <w:pStyle w:val="8"/>
              <w:rPr>
                <w:rFonts w:ascii="仿宋_GB2312" w:eastAsia="仿宋_GB2312"/>
                <w:kern w:val="0"/>
              </w:rPr>
            </w:pPr>
            <w:r>
              <w:rPr>
                <w:rFonts w:hint="eastAsia" w:eastAsia="宋体"/>
                <w:lang w:val="en-US" w:eastAsia="zh-CN"/>
              </w:rPr>
              <w:t>10</w:t>
            </w:r>
          </w:p>
        </w:tc>
        <w:tc>
          <w:tcPr>
            <w:tcW w:w="869" w:type="dxa"/>
            <w:vAlign w:val="top"/>
          </w:tcPr>
          <w:p w14:paraId="19FFC8CC">
            <w:pPr>
              <w:pStyle w:val="8"/>
              <w:rPr>
                <w:rFonts w:ascii="仿宋_GB2312" w:eastAsia="仿宋_GB2312"/>
                <w:kern w:val="0"/>
              </w:rPr>
            </w:pPr>
            <w:r>
              <w:rPr>
                <w:rFonts w:hint="eastAsia" w:eastAsia="宋体"/>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top"/>
          </w:tcPr>
          <w:p w14:paraId="767D8AA9">
            <w:pPr>
              <w:pStyle w:val="8"/>
              <w:rPr>
                <w:rFonts w:ascii="仿宋_GB2312" w:eastAsia="仿宋_GB2312"/>
                <w:kern w:val="0"/>
              </w:rPr>
            </w:pPr>
          </w:p>
        </w:tc>
        <w:tc>
          <w:tcPr>
            <w:tcW w:w="1298" w:type="dxa"/>
            <w:vAlign w:val="top"/>
          </w:tcPr>
          <w:p w14:paraId="5D1571F7">
            <w:pPr>
              <w:pStyle w:val="8"/>
              <w:rPr>
                <w:rFonts w:ascii="仿宋_GB2312" w:eastAsia="仿宋_GB2312"/>
                <w:kern w:val="0"/>
              </w:rPr>
            </w:pPr>
          </w:p>
        </w:tc>
        <w:tc>
          <w:tcPr>
            <w:tcW w:w="1269" w:type="dxa"/>
            <w:vAlign w:val="top"/>
          </w:tcPr>
          <w:p w14:paraId="14AA98DC">
            <w:pPr>
              <w:pStyle w:val="8"/>
              <w:rPr>
                <w:rFonts w:ascii="仿宋_GB2312" w:eastAsia="仿宋_GB2312"/>
                <w:kern w:val="0"/>
              </w:rPr>
            </w:pPr>
          </w:p>
        </w:tc>
        <w:tc>
          <w:tcPr>
            <w:tcW w:w="699" w:type="dxa"/>
            <w:vAlign w:val="top"/>
          </w:tcPr>
          <w:p w14:paraId="45F31835">
            <w:pPr>
              <w:pStyle w:val="8"/>
              <w:rPr>
                <w:rFonts w:ascii="仿宋_GB2312" w:eastAsia="仿宋_GB2312"/>
                <w:kern w:val="0"/>
              </w:rPr>
            </w:pPr>
          </w:p>
        </w:tc>
        <w:tc>
          <w:tcPr>
            <w:tcW w:w="869" w:type="dxa"/>
            <w:vAlign w:val="top"/>
          </w:tcPr>
          <w:p w14:paraId="3D62FDEF">
            <w:pPr>
              <w:pStyle w:val="8"/>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top"/>
          </w:tcPr>
          <w:p w14:paraId="353ED426">
            <w:pPr>
              <w:pStyle w:val="8"/>
              <w:rPr>
                <w:rFonts w:ascii="仿宋_GB2312" w:eastAsia="仿宋_GB2312"/>
                <w:kern w:val="0"/>
              </w:rPr>
            </w:pPr>
          </w:p>
        </w:tc>
        <w:tc>
          <w:tcPr>
            <w:tcW w:w="1298" w:type="dxa"/>
            <w:vAlign w:val="top"/>
          </w:tcPr>
          <w:p w14:paraId="3D4C98A6">
            <w:pPr>
              <w:pStyle w:val="8"/>
              <w:rPr>
                <w:rFonts w:ascii="仿宋_GB2312" w:eastAsia="仿宋_GB2312"/>
                <w:kern w:val="0"/>
              </w:rPr>
            </w:pPr>
          </w:p>
        </w:tc>
        <w:tc>
          <w:tcPr>
            <w:tcW w:w="1269" w:type="dxa"/>
            <w:vAlign w:val="top"/>
          </w:tcPr>
          <w:p w14:paraId="2FC22B0A">
            <w:pPr>
              <w:pStyle w:val="8"/>
              <w:rPr>
                <w:rFonts w:ascii="仿宋_GB2312" w:eastAsia="仿宋_GB2312"/>
                <w:kern w:val="0"/>
              </w:rPr>
            </w:pPr>
          </w:p>
        </w:tc>
        <w:tc>
          <w:tcPr>
            <w:tcW w:w="699" w:type="dxa"/>
            <w:vAlign w:val="top"/>
          </w:tcPr>
          <w:p w14:paraId="29711080">
            <w:pPr>
              <w:pStyle w:val="8"/>
              <w:rPr>
                <w:rFonts w:ascii="仿宋_GB2312" w:eastAsia="仿宋_GB2312"/>
                <w:kern w:val="0"/>
              </w:rPr>
            </w:pPr>
          </w:p>
        </w:tc>
        <w:tc>
          <w:tcPr>
            <w:tcW w:w="869" w:type="dxa"/>
            <w:vAlign w:val="top"/>
          </w:tcPr>
          <w:p w14:paraId="7760B7D8">
            <w:pPr>
              <w:pStyle w:val="8"/>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top"/>
          </w:tcPr>
          <w:p w14:paraId="63B7EC90">
            <w:pPr>
              <w:pStyle w:val="8"/>
              <w:rPr>
                <w:rFonts w:ascii="仿宋_GB2312" w:eastAsia="仿宋_GB2312"/>
                <w:kern w:val="0"/>
              </w:rPr>
            </w:pPr>
            <w:r>
              <w:rPr>
                <w:rFonts w:hint="eastAsia"/>
              </w:rPr>
              <w:t>预算批复金额</w:t>
            </w:r>
          </w:p>
        </w:tc>
        <w:tc>
          <w:tcPr>
            <w:tcW w:w="1298" w:type="dxa"/>
            <w:vAlign w:val="top"/>
          </w:tcPr>
          <w:p w14:paraId="15ECA8D3">
            <w:pPr>
              <w:pStyle w:val="8"/>
              <w:rPr>
                <w:rFonts w:ascii="仿宋_GB2312" w:eastAsia="仿宋_GB2312"/>
                <w:kern w:val="0"/>
              </w:rPr>
            </w:pPr>
            <w:r>
              <w:rPr>
                <w:rFonts w:hint="eastAsia" w:eastAsia="宋体"/>
                <w:lang w:val="en-US" w:eastAsia="zh-CN"/>
              </w:rPr>
              <w:t>7488691元</w:t>
            </w:r>
          </w:p>
        </w:tc>
        <w:tc>
          <w:tcPr>
            <w:tcW w:w="1269" w:type="dxa"/>
            <w:vAlign w:val="top"/>
          </w:tcPr>
          <w:p w14:paraId="3C328246">
            <w:pPr>
              <w:pStyle w:val="8"/>
              <w:rPr>
                <w:rFonts w:ascii="仿宋_GB2312" w:eastAsia="仿宋_GB2312"/>
                <w:kern w:val="0"/>
              </w:rPr>
            </w:pPr>
            <w:r>
              <w:rPr>
                <w:rFonts w:hint="eastAsia" w:eastAsia="宋体"/>
                <w:lang w:val="en-US" w:eastAsia="zh-CN"/>
              </w:rPr>
              <w:t>7488691元</w:t>
            </w:r>
          </w:p>
        </w:tc>
        <w:tc>
          <w:tcPr>
            <w:tcW w:w="699" w:type="dxa"/>
            <w:vAlign w:val="top"/>
          </w:tcPr>
          <w:p w14:paraId="42BD2B94">
            <w:pPr>
              <w:pStyle w:val="8"/>
              <w:rPr>
                <w:rFonts w:ascii="仿宋_GB2312" w:eastAsia="仿宋_GB2312"/>
                <w:kern w:val="0"/>
              </w:rPr>
            </w:pPr>
            <w:r>
              <w:rPr>
                <w:rFonts w:hint="eastAsia" w:eastAsia="宋体"/>
                <w:lang w:val="en-US" w:eastAsia="zh-CN"/>
              </w:rPr>
              <w:t>10</w:t>
            </w:r>
          </w:p>
        </w:tc>
        <w:tc>
          <w:tcPr>
            <w:tcW w:w="869" w:type="dxa"/>
            <w:vAlign w:val="top"/>
          </w:tcPr>
          <w:p w14:paraId="786F4305">
            <w:pPr>
              <w:pStyle w:val="8"/>
              <w:rPr>
                <w:rFonts w:ascii="仿宋_GB2312" w:eastAsia="仿宋_GB2312"/>
                <w:kern w:val="0"/>
              </w:rPr>
            </w:pPr>
            <w:r>
              <w:rPr>
                <w:rFonts w:hint="eastAsia" w:eastAsia="宋体"/>
                <w:lang w:val="en-US" w:eastAsia="zh-CN"/>
              </w:rPr>
              <w:t>7</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top"/>
          </w:tcPr>
          <w:p w14:paraId="4C2510AC">
            <w:pPr>
              <w:pStyle w:val="8"/>
              <w:rPr>
                <w:rFonts w:ascii="仿宋_GB2312" w:eastAsia="仿宋_GB2312"/>
                <w:kern w:val="0"/>
              </w:rPr>
            </w:pPr>
            <w:r>
              <w:rPr>
                <w:rFonts w:hint="eastAsia"/>
              </w:rPr>
              <w:t>对社会发展可能造成的负面影响</w:t>
            </w:r>
          </w:p>
        </w:tc>
        <w:tc>
          <w:tcPr>
            <w:tcW w:w="1298" w:type="dxa"/>
            <w:vAlign w:val="top"/>
          </w:tcPr>
          <w:p w14:paraId="09361E43">
            <w:pPr>
              <w:pStyle w:val="8"/>
              <w:rPr>
                <w:rFonts w:ascii="仿宋_GB2312" w:eastAsia="仿宋_GB2312"/>
                <w:kern w:val="0"/>
              </w:rPr>
            </w:pPr>
            <w:r>
              <w:rPr>
                <w:rFonts w:hint="eastAsia"/>
              </w:rPr>
              <w:t>无负面影响</w:t>
            </w:r>
          </w:p>
        </w:tc>
        <w:tc>
          <w:tcPr>
            <w:tcW w:w="1269" w:type="dxa"/>
            <w:vAlign w:val="top"/>
          </w:tcPr>
          <w:p w14:paraId="32DCD303">
            <w:pPr>
              <w:pStyle w:val="8"/>
              <w:rPr>
                <w:rFonts w:ascii="仿宋_GB2312" w:eastAsia="仿宋_GB2312"/>
                <w:kern w:val="0"/>
              </w:rPr>
            </w:pPr>
            <w:r>
              <w:rPr>
                <w:rFonts w:hint="eastAsia"/>
              </w:rPr>
              <w:t>无负面影响</w:t>
            </w:r>
          </w:p>
        </w:tc>
        <w:tc>
          <w:tcPr>
            <w:tcW w:w="699" w:type="dxa"/>
            <w:vAlign w:val="top"/>
          </w:tcPr>
          <w:p w14:paraId="765229A3">
            <w:pPr>
              <w:pStyle w:val="8"/>
              <w:rPr>
                <w:rFonts w:ascii="仿宋_GB2312" w:eastAsia="仿宋_GB2312"/>
                <w:kern w:val="0"/>
              </w:rPr>
            </w:pPr>
            <w:r>
              <w:rPr>
                <w:rFonts w:hint="eastAsia" w:eastAsia="宋体"/>
                <w:lang w:val="en-US" w:eastAsia="zh-CN"/>
              </w:rPr>
              <w:t>5</w:t>
            </w:r>
          </w:p>
        </w:tc>
        <w:tc>
          <w:tcPr>
            <w:tcW w:w="869" w:type="dxa"/>
            <w:vAlign w:val="top"/>
          </w:tcPr>
          <w:p w14:paraId="4012A71B">
            <w:pPr>
              <w:pStyle w:val="8"/>
              <w:rPr>
                <w:rFonts w:ascii="仿宋_GB2312" w:eastAsia="仿宋_GB2312"/>
                <w:kern w:val="0"/>
              </w:rPr>
            </w:pPr>
            <w:r>
              <w:rPr>
                <w:rFonts w:hint="eastAsia" w:eastAsia="宋体"/>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top"/>
          </w:tcPr>
          <w:p w14:paraId="304051C0">
            <w:pPr>
              <w:pStyle w:val="8"/>
              <w:rPr>
                <w:rFonts w:ascii="仿宋_GB2312" w:eastAsia="仿宋_GB2312"/>
                <w:kern w:val="0"/>
              </w:rPr>
            </w:pPr>
            <w:r>
              <w:rPr>
                <w:rFonts w:hint="eastAsia"/>
              </w:rPr>
              <w:t>对</w:t>
            </w:r>
            <w:r>
              <w:rPr>
                <w:rFonts w:hint="eastAsia" w:eastAsia="宋体"/>
                <w:lang w:val="en-US" w:eastAsia="zh-CN"/>
              </w:rPr>
              <w:t>生态环境</w:t>
            </w:r>
            <w:r>
              <w:rPr>
                <w:rFonts w:hint="eastAsia"/>
              </w:rPr>
              <w:t>发展可能造成的负面影响</w:t>
            </w:r>
          </w:p>
        </w:tc>
        <w:tc>
          <w:tcPr>
            <w:tcW w:w="1298" w:type="dxa"/>
            <w:vAlign w:val="top"/>
          </w:tcPr>
          <w:p w14:paraId="789CDCB9">
            <w:pPr>
              <w:pStyle w:val="8"/>
              <w:rPr>
                <w:rFonts w:ascii="仿宋_GB2312" w:eastAsia="仿宋_GB2312"/>
                <w:kern w:val="0"/>
              </w:rPr>
            </w:pPr>
            <w:r>
              <w:rPr>
                <w:rFonts w:hint="eastAsia"/>
              </w:rPr>
              <w:t>无负面影响</w:t>
            </w:r>
          </w:p>
        </w:tc>
        <w:tc>
          <w:tcPr>
            <w:tcW w:w="1269" w:type="dxa"/>
            <w:vAlign w:val="top"/>
          </w:tcPr>
          <w:p w14:paraId="4E354EE6">
            <w:pPr>
              <w:pStyle w:val="8"/>
              <w:rPr>
                <w:rFonts w:ascii="仿宋_GB2312" w:eastAsia="仿宋_GB2312"/>
                <w:kern w:val="0"/>
              </w:rPr>
            </w:pPr>
            <w:r>
              <w:rPr>
                <w:rFonts w:hint="eastAsia"/>
              </w:rPr>
              <w:t>无负面影响</w:t>
            </w:r>
          </w:p>
        </w:tc>
        <w:tc>
          <w:tcPr>
            <w:tcW w:w="699" w:type="dxa"/>
            <w:vAlign w:val="top"/>
          </w:tcPr>
          <w:p w14:paraId="6C36DE67">
            <w:pPr>
              <w:pStyle w:val="8"/>
              <w:rPr>
                <w:rFonts w:ascii="仿宋_GB2312" w:eastAsia="仿宋_GB2312"/>
                <w:kern w:val="0"/>
              </w:rPr>
            </w:pPr>
            <w:r>
              <w:rPr>
                <w:rFonts w:hint="eastAsia" w:eastAsia="宋体"/>
                <w:lang w:val="en-US" w:eastAsia="zh-CN"/>
              </w:rPr>
              <w:t>5</w:t>
            </w:r>
          </w:p>
        </w:tc>
        <w:tc>
          <w:tcPr>
            <w:tcW w:w="869" w:type="dxa"/>
            <w:vAlign w:val="top"/>
          </w:tcPr>
          <w:p w14:paraId="6B31F2AB">
            <w:pPr>
              <w:pStyle w:val="8"/>
              <w:rPr>
                <w:rFonts w:ascii="仿宋_GB2312" w:eastAsia="仿宋_GB2312"/>
                <w:kern w:val="0"/>
              </w:rPr>
            </w:pPr>
            <w:r>
              <w:rPr>
                <w:rFonts w:hint="eastAsia" w:eastAsia="宋体"/>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王庭玮</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2024.10.14</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13786007223</w:t>
      </w:r>
      <w:r>
        <w:rPr>
          <w:rFonts w:ascii="仿宋_GB2312" w:hAnsi="宋体" w:eastAsia="仿宋_GB2312" w:cs="宋体"/>
          <w:snapToGrid w:val="0"/>
          <w:color w:val="000000"/>
          <w:sz w:val="21"/>
          <w:szCs w:val="21"/>
          <w:lang w:val="en-US" w:eastAsia="zh-CN" w:bidi="ar-SA"/>
        </w:rPr>
        <w:t>： 单位负责人签字：</w:t>
      </w:r>
      <w:r>
        <w:rPr>
          <w:rFonts w:ascii="仿宋_GB2312" w:hAnsi="宋体" w:eastAsia="仿宋_GB2312" w:cs="宋体"/>
          <w:snapToGrid w:val="0"/>
          <w:color w:val="000000"/>
          <w:sz w:val="35"/>
          <w:szCs w:val="35"/>
          <w:lang w:val="en-US" w:eastAsia="zh-CN" w:bidi="ar-SA"/>
        </w:rPr>
        <w:t xml:space="preserve"> </w:t>
      </w:r>
    </w:p>
    <w:p w14:paraId="6CA227F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B51BE1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33E48E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683048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BBBD1F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3FDDD1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AE9110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DF8680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eastAsia="宋体"/>
                <w:lang w:val="en-US" w:eastAsia="zh-CN"/>
              </w:rPr>
              <w:t>查、灭螺经费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汨罗市卫健局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eastAsia="宋体"/>
                <w:lang w:val="en-US" w:eastAsia="zh-CN"/>
              </w:rPr>
              <w:t>汨罗市血吸虫病地方病防治服务中心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rPr>
              <w:t>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rPr>
              <w:t>做好了血吸虫病疫区居民防控项目，完善了急性血吸虫病的防控网络、确保了不发生急性血吸虫病病例，认真开展好查灭螺、查治病、健教宣传等工作，降低了人畜血吸虫病感染率，全市血吸虫病疫情达到血吸虫病传播控制标准</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查螺3967万平方米，灭螺624万平方米，灭蚴、400万平方米，查病48233人次，化疗4000人次。</w:t>
            </w:r>
          </w:p>
        </w:tc>
        <w:tc>
          <w:tcPr>
            <w:tcW w:w="1099" w:type="dxa"/>
            <w:vAlign w:val="top"/>
          </w:tcPr>
          <w:p w14:paraId="54B93945">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95</w:t>
            </w:r>
          </w:p>
        </w:tc>
        <w:tc>
          <w:tcPr>
            <w:tcW w:w="1099" w:type="dxa"/>
            <w:vAlign w:val="top"/>
          </w:tcPr>
          <w:p w14:paraId="7F49710C">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已完成</w:t>
            </w:r>
            <w:r>
              <w:rPr>
                <w:rFonts w:hint="eastAsia" w:ascii="Arial" w:hAnsi="Arial" w:eastAsia="Arial" w:cs="Arial"/>
                <w:snapToGrid w:val="0"/>
                <w:color w:val="000000"/>
                <w:kern w:val="0"/>
                <w:sz w:val="21"/>
                <w:szCs w:val="21"/>
                <w:lang w:val="en-US" w:eastAsia="en-US" w:bidi="ar-SA"/>
              </w:rPr>
              <w:t>查螺3967万平方米，灭螺624万平方米，灭蚴、400万平方米，查病48233人次，化疗4000人次。</w:t>
            </w:r>
          </w:p>
        </w:tc>
        <w:tc>
          <w:tcPr>
            <w:tcW w:w="809" w:type="dxa"/>
            <w:vAlign w:val="top"/>
          </w:tcPr>
          <w:p w14:paraId="450DEC19">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w:t>
            </w:r>
            <w:r>
              <w:rPr>
                <w:rFonts w:hint="eastAsia" w:cs="Arial"/>
                <w:snapToGrid w:val="0"/>
                <w:color w:val="000000"/>
                <w:kern w:val="0"/>
                <w:sz w:val="21"/>
                <w:szCs w:val="21"/>
                <w:lang w:val="en-US" w:eastAsia="zh-CN" w:bidi="ar-SA"/>
              </w:rPr>
              <w:t>0</w:t>
            </w:r>
          </w:p>
        </w:tc>
        <w:tc>
          <w:tcPr>
            <w:tcW w:w="849" w:type="dxa"/>
            <w:vAlign w:val="top"/>
          </w:tcPr>
          <w:p w14:paraId="5F7B7A4C">
            <w:pPr>
              <w:pStyle w:val="8"/>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top"/>
          </w:tcPr>
          <w:p w14:paraId="221334DE">
            <w:pPr>
              <w:pStyle w:val="8"/>
              <w:rPr>
                <w:rFonts w:ascii="仿宋_GB2312" w:hAnsi="宋体" w:eastAsia="仿宋_GB2312" w:cs="宋体"/>
                <w:kern w:val="0"/>
              </w:rPr>
            </w:pPr>
          </w:p>
        </w:tc>
        <w:tc>
          <w:tcPr>
            <w:tcW w:w="1099" w:type="dxa"/>
            <w:vAlign w:val="top"/>
          </w:tcPr>
          <w:p w14:paraId="29CCEED8">
            <w:pPr>
              <w:pStyle w:val="8"/>
              <w:rPr>
                <w:rFonts w:ascii="仿宋_GB2312" w:hAnsi="宋体" w:eastAsia="仿宋_GB2312" w:cs="宋体"/>
                <w:kern w:val="0"/>
              </w:rPr>
            </w:pPr>
          </w:p>
        </w:tc>
        <w:tc>
          <w:tcPr>
            <w:tcW w:w="1099" w:type="dxa"/>
            <w:vAlign w:val="top"/>
          </w:tcPr>
          <w:p w14:paraId="70F41D21">
            <w:pPr>
              <w:pStyle w:val="8"/>
              <w:rPr>
                <w:rFonts w:ascii="仿宋_GB2312" w:hAnsi="宋体" w:eastAsia="仿宋_GB2312" w:cs="宋体"/>
                <w:kern w:val="0"/>
              </w:rPr>
            </w:pPr>
          </w:p>
        </w:tc>
        <w:tc>
          <w:tcPr>
            <w:tcW w:w="809" w:type="dxa"/>
            <w:vAlign w:val="top"/>
          </w:tcPr>
          <w:p w14:paraId="662F7041">
            <w:pPr>
              <w:pStyle w:val="8"/>
              <w:rPr>
                <w:rFonts w:ascii="仿宋_GB2312" w:hAnsi="宋体" w:eastAsia="仿宋_GB2312" w:cs="宋体"/>
                <w:kern w:val="0"/>
              </w:rPr>
            </w:pPr>
          </w:p>
        </w:tc>
        <w:tc>
          <w:tcPr>
            <w:tcW w:w="849" w:type="dxa"/>
            <w:vAlign w:val="top"/>
          </w:tcPr>
          <w:p w14:paraId="676686A6">
            <w:pPr>
              <w:pStyle w:val="8"/>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人畜血吸虫病感染率下降至1%以下，急性发病率0</w:t>
            </w:r>
          </w:p>
        </w:tc>
        <w:tc>
          <w:tcPr>
            <w:tcW w:w="1099" w:type="dxa"/>
            <w:vAlign w:val="center"/>
          </w:tcPr>
          <w:p w14:paraId="2D69FB32">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&lt;1</w:t>
            </w:r>
          </w:p>
        </w:tc>
        <w:tc>
          <w:tcPr>
            <w:tcW w:w="1099" w:type="dxa"/>
            <w:vAlign w:val="top"/>
          </w:tcPr>
          <w:p w14:paraId="03BC31E1">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已达到</w:t>
            </w:r>
            <w:r>
              <w:rPr>
                <w:rFonts w:hint="eastAsia" w:ascii="Arial" w:hAnsi="Arial" w:eastAsia="Arial" w:cs="Arial"/>
                <w:snapToGrid w:val="0"/>
                <w:color w:val="000000"/>
                <w:kern w:val="0"/>
                <w:sz w:val="21"/>
                <w:szCs w:val="21"/>
                <w:lang w:val="en-US" w:eastAsia="en-US" w:bidi="ar-SA"/>
              </w:rPr>
              <w:t>人畜血吸虫病感染率下降至1%以下，急性发病率0</w:t>
            </w:r>
          </w:p>
        </w:tc>
        <w:tc>
          <w:tcPr>
            <w:tcW w:w="809" w:type="dxa"/>
            <w:vAlign w:val="top"/>
          </w:tcPr>
          <w:p w14:paraId="5DC86158">
            <w:pPr>
              <w:pStyle w:val="8"/>
              <w:rPr>
                <w:rFonts w:ascii="仿宋_GB2312" w:hAnsi="宋体" w:eastAsia="仿宋_GB2312" w:cs="宋体"/>
                <w:kern w:val="0"/>
              </w:rPr>
            </w:pPr>
            <w:r>
              <w:rPr>
                <w:rFonts w:hint="eastAsia" w:cs="Arial"/>
                <w:snapToGrid w:val="0"/>
                <w:color w:val="000000"/>
                <w:kern w:val="0"/>
                <w:sz w:val="21"/>
                <w:szCs w:val="21"/>
                <w:lang w:val="en-US" w:eastAsia="zh-CN" w:bidi="ar-SA"/>
              </w:rPr>
              <w:t>10</w:t>
            </w:r>
          </w:p>
        </w:tc>
        <w:tc>
          <w:tcPr>
            <w:tcW w:w="849" w:type="dxa"/>
            <w:vAlign w:val="top"/>
          </w:tcPr>
          <w:p w14:paraId="25177C64">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w:t>
            </w:r>
            <w:r>
              <w:rPr>
                <w:rFonts w:hint="eastAsia" w:cs="Arial"/>
                <w:snapToGrid w:val="0"/>
                <w:color w:val="000000"/>
                <w:kern w:val="0"/>
                <w:sz w:val="21"/>
                <w:szCs w:val="21"/>
                <w:lang w:val="en-US" w:eastAsia="zh-CN" w:bidi="ar-SA"/>
              </w:rPr>
              <w:t>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top"/>
          </w:tcPr>
          <w:p w14:paraId="37972163">
            <w:pPr>
              <w:pStyle w:val="8"/>
              <w:rPr>
                <w:rFonts w:ascii="仿宋_GB2312" w:hAnsi="宋体" w:eastAsia="仿宋_GB2312" w:cs="宋体"/>
                <w:kern w:val="0"/>
              </w:rPr>
            </w:pPr>
          </w:p>
        </w:tc>
        <w:tc>
          <w:tcPr>
            <w:tcW w:w="1099" w:type="dxa"/>
            <w:vAlign w:val="top"/>
          </w:tcPr>
          <w:p w14:paraId="29C293EB">
            <w:pPr>
              <w:pStyle w:val="8"/>
              <w:rPr>
                <w:rFonts w:ascii="仿宋_GB2312" w:hAnsi="宋体" w:eastAsia="仿宋_GB2312" w:cs="宋体"/>
                <w:kern w:val="0"/>
              </w:rPr>
            </w:pPr>
          </w:p>
        </w:tc>
        <w:tc>
          <w:tcPr>
            <w:tcW w:w="1099" w:type="dxa"/>
            <w:vAlign w:val="top"/>
          </w:tcPr>
          <w:p w14:paraId="1620D8FA">
            <w:pPr>
              <w:pStyle w:val="8"/>
              <w:rPr>
                <w:rFonts w:ascii="仿宋_GB2312" w:hAnsi="宋体" w:eastAsia="仿宋_GB2312" w:cs="宋体"/>
                <w:kern w:val="0"/>
              </w:rPr>
            </w:pPr>
          </w:p>
        </w:tc>
        <w:tc>
          <w:tcPr>
            <w:tcW w:w="809" w:type="dxa"/>
            <w:vAlign w:val="top"/>
          </w:tcPr>
          <w:p w14:paraId="1CFE7712">
            <w:pPr>
              <w:pStyle w:val="8"/>
              <w:rPr>
                <w:rFonts w:ascii="仿宋_GB2312" w:hAnsi="宋体" w:eastAsia="仿宋_GB2312" w:cs="宋体"/>
                <w:kern w:val="0"/>
              </w:rPr>
            </w:pPr>
          </w:p>
        </w:tc>
        <w:tc>
          <w:tcPr>
            <w:tcW w:w="849" w:type="dxa"/>
            <w:vAlign w:val="top"/>
          </w:tcPr>
          <w:p w14:paraId="182C2D11">
            <w:pPr>
              <w:pStyle w:val="8"/>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完成时间</w:t>
            </w:r>
          </w:p>
        </w:tc>
        <w:tc>
          <w:tcPr>
            <w:tcW w:w="1099" w:type="dxa"/>
            <w:vAlign w:val="top"/>
          </w:tcPr>
          <w:p w14:paraId="015D039B">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202</w:t>
            </w:r>
            <w:r>
              <w:rPr>
                <w:rFonts w:hint="eastAsia" w:ascii="Arial" w:hAnsi="Arial" w:eastAsia="Arial" w:cs="Arial"/>
                <w:snapToGrid w:val="0"/>
                <w:color w:val="000000"/>
                <w:kern w:val="0"/>
                <w:sz w:val="21"/>
                <w:szCs w:val="21"/>
                <w:lang w:val="en-US" w:eastAsia="zh-CN" w:bidi="ar-SA"/>
              </w:rPr>
              <w:t>3</w:t>
            </w:r>
            <w:r>
              <w:rPr>
                <w:rFonts w:hint="eastAsia" w:ascii="Arial" w:hAnsi="Arial" w:eastAsia="Arial" w:cs="Arial"/>
                <w:snapToGrid w:val="0"/>
                <w:color w:val="000000"/>
                <w:kern w:val="0"/>
                <w:sz w:val="21"/>
                <w:szCs w:val="21"/>
                <w:lang w:val="en-US" w:eastAsia="en-US" w:bidi="ar-SA"/>
              </w:rPr>
              <w:t>年全年</w:t>
            </w:r>
          </w:p>
        </w:tc>
        <w:tc>
          <w:tcPr>
            <w:tcW w:w="1099" w:type="dxa"/>
            <w:vAlign w:val="top"/>
          </w:tcPr>
          <w:p w14:paraId="5C21687F">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在</w:t>
            </w:r>
            <w:r>
              <w:rPr>
                <w:rFonts w:hint="eastAsia" w:ascii="Arial" w:hAnsi="Arial" w:eastAsia="Arial" w:cs="Arial"/>
                <w:snapToGrid w:val="0"/>
                <w:color w:val="000000"/>
                <w:kern w:val="0"/>
                <w:sz w:val="21"/>
                <w:szCs w:val="21"/>
                <w:lang w:val="en-US" w:eastAsia="en-US" w:bidi="ar-SA"/>
              </w:rPr>
              <w:t>202</w:t>
            </w:r>
            <w:r>
              <w:rPr>
                <w:rFonts w:hint="eastAsia" w:ascii="Arial" w:hAnsi="Arial" w:eastAsia="Arial" w:cs="Arial"/>
                <w:snapToGrid w:val="0"/>
                <w:color w:val="000000"/>
                <w:kern w:val="0"/>
                <w:sz w:val="21"/>
                <w:szCs w:val="21"/>
                <w:lang w:val="en-US" w:eastAsia="zh-CN" w:bidi="ar-SA"/>
              </w:rPr>
              <w:t>3</w:t>
            </w:r>
            <w:r>
              <w:rPr>
                <w:rFonts w:hint="eastAsia" w:ascii="Arial" w:hAnsi="Arial" w:eastAsia="Arial" w:cs="Arial"/>
                <w:snapToGrid w:val="0"/>
                <w:color w:val="000000"/>
                <w:kern w:val="0"/>
                <w:sz w:val="21"/>
                <w:szCs w:val="21"/>
                <w:lang w:val="en-US" w:eastAsia="en-US" w:bidi="ar-SA"/>
              </w:rPr>
              <w:t>年全年</w:t>
            </w:r>
          </w:p>
        </w:tc>
        <w:tc>
          <w:tcPr>
            <w:tcW w:w="809" w:type="dxa"/>
            <w:vAlign w:val="top"/>
          </w:tcPr>
          <w:p w14:paraId="0D16C331">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14:paraId="094C7D5E">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keepNext w:val="0"/>
              <w:keepLines w:val="0"/>
              <w:widowControl/>
              <w:suppressLineNumbers w:val="0"/>
              <w:jc w:val="left"/>
              <w:textAlignment w:val="center"/>
              <w:rPr>
                <w:rFonts w:ascii="仿宋_GB2312" w:hAnsi="宋体" w:eastAsia="仿宋_GB2312" w:cs="宋体"/>
                <w:kern w:val="0"/>
              </w:rPr>
            </w:pPr>
          </w:p>
        </w:tc>
        <w:tc>
          <w:tcPr>
            <w:tcW w:w="1099" w:type="dxa"/>
            <w:vAlign w:val="top"/>
          </w:tcPr>
          <w:p w14:paraId="7E44AA5B">
            <w:pPr>
              <w:pStyle w:val="8"/>
              <w:rPr>
                <w:rFonts w:ascii="仿宋_GB2312" w:hAnsi="宋体" w:eastAsia="仿宋_GB2312" w:cs="宋体"/>
                <w:kern w:val="0"/>
              </w:rPr>
            </w:pPr>
          </w:p>
        </w:tc>
        <w:tc>
          <w:tcPr>
            <w:tcW w:w="1099" w:type="dxa"/>
            <w:vAlign w:val="top"/>
          </w:tcPr>
          <w:p w14:paraId="00736A60">
            <w:pPr>
              <w:pStyle w:val="8"/>
              <w:rPr>
                <w:rFonts w:ascii="仿宋_GB2312" w:hAnsi="宋体" w:eastAsia="仿宋_GB2312" w:cs="宋体"/>
                <w:kern w:val="0"/>
              </w:rPr>
            </w:pPr>
          </w:p>
        </w:tc>
        <w:tc>
          <w:tcPr>
            <w:tcW w:w="809" w:type="dxa"/>
            <w:vAlign w:val="top"/>
          </w:tcPr>
          <w:p w14:paraId="13AFCFC5">
            <w:pPr>
              <w:pStyle w:val="8"/>
              <w:rPr>
                <w:rFonts w:ascii="仿宋_GB2312" w:hAnsi="宋体" w:eastAsia="仿宋_GB2312" w:cs="宋体"/>
                <w:kern w:val="0"/>
              </w:rPr>
            </w:pPr>
          </w:p>
        </w:tc>
        <w:tc>
          <w:tcPr>
            <w:tcW w:w="849" w:type="dxa"/>
            <w:vAlign w:val="top"/>
          </w:tcPr>
          <w:p w14:paraId="5322DFE5">
            <w:pPr>
              <w:pStyle w:val="8"/>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top"/>
          </w:tcPr>
          <w:p w14:paraId="50DC120B">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促进经济发展</w:t>
            </w:r>
          </w:p>
        </w:tc>
        <w:tc>
          <w:tcPr>
            <w:tcW w:w="1099" w:type="dxa"/>
            <w:vAlign w:val="top"/>
          </w:tcPr>
          <w:p w14:paraId="53928C31">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有所提升</w:t>
            </w:r>
          </w:p>
        </w:tc>
        <w:tc>
          <w:tcPr>
            <w:tcW w:w="1099" w:type="dxa"/>
            <w:vAlign w:val="top"/>
          </w:tcPr>
          <w:p w14:paraId="6D883DDF">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促进经济发展</w:t>
            </w:r>
          </w:p>
        </w:tc>
        <w:tc>
          <w:tcPr>
            <w:tcW w:w="809" w:type="dxa"/>
            <w:vAlign w:val="top"/>
          </w:tcPr>
          <w:p w14:paraId="29584852">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14:paraId="41D412C8">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top"/>
          </w:tcPr>
          <w:p w14:paraId="393F2438">
            <w:pPr>
              <w:pStyle w:val="8"/>
              <w:rPr>
                <w:rFonts w:ascii="仿宋_GB2312" w:hAnsi="宋体" w:eastAsia="仿宋_GB2312" w:cs="宋体"/>
                <w:kern w:val="0"/>
              </w:rPr>
            </w:pPr>
          </w:p>
        </w:tc>
        <w:tc>
          <w:tcPr>
            <w:tcW w:w="1099" w:type="dxa"/>
            <w:vAlign w:val="top"/>
          </w:tcPr>
          <w:p w14:paraId="2C0C58B6">
            <w:pPr>
              <w:pStyle w:val="8"/>
              <w:rPr>
                <w:rFonts w:ascii="仿宋_GB2312" w:hAnsi="宋体" w:eastAsia="仿宋_GB2312" w:cs="宋体"/>
                <w:kern w:val="0"/>
              </w:rPr>
            </w:pPr>
          </w:p>
        </w:tc>
        <w:tc>
          <w:tcPr>
            <w:tcW w:w="1099" w:type="dxa"/>
            <w:vAlign w:val="top"/>
          </w:tcPr>
          <w:p w14:paraId="076658D4">
            <w:pPr>
              <w:pStyle w:val="8"/>
              <w:rPr>
                <w:rFonts w:ascii="仿宋_GB2312" w:hAnsi="宋体" w:eastAsia="仿宋_GB2312" w:cs="宋体"/>
                <w:kern w:val="0"/>
              </w:rPr>
            </w:pPr>
          </w:p>
        </w:tc>
        <w:tc>
          <w:tcPr>
            <w:tcW w:w="809" w:type="dxa"/>
            <w:vAlign w:val="top"/>
          </w:tcPr>
          <w:p w14:paraId="3D83AE10">
            <w:pPr>
              <w:pStyle w:val="8"/>
              <w:rPr>
                <w:rFonts w:ascii="仿宋_GB2312" w:hAnsi="宋体" w:eastAsia="仿宋_GB2312" w:cs="宋体"/>
                <w:kern w:val="0"/>
              </w:rPr>
            </w:pPr>
          </w:p>
        </w:tc>
        <w:tc>
          <w:tcPr>
            <w:tcW w:w="849" w:type="dxa"/>
            <w:vAlign w:val="top"/>
          </w:tcPr>
          <w:p w14:paraId="6B84A567">
            <w:pPr>
              <w:pStyle w:val="8"/>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top"/>
          </w:tcPr>
          <w:p w14:paraId="73C8CEBA">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促进社会发展</w:t>
            </w:r>
          </w:p>
        </w:tc>
        <w:tc>
          <w:tcPr>
            <w:tcW w:w="1099" w:type="dxa"/>
            <w:vAlign w:val="top"/>
          </w:tcPr>
          <w:p w14:paraId="01875392">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95</w:t>
            </w:r>
          </w:p>
        </w:tc>
        <w:tc>
          <w:tcPr>
            <w:tcW w:w="1099" w:type="dxa"/>
            <w:vAlign w:val="top"/>
          </w:tcPr>
          <w:p w14:paraId="4101F8DE">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促进社会发展</w:t>
            </w:r>
          </w:p>
        </w:tc>
        <w:tc>
          <w:tcPr>
            <w:tcW w:w="809" w:type="dxa"/>
            <w:vAlign w:val="top"/>
          </w:tcPr>
          <w:p w14:paraId="699C14AF">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14:paraId="0665EFF4">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top"/>
          </w:tcPr>
          <w:p w14:paraId="75BCFFEC">
            <w:pPr>
              <w:pStyle w:val="8"/>
              <w:rPr>
                <w:rFonts w:ascii="仿宋_GB2312" w:hAnsi="宋体" w:eastAsia="仿宋_GB2312" w:cs="宋体"/>
                <w:kern w:val="0"/>
              </w:rPr>
            </w:pPr>
          </w:p>
        </w:tc>
        <w:tc>
          <w:tcPr>
            <w:tcW w:w="1099" w:type="dxa"/>
            <w:vAlign w:val="top"/>
          </w:tcPr>
          <w:p w14:paraId="77BC489E">
            <w:pPr>
              <w:pStyle w:val="8"/>
              <w:rPr>
                <w:rFonts w:ascii="仿宋_GB2312" w:hAnsi="宋体" w:eastAsia="仿宋_GB2312" w:cs="宋体"/>
                <w:kern w:val="0"/>
              </w:rPr>
            </w:pPr>
          </w:p>
        </w:tc>
        <w:tc>
          <w:tcPr>
            <w:tcW w:w="1099" w:type="dxa"/>
            <w:vAlign w:val="top"/>
          </w:tcPr>
          <w:p w14:paraId="7115F4A5">
            <w:pPr>
              <w:pStyle w:val="8"/>
              <w:rPr>
                <w:rFonts w:ascii="仿宋_GB2312" w:hAnsi="宋体" w:eastAsia="仿宋_GB2312" w:cs="宋体"/>
                <w:kern w:val="0"/>
              </w:rPr>
            </w:pPr>
          </w:p>
        </w:tc>
        <w:tc>
          <w:tcPr>
            <w:tcW w:w="809" w:type="dxa"/>
            <w:vAlign w:val="top"/>
          </w:tcPr>
          <w:p w14:paraId="063BB88A">
            <w:pPr>
              <w:pStyle w:val="8"/>
              <w:rPr>
                <w:rFonts w:ascii="仿宋_GB2312" w:hAnsi="宋体" w:eastAsia="仿宋_GB2312" w:cs="宋体"/>
                <w:kern w:val="0"/>
              </w:rPr>
            </w:pPr>
          </w:p>
        </w:tc>
        <w:tc>
          <w:tcPr>
            <w:tcW w:w="849" w:type="dxa"/>
            <w:vAlign w:val="top"/>
          </w:tcPr>
          <w:p w14:paraId="24930744">
            <w:pPr>
              <w:pStyle w:val="8"/>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top"/>
          </w:tcPr>
          <w:p w14:paraId="467C3540">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生态环境改变状况</w:t>
            </w:r>
          </w:p>
        </w:tc>
        <w:tc>
          <w:tcPr>
            <w:tcW w:w="1099" w:type="dxa"/>
            <w:vAlign w:val="top"/>
          </w:tcPr>
          <w:p w14:paraId="286C2197">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有所改善</w:t>
            </w:r>
          </w:p>
        </w:tc>
        <w:tc>
          <w:tcPr>
            <w:tcW w:w="1099" w:type="dxa"/>
            <w:vAlign w:val="top"/>
          </w:tcPr>
          <w:p w14:paraId="4CA75DEB">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生态环境有所改善</w:t>
            </w:r>
          </w:p>
        </w:tc>
        <w:tc>
          <w:tcPr>
            <w:tcW w:w="809" w:type="dxa"/>
            <w:vAlign w:val="top"/>
          </w:tcPr>
          <w:p w14:paraId="491BA994">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849" w:type="dxa"/>
            <w:vAlign w:val="top"/>
          </w:tcPr>
          <w:p w14:paraId="1BF7EB9C">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top"/>
          </w:tcPr>
          <w:p w14:paraId="03E0B683">
            <w:pPr>
              <w:pStyle w:val="8"/>
              <w:rPr>
                <w:rFonts w:ascii="仿宋_GB2312" w:hAnsi="宋体" w:eastAsia="仿宋_GB2312" w:cs="宋体"/>
                <w:kern w:val="0"/>
              </w:rPr>
            </w:pPr>
          </w:p>
        </w:tc>
        <w:tc>
          <w:tcPr>
            <w:tcW w:w="1099" w:type="dxa"/>
            <w:vAlign w:val="top"/>
          </w:tcPr>
          <w:p w14:paraId="284DAE29">
            <w:pPr>
              <w:pStyle w:val="8"/>
              <w:rPr>
                <w:rFonts w:ascii="仿宋_GB2312" w:hAnsi="宋体" w:eastAsia="仿宋_GB2312" w:cs="宋体"/>
                <w:kern w:val="0"/>
              </w:rPr>
            </w:pPr>
          </w:p>
        </w:tc>
        <w:tc>
          <w:tcPr>
            <w:tcW w:w="1099" w:type="dxa"/>
            <w:vAlign w:val="top"/>
          </w:tcPr>
          <w:p w14:paraId="3E80B33A">
            <w:pPr>
              <w:pStyle w:val="8"/>
              <w:rPr>
                <w:rFonts w:ascii="仿宋_GB2312" w:hAnsi="宋体" w:eastAsia="仿宋_GB2312" w:cs="宋体"/>
                <w:kern w:val="0"/>
              </w:rPr>
            </w:pPr>
          </w:p>
        </w:tc>
        <w:tc>
          <w:tcPr>
            <w:tcW w:w="809" w:type="dxa"/>
            <w:vAlign w:val="top"/>
          </w:tcPr>
          <w:p w14:paraId="5B45A609">
            <w:pPr>
              <w:pStyle w:val="8"/>
              <w:rPr>
                <w:rFonts w:ascii="仿宋_GB2312" w:hAnsi="宋体" w:eastAsia="仿宋_GB2312" w:cs="宋体"/>
                <w:kern w:val="0"/>
              </w:rPr>
            </w:pPr>
          </w:p>
        </w:tc>
        <w:tc>
          <w:tcPr>
            <w:tcW w:w="849" w:type="dxa"/>
            <w:vAlign w:val="top"/>
          </w:tcPr>
          <w:p w14:paraId="5506B9DE">
            <w:pPr>
              <w:pStyle w:val="8"/>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top"/>
          </w:tcPr>
          <w:p w14:paraId="1BFEC1E9">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促进生态可持续发展，促进经济可持续发展</w:t>
            </w:r>
          </w:p>
        </w:tc>
        <w:tc>
          <w:tcPr>
            <w:tcW w:w="1099" w:type="dxa"/>
            <w:vAlign w:val="top"/>
          </w:tcPr>
          <w:p w14:paraId="48F3A1C5">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持续</w:t>
            </w:r>
          </w:p>
        </w:tc>
        <w:tc>
          <w:tcPr>
            <w:tcW w:w="1099" w:type="dxa"/>
            <w:vAlign w:val="top"/>
          </w:tcPr>
          <w:p w14:paraId="596F13DA">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促进生态可持续发展，促进经济可持续发展</w:t>
            </w:r>
          </w:p>
        </w:tc>
        <w:tc>
          <w:tcPr>
            <w:tcW w:w="809" w:type="dxa"/>
            <w:vAlign w:val="top"/>
          </w:tcPr>
          <w:p w14:paraId="49A57C7B">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849" w:type="dxa"/>
            <w:vAlign w:val="top"/>
          </w:tcPr>
          <w:p w14:paraId="044D5C88">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top"/>
          </w:tcPr>
          <w:p w14:paraId="1072249E">
            <w:pPr>
              <w:pStyle w:val="8"/>
              <w:rPr>
                <w:rFonts w:ascii="仿宋_GB2312" w:hAnsi="宋体" w:eastAsia="仿宋_GB2312" w:cs="宋体"/>
                <w:kern w:val="0"/>
              </w:rPr>
            </w:pPr>
          </w:p>
        </w:tc>
        <w:tc>
          <w:tcPr>
            <w:tcW w:w="1099" w:type="dxa"/>
            <w:vAlign w:val="top"/>
          </w:tcPr>
          <w:p w14:paraId="6FDEFD75">
            <w:pPr>
              <w:pStyle w:val="8"/>
              <w:rPr>
                <w:rFonts w:ascii="仿宋_GB2312" w:hAnsi="宋体" w:eastAsia="仿宋_GB2312" w:cs="宋体"/>
                <w:kern w:val="0"/>
              </w:rPr>
            </w:pPr>
          </w:p>
        </w:tc>
        <w:tc>
          <w:tcPr>
            <w:tcW w:w="1099" w:type="dxa"/>
            <w:vAlign w:val="top"/>
          </w:tcPr>
          <w:p w14:paraId="080101B6">
            <w:pPr>
              <w:pStyle w:val="8"/>
              <w:rPr>
                <w:rFonts w:ascii="仿宋_GB2312" w:hAnsi="宋体" w:eastAsia="仿宋_GB2312" w:cs="宋体"/>
                <w:kern w:val="0"/>
              </w:rPr>
            </w:pPr>
          </w:p>
        </w:tc>
        <w:tc>
          <w:tcPr>
            <w:tcW w:w="809" w:type="dxa"/>
            <w:vAlign w:val="top"/>
          </w:tcPr>
          <w:p w14:paraId="08424C68">
            <w:pPr>
              <w:pStyle w:val="8"/>
              <w:rPr>
                <w:rFonts w:ascii="仿宋_GB2312" w:hAnsi="宋体" w:eastAsia="仿宋_GB2312" w:cs="宋体"/>
                <w:kern w:val="0"/>
              </w:rPr>
            </w:pPr>
          </w:p>
        </w:tc>
        <w:tc>
          <w:tcPr>
            <w:tcW w:w="849" w:type="dxa"/>
            <w:vAlign w:val="top"/>
          </w:tcPr>
          <w:p w14:paraId="20F78EF3">
            <w:pPr>
              <w:pStyle w:val="8"/>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top"/>
          </w:tcPr>
          <w:p w14:paraId="4471F21F">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受益对象满意度</w:t>
            </w:r>
          </w:p>
        </w:tc>
        <w:tc>
          <w:tcPr>
            <w:tcW w:w="1099" w:type="dxa"/>
            <w:vAlign w:val="top"/>
          </w:tcPr>
          <w:p w14:paraId="10DB725A">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&gt;=95</w:t>
            </w:r>
          </w:p>
        </w:tc>
        <w:tc>
          <w:tcPr>
            <w:tcW w:w="1099" w:type="dxa"/>
            <w:vAlign w:val="top"/>
          </w:tcPr>
          <w:p w14:paraId="65FCC670">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受益对象满意</w:t>
            </w:r>
          </w:p>
        </w:tc>
        <w:tc>
          <w:tcPr>
            <w:tcW w:w="809" w:type="dxa"/>
            <w:vAlign w:val="top"/>
          </w:tcPr>
          <w:p w14:paraId="29FD5B5F">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14:paraId="57CE9A58">
            <w:pPr>
              <w:pStyle w:val="8"/>
              <w:rPr>
                <w:rFonts w:ascii="仿宋_GB2312" w:hAnsi="宋体" w:eastAsia="仿宋_GB2312" w:cs="宋体"/>
                <w:kern w:val="0"/>
              </w:rPr>
            </w:pPr>
            <w:r>
              <w:rPr>
                <w:rFonts w:hint="eastAsia" w:cs="Arial"/>
                <w:snapToGrid w:val="0"/>
                <w:color w:val="000000"/>
                <w:kern w:val="0"/>
                <w:sz w:val="21"/>
                <w:szCs w:val="21"/>
                <w:lang w:val="en-US" w:eastAsia="zh-CN" w:bidi="ar-SA"/>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firstLineChars="0"/>
              <w:jc w:val="center"/>
              <w:rPr>
                <w:rFonts w:ascii="仿宋_GB2312" w:hAnsi="宋体" w:eastAsia="仿宋_GB2312" w:cs="宋体"/>
                <w:kern w:val="0"/>
              </w:rPr>
            </w:pPr>
          </w:p>
        </w:tc>
        <w:tc>
          <w:tcPr>
            <w:tcW w:w="1099" w:type="dxa"/>
            <w:vAlign w:val="center"/>
          </w:tcPr>
          <w:p w14:paraId="1AF12BF9">
            <w:pPr>
              <w:spacing w:line="240" w:lineRule="auto"/>
              <w:ind w:firstLine="420" w:firstLineChars="0"/>
              <w:jc w:val="center"/>
              <w:rPr>
                <w:rFonts w:ascii="仿宋_GB2312" w:hAnsi="宋体" w:eastAsia="仿宋_GB2312" w:cs="宋体"/>
                <w:kern w:val="0"/>
              </w:rPr>
            </w:pPr>
          </w:p>
        </w:tc>
        <w:tc>
          <w:tcPr>
            <w:tcW w:w="1099" w:type="dxa"/>
            <w:vAlign w:val="center"/>
          </w:tcPr>
          <w:p w14:paraId="17728D02">
            <w:pPr>
              <w:spacing w:line="240" w:lineRule="auto"/>
              <w:ind w:firstLine="420" w:firstLineChars="0"/>
              <w:jc w:val="center"/>
              <w:rPr>
                <w:rFonts w:ascii="仿宋_GB2312" w:hAnsi="宋体" w:eastAsia="仿宋_GB2312" w:cs="宋体"/>
                <w:kern w:val="0"/>
              </w:rPr>
            </w:pPr>
          </w:p>
        </w:tc>
        <w:tc>
          <w:tcPr>
            <w:tcW w:w="809" w:type="dxa"/>
            <w:vAlign w:val="center"/>
          </w:tcPr>
          <w:p w14:paraId="444A0622">
            <w:pPr>
              <w:spacing w:line="240" w:lineRule="auto"/>
              <w:ind w:firstLine="420" w:firstLineChars="0"/>
              <w:jc w:val="center"/>
              <w:rPr>
                <w:rFonts w:ascii="仿宋_GB2312" w:hAnsi="宋体" w:eastAsia="仿宋_GB2312" w:cs="宋体"/>
                <w:kern w:val="0"/>
              </w:rPr>
            </w:pPr>
          </w:p>
        </w:tc>
        <w:tc>
          <w:tcPr>
            <w:tcW w:w="849" w:type="dxa"/>
            <w:vAlign w:val="center"/>
          </w:tcPr>
          <w:p w14:paraId="371E2947">
            <w:pPr>
              <w:spacing w:line="240" w:lineRule="auto"/>
              <w:ind w:firstLine="420" w:firstLineChars="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firstLineChars="0"/>
              <w:jc w:val="center"/>
              <w:rPr>
                <w:rFonts w:ascii="仿宋_GB2312" w:hAnsi="宋体" w:eastAsia="仿宋_GB2312" w:cs="宋体"/>
                <w:kern w:val="0"/>
              </w:rPr>
            </w:pPr>
          </w:p>
        </w:tc>
        <w:tc>
          <w:tcPr>
            <w:tcW w:w="1099" w:type="dxa"/>
            <w:vAlign w:val="center"/>
          </w:tcPr>
          <w:p w14:paraId="5E84FB58">
            <w:pPr>
              <w:spacing w:line="240" w:lineRule="auto"/>
              <w:ind w:firstLine="420" w:firstLineChars="0"/>
              <w:jc w:val="center"/>
              <w:rPr>
                <w:rFonts w:ascii="仿宋_GB2312" w:hAnsi="宋体" w:eastAsia="仿宋_GB2312" w:cs="宋体"/>
                <w:kern w:val="0"/>
              </w:rPr>
            </w:pPr>
          </w:p>
        </w:tc>
        <w:tc>
          <w:tcPr>
            <w:tcW w:w="1099" w:type="dxa"/>
            <w:vAlign w:val="center"/>
          </w:tcPr>
          <w:p w14:paraId="27CE5650">
            <w:pPr>
              <w:spacing w:line="240" w:lineRule="auto"/>
              <w:ind w:firstLine="420" w:firstLineChars="0"/>
              <w:jc w:val="center"/>
              <w:rPr>
                <w:rFonts w:ascii="仿宋_GB2312" w:hAnsi="宋体" w:eastAsia="仿宋_GB2312" w:cs="宋体"/>
                <w:kern w:val="0"/>
              </w:rPr>
            </w:pPr>
          </w:p>
        </w:tc>
        <w:tc>
          <w:tcPr>
            <w:tcW w:w="809" w:type="dxa"/>
            <w:vAlign w:val="center"/>
          </w:tcPr>
          <w:p w14:paraId="78CED8C4">
            <w:pPr>
              <w:spacing w:line="240" w:lineRule="auto"/>
              <w:ind w:firstLine="420" w:firstLineChars="0"/>
              <w:jc w:val="center"/>
              <w:rPr>
                <w:rFonts w:ascii="仿宋_GB2312" w:hAnsi="宋体" w:eastAsia="仿宋_GB2312" w:cs="宋体"/>
                <w:kern w:val="0"/>
              </w:rPr>
            </w:pPr>
          </w:p>
        </w:tc>
        <w:tc>
          <w:tcPr>
            <w:tcW w:w="849" w:type="dxa"/>
            <w:vAlign w:val="center"/>
          </w:tcPr>
          <w:p w14:paraId="7ED607E5">
            <w:pPr>
              <w:spacing w:line="240" w:lineRule="auto"/>
              <w:ind w:firstLine="420" w:firstLineChars="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top"/>
          </w:tcPr>
          <w:p w14:paraId="2D050142">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经济成本指标</w:t>
            </w:r>
          </w:p>
        </w:tc>
        <w:tc>
          <w:tcPr>
            <w:tcW w:w="1099" w:type="dxa"/>
            <w:vAlign w:val="top"/>
          </w:tcPr>
          <w:p w14:paraId="7D8FEFD1">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预算批复金额</w:t>
            </w:r>
            <w:r>
              <w:rPr>
                <w:rFonts w:hint="eastAsia" w:ascii="Arial" w:hAnsi="Arial" w:eastAsia="Arial" w:cs="Arial"/>
                <w:snapToGrid w:val="0"/>
                <w:color w:val="000000"/>
                <w:kern w:val="0"/>
                <w:sz w:val="21"/>
                <w:szCs w:val="21"/>
                <w:lang w:val="en-US" w:eastAsia="zh-CN" w:bidi="ar-SA"/>
              </w:rPr>
              <w:t>50000</w:t>
            </w:r>
          </w:p>
        </w:tc>
        <w:tc>
          <w:tcPr>
            <w:tcW w:w="1099" w:type="dxa"/>
            <w:vAlign w:val="top"/>
          </w:tcPr>
          <w:p w14:paraId="729BFD57">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超过了预算批复金额</w:t>
            </w:r>
          </w:p>
        </w:tc>
        <w:tc>
          <w:tcPr>
            <w:tcW w:w="809" w:type="dxa"/>
            <w:vAlign w:val="top"/>
          </w:tcPr>
          <w:p w14:paraId="43443E17">
            <w:pPr>
              <w:pStyle w:val="8"/>
              <w:rPr>
                <w:rFonts w:ascii="仿宋_GB2312" w:hAnsi="宋体" w:eastAsia="仿宋_GB2312" w:cs="宋体"/>
                <w:kern w:val="0"/>
              </w:rPr>
            </w:pPr>
            <w:r>
              <w:rPr>
                <w:rFonts w:hint="eastAsia" w:cs="Arial"/>
                <w:snapToGrid w:val="0"/>
                <w:color w:val="000000"/>
                <w:kern w:val="0"/>
                <w:sz w:val="21"/>
                <w:szCs w:val="21"/>
                <w:lang w:val="en-US" w:eastAsia="zh-CN" w:bidi="ar-SA"/>
              </w:rPr>
              <w:t>10</w:t>
            </w:r>
          </w:p>
        </w:tc>
        <w:tc>
          <w:tcPr>
            <w:tcW w:w="849" w:type="dxa"/>
            <w:vAlign w:val="top"/>
          </w:tcPr>
          <w:p w14:paraId="1005FDF9">
            <w:pPr>
              <w:pStyle w:val="8"/>
              <w:rPr>
                <w:rFonts w:ascii="仿宋_GB2312" w:hAnsi="宋体" w:eastAsia="仿宋_GB2312" w:cs="宋体"/>
                <w:kern w:val="0"/>
              </w:rPr>
            </w:pPr>
            <w:r>
              <w:rPr>
                <w:rFonts w:hint="eastAsia" w:ascii="仿宋_GB2312" w:hAnsi="宋体" w:eastAsia="仿宋_GB2312" w:cs="宋体"/>
                <w:kern w:val="0"/>
                <w:lang w:val="en-US" w:eastAsia="zh-CN"/>
              </w:rPr>
              <w:t>8</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top"/>
          </w:tcPr>
          <w:p w14:paraId="61DC1F69">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社会成本指标</w:t>
            </w:r>
          </w:p>
        </w:tc>
        <w:tc>
          <w:tcPr>
            <w:tcW w:w="1099" w:type="dxa"/>
            <w:vAlign w:val="top"/>
          </w:tcPr>
          <w:p w14:paraId="515A6775">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对社会发展可能造成的负面影响</w:t>
            </w:r>
          </w:p>
        </w:tc>
        <w:tc>
          <w:tcPr>
            <w:tcW w:w="1099" w:type="dxa"/>
            <w:vAlign w:val="top"/>
          </w:tcPr>
          <w:p w14:paraId="79BCBEC4">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无负面影响</w:t>
            </w:r>
          </w:p>
        </w:tc>
        <w:tc>
          <w:tcPr>
            <w:tcW w:w="809" w:type="dxa"/>
            <w:vAlign w:val="top"/>
          </w:tcPr>
          <w:p w14:paraId="7CB491CD">
            <w:pPr>
              <w:pStyle w:val="8"/>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top"/>
          </w:tcPr>
          <w:p w14:paraId="7D797644">
            <w:pPr>
              <w:pStyle w:val="8"/>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firstLineChars="0"/>
              <w:jc w:val="center"/>
              <w:rPr>
                <w:rFonts w:ascii="仿宋_GB2312" w:hAnsi="宋体" w:eastAsia="仿宋_GB2312" w:cs="宋体"/>
                <w:kern w:val="0"/>
              </w:rPr>
            </w:pPr>
          </w:p>
        </w:tc>
        <w:tc>
          <w:tcPr>
            <w:tcW w:w="1099" w:type="dxa"/>
            <w:vAlign w:val="center"/>
          </w:tcPr>
          <w:p w14:paraId="52AC4F9E">
            <w:pPr>
              <w:spacing w:line="240" w:lineRule="auto"/>
              <w:ind w:firstLine="420" w:firstLineChars="0"/>
              <w:jc w:val="center"/>
              <w:rPr>
                <w:rFonts w:ascii="仿宋_GB2312" w:hAnsi="宋体" w:eastAsia="仿宋_GB2312" w:cs="宋体"/>
                <w:kern w:val="0"/>
              </w:rPr>
            </w:pPr>
          </w:p>
        </w:tc>
        <w:tc>
          <w:tcPr>
            <w:tcW w:w="1099" w:type="dxa"/>
            <w:vAlign w:val="center"/>
          </w:tcPr>
          <w:p w14:paraId="0867BB9D">
            <w:pPr>
              <w:spacing w:line="240" w:lineRule="auto"/>
              <w:ind w:firstLine="420" w:firstLineChars="0"/>
              <w:jc w:val="center"/>
              <w:rPr>
                <w:rFonts w:ascii="仿宋_GB2312" w:hAnsi="宋体" w:eastAsia="仿宋_GB2312" w:cs="宋体"/>
                <w:kern w:val="0"/>
              </w:rPr>
            </w:pPr>
          </w:p>
        </w:tc>
        <w:tc>
          <w:tcPr>
            <w:tcW w:w="809" w:type="dxa"/>
            <w:vAlign w:val="center"/>
          </w:tcPr>
          <w:p w14:paraId="640DCB80">
            <w:pPr>
              <w:spacing w:line="240" w:lineRule="auto"/>
              <w:ind w:firstLine="420" w:firstLineChars="0"/>
              <w:jc w:val="center"/>
              <w:rPr>
                <w:rFonts w:ascii="仿宋_GB2312" w:hAnsi="宋体" w:eastAsia="仿宋_GB2312" w:cs="宋体"/>
                <w:kern w:val="0"/>
              </w:rPr>
            </w:pPr>
          </w:p>
        </w:tc>
        <w:tc>
          <w:tcPr>
            <w:tcW w:w="849" w:type="dxa"/>
            <w:vAlign w:val="center"/>
          </w:tcPr>
          <w:p w14:paraId="03C9828A">
            <w:pPr>
              <w:spacing w:line="240" w:lineRule="auto"/>
              <w:ind w:firstLine="420" w:firstLineChars="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D9CBC72">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王庭玮</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2024.10.14</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13786007223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血吸虫病地方病防治服务中心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血防服务中心</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FC91C12">
      <w:pPr>
        <w:numPr>
          <w:ilvl w:val="0"/>
          <w:numId w:val="0"/>
        </w:numPr>
        <w:kinsoku w:val="0"/>
        <w:autoSpaceDE w:val="0"/>
        <w:autoSpaceDN w:val="0"/>
        <w:adjustRightInd w:val="0"/>
        <w:snapToGrid w:val="0"/>
        <w:spacing w:before="211" w:line="224" w:lineRule="auto"/>
        <w:jc w:val="both"/>
        <w:textAlignment w:val="baseline"/>
        <w:rPr>
          <w:rFonts w:hint="default"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eastAsia="仿宋_GB2312"/>
          <w:kern w:val="0"/>
          <w:sz w:val="32"/>
          <w:szCs w:val="32"/>
          <w:lang w:val="en-US" w:eastAsia="zh-CN"/>
        </w:rPr>
        <w:t>汨罗市血吸虫病地方病防治服务中心基本情况：血防服务中心现有在职人员22</w:t>
      </w:r>
      <w:r>
        <w:rPr>
          <w:rFonts w:hint="eastAsia" w:eastAsia="仿宋_GB2312"/>
          <w:kern w:val="0"/>
          <w:sz w:val="32"/>
          <w:szCs w:val="32"/>
          <w:lang w:val="en-US" w:eastAsia="zh-CN"/>
        </w:rPr>
        <w:t>人；办机关设办公室、业务股、人事股、财计股、宣教股、综治股等股室；血防服务中心主要职能是指导全市血吸虫病防治工作、制定血吸虫病防治工作方案；重点工作计划是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r>
        <w:rPr>
          <w:rFonts w:hint="eastAsia" w:ascii="方正黑体_GBK" w:hAnsi="仿宋" w:eastAsia="方正黑体_GBK" w:cs="仿宋"/>
          <w:snapToGrid w:val="0"/>
          <w:color w:val="000000"/>
          <w:sz w:val="32"/>
          <w:szCs w:val="32"/>
          <w:lang w:val="en-US" w:eastAsia="zh-CN" w:bidi="ar-SA"/>
        </w:rPr>
        <w:t xml:space="preserve"> </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470C6BC6">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eastAsia="仿宋_GB2312"/>
          <w:kern w:val="0"/>
          <w:sz w:val="32"/>
          <w:szCs w:val="32"/>
          <w:lang w:eastAsia="zh-CN"/>
        </w:rPr>
        <w:t>单位基本支出主要是人员支出及公用支出。人员支出全部按照上级文件规定的应发数额支出，无任何违规发放人员补贴情况；公用支出主要是用于办公开支、公务接待、公务用车等，在公务接待中严格按照政府文件规定，餐饮费不超标，不违规发烟、饮酒，不违规公费旅游，不违规私用公车；办公室纪检负责人负责对各项公务开支进行严格监督。</w:t>
      </w:r>
    </w:p>
    <w:p w14:paraId="499D5435">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1812CBC4">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eastAsia="仿宋_GB2312"/>
          <w:kern w:val="0"/>
          <w:sz w:val="32"/>
          <w:szCs w:val="32"/>
          <w:lang w:val="en-US" w:eastAsia="zh-CN"/>
        </w:rPr>
        <w:t>本单位专项资金主要有血吸虫病疫区居民查灭螺等防治项目，全年项目资金总支出为5万元，项目资金全部用于血吸虫病疫区居民查灭螺防治项目。</w:t>
      </w:r>
    </w:p>
    <w:p w14:paraId="516D3C52">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7B20DC51">
      <w:pPr>
        <w:numPr>
          <w:ilvl w:val="0"/>
          <w:numId w:val="0"/>
        </w:numPr>
        <w:spacing w:line="600" w:lineRule="exact"/>
        <w:ind w:left="640" w:leftChars="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snapToGrid w:val="0"/>
          <w:color w:val="000000"/>
          <w:spacing w:val="5"/>
          <w:kern w:val="0"/>
          <w:sz w:val="32"/>
          <w:szCs w:val="32"/>
          <w:lang w:val="en-US" w:eastAsia="zh-CN" w:bidi="ar-SA"/>
        </w:rPr>
        <w:t>本单位无政府性基金预算支出</w:t>
      </w:r>
      <w:r>
        <w:rPr>
          <w:rFonts w:hint="eastAsia" w:ascii="方正黑体_GBK" w:eastAsia="方正黑体_GBK"/>
          <w:kern w:val="0"/>
          <w:sz w:val="32"/>
          <w:szCs w:val="32"/>
          <w:lang w:val="en-US" w:eastAsia="zh-CN"/>
        </w:rPr>
        <w:t xml:space="preserve">  </w:t>
      </w:r>
    </w:p>
    <w:p w14:paraId="2A755169">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4188CE74">
      <w:pPr>
        <w:numPr>
          <w:ilvl w:val="0"/>
          <w:numId w:val="0"/>
        </w:numPr>
        <w:spacing w:line="600" w:lineRule="exact"/>
        <w:ind w:left="640" w:leftChars="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snapToGrid w:val="0"/>
          <w:color w:val="000000"/>
          <w:spacing w:val="5"/>
          <w:kern w:val="0"/>
          <w:sz w:val="32"/>
          <w:szCs w:val="32"/>
          <w:lang w:val="en-US" w:eastAsia="zh-CN" w:bidi="ar-SA"/>
        </w:rPr>
        <w:t>本单位无国有资本经营预算支出</w:t>
      </w:r>
    </w:p>
    <w:p w14:paraId="07F1EBC0">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3C28B6CF">
      <w:pPr>
        <w:numPr>
          <w:ilvl w:val="0"/>
          <w:numId w:val="0"/>
        </w:numPr>
        <w:spacing w:line="600" w:lineRule="exact"/>
        <w:ind w:left="640" w:leftChars="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snapToGrid w:val="0"/>
          <w:color w:val="000000"/>
          <w:spacing w:val="5"/>
          <w:kern w:val="0"/>
          <w:sz w:val="32"/>
          <w:szCs w:val="32"/>
          <w:lang w:val="en-US" w:eastAsia="zh-CN" w:bidi="ar-SA"/>
        </w:rPr>
        <w:t>本单位无社会保险基金预算支出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D1BE3E0">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取得一定的社会效益和生态效益。社会效益就是通过查、灭螺防治、宣传教育，保护了疫区人民的身体健康；生态效益就是通过降低人畜血吸虫病感染率，确保全市血吸虫病疫情达到血吸虫病传播控制标准。</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49DA9">
      <w:pPr>
        <w:spacing w:line="600" w:lineRule="exact"/>
        <w:ind w:firstLine="640" w:firstLineChars="200"/>
        <w:jc w:val="both"/>
        <w:rPr>
          <w:rFonts w:eastAsia="仿宋_GB2312"/>
          <w:kern w:val="0"/>
          <w:sz w:val="32"/>
          <w:szCs w:val="32"/>
          <w:lang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w:t>
      </w:r>
      <w:r>
        <w:rPr>
          <w:rFonts w:hint="eastAsia" w:eastAsia="仿宋_GB2312"/>
          <w:kern w:val="0"/>
          <w:sz w:val="32"/>
          <w:szCs w:val="32"/>
          <w:lang w:eastAsia="zh-CN"/>
        </w:rPr>
        <w:t>传染源途径复杂，因此血吸虫病传播途径得不到充足控制。</w:t>
      </w:r>
    </w:p>
    <w:p w14:paraId="21E6073D">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5AE40DA9">
      <w:pPr>
        <w:spacing w:before="228" w:line="222" w:lineRule="auto"/>
        <w:ind w:left="560"/>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分组进行传染源途径管理，对不同的传染源分别用不同有效的控制手段，切断传播源。</w:t>
      </w:r>
    </w:p>
    <w:p w14:paraId="37ACA1CA">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4EE418F7">
      <w:pPr>
        <w:numPr>
          <w:ilvl w:val="0"/>
          <w:numId w:val="0"/>
        </w:numPr>
        <w:spacing w:line="600" w:lineRule="exact"/>
        <w:ind w:left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我们及时公开《部门整体绩效目标自评表》和《部门整体绩效目标自评报告》，接受公众监督</w:t>
      </w:r>
      <w:r>
        <w:rPr>
          <w:rFonts w:hint="eastAsia" w:ascii="方正黑体_GBK" w:eastAsia="方正黑体_GBK"/>
          <w:kern w:val="0"/>
          <w:sz w:val="32"/>
          <w:szCs w:val="32"/>
          <w:lang w:val="en-US" w:eastAsia="zh-CN"/>
        </w:rPr>
        <w:t xml:space="preserve"> </w:t>
      </w:r>
    </w:p>
    <w:p w14:paraId="03E13B94">
      <w:pPr>
        <w:numPr>
          <w:ilvl w:val="0"/>
          <w:numId w:val="3"/>
        </w:numPr>
        <w:spacing w:line="600" w:lineRule="exact"/>
        <w:ind w:left="0" w:leftChars="0" w:firstLine="640" w:firstLineChars="200"/>
        <w:jc w:val="both"/>
        <w:rPr>
          <w:rFonts w:hint="eastAsia" w:eastAsia="黑体"/>
          <w:kern w:val="0"/>
          <w:sz w:val="32"/>
          <w:szCs w:val="32"/>
          <w:lang w:eastAsia="zh-CN"/>
        </w:rPr>
      </w:pPr>
      <w:r>
        <w:rPr>
          <w:rFonts w:hint="eastAsia" w:eastAsia="黑体"/>
          <w:kern w:val="0"/>
          <w:sz w:val="32"/>
          <w:szCs w:val="32"/>
          <w:lang w:eastAsia="zh-CN"/>
        </w:rPr>
        <w:t>其他需要说明的情况</w:t>
      </w:r>
    </w:p>
    <w:p w14:paraId="4D47B990">
      <w:pPr>
        <w:numPr>
          <w:ilvl w:val="0"/>
          <w:numId w:val="0"/>
        </w:numPr>
        <w:spacing w:line="600" w:lineRule="exact"/>
        <w:ind w:leftChars="200"/>
        <w:jc w:val="both"/>
        <w:rPr>
          <w:rFonts w:hint="default" w:eastAsia="黑体"/>
          <w:kern w:val="0"/>
          <w:sz w:val="32"/>
          <w:szCs w:val="32"/>
          <w:lang w:val="en-US" w:eastAsia="zh-CN"/>
        </w:rPr>
      </w:pPr>
      <w:r>
        <w:rPr>
          <w:rFonts w:hint="eastAsia" w:eastAsia="黑体"/>
          <w:kern w:val="0"/>
          <w:sz w:val="32"/>
          <w:szCs w:val="32"/>
          <w:lang w:val="en-US" w:eastAsia="zh-CN"/>
        </w:rPr>
        <w:t xml:space="preserve">          无</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00C07F7F">
      <w:pPr>
        <w:spacing w:line="267" w:lineRule="auto"/>
        <w:ind w:firstLine="552"/>
        <w:jc w:val="both"/>
        <w:rPr>
          <w:rFonts w:hint="eastAsia" w:ascii="宋体" w:hAnsi="宋体" w:eastAsia="宋体" w:cs="宋体"/>
          <w:bCs/>
          <w:spacing w:val="-4"/>
          <w:kern w:val="0"/>
          <w:sz w:val="28"/>
          <w:szCs w:val="28"/>
          <w:lang w:eastAsia="zh-CN"/>
        </w:rPr>
      </w:pPr>
    </w:p>
    <w:p w14:paraId="3B0E0014">
      <w:pPr>
        <w:spacing w:line="267" w:lineRule="auto"/>
        <w:ind w:firstLine="552"/>
        <w:jc w:val="both"/>
        <w:rPr>
          <w:rFonts w:hint="eastAsia" w:ascii="宋体" w:hAnsi="宋体" w:eastAsia="宋体" w:cs="宋体"/>
          <w:bCs/>
          <w:spacing w:val="-4"/>
          <w:kern w:val="0"/>
          <w:sz w:val="28"/>
          <w:szCs w:val="28"/>
          <w:lang w:eastAsia="zh-CN"/>
        </w:rPr>
      </w:pPr>
    </w:p>
    <w:p w14:paraId="51B8D19F">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宋体" w:hAnsi="宋体" w:eastAsia="宋体" w:cs="宋体"/>
          <w:position w:val="12"/>
          <w:sz w:val="41"/>
          <w:szCs w:val="41"/>
          <w:lang w:val="en-US" w:eastAsia="zh-CN"/>
        </w:rPr>
        <w:t>查、灭螺</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14</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5E6971A">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14:paraId="3371CF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黑体"/>
          <w:kern w:val="0"/>
          <w:sz w:val="32"/>
          <w:szCs w:val="32"/>
          <w:lang w:val="en-US" w:eastAsia="zh-CN"/>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Arial" w:hAnsi="Arial" w:eastAsia="仿宋_GB2312" w:cs="Arial"/>
          <w:snapToGrid w:val="0"/>
          <w:color w:val="000000"/>
          <w:kern w:val="0"/>
          <w:sz w:val="32"/>
          <w:szCs w:val="32"/>
          <w:lang w:val="en-US" w:eastAsia="zh-CN" w:bidi="ar-SA"/>
        </w:rPr>
        <w:t xml:space="preserve"> 制定血吸虫病防治工作方案；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p w14:paraId="7AEA4C29">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pacing w:val="-15"/>
          <w:sz w:val="31"/>
          <w:szCs w:val="31"/>
        </w:rPr>
        <w:t>项目资金使用管理情况。</w:t>
      </w:r>
      <w:r>
        <w:rPr>
          <w:rFonts w:hint="eastAsia" w:ascii="Arial" w:hAnsi="Arial" w:eastAsia="仿宋_GB2312" w:cs="Arial"/>
          <w:snapToGrid w:val="0"/>
          <w:color w:val="000000"/>
          <w:kern w:val="0"/>
          <w:sz w:val="32"/>
          <w:szCs w:val="32"/>
          <w:lang w:val="en-US" w:eastAsia="zh-CN" w:bidi="ar-SA"/>
        </w:rPr>
        <w:t xml:space="preserve"> </w:t>
      </w:r>
    </w:p>
    <w:p w14:paraId="3DE89F2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1280" w:firstLineChars="400"/>
        <w:textAlignment w:val="baseline"/>
        <w:rPr>
          <w:rFonts w:hint="eastAsia" w:ascii="楷体" w:hAnsi="楷体" w:eastAsia="楷体" w:cs="楷体"/>
          <w:b/>
          <w:bCs/>
          <w:spacing w:val="6"/>
          <w:position w:val="16"/>
          <w:sz w:val="31"/>
          <w:szCs w:val="31"/>
          <w:lang w:val="en-US" w:eastAsia="zh-CN"/>
        </w:rPr>
      </w:pPr>
      <w:r>
        <w:rPr>
          <w:rFonts w:hint="eastAsia" w:ascii="Arial" w:hAnsi="Arial" w:eastAsia="仿宋_GB2312" w:cs="Arial"/>
          <w:snapToGrid w:val="0"/>
          <w:color w:val="000000"/>
          <w:kern w:val="0"/>
          <w:sz w:val="32"/>
          <w:szCs w:val="32"/>
          <w:lang w:val="en-US" w:eastAsia="zh-CN" w:bidi="ar-SA"/>
        </w:rPr>
        <w:t xml:space="preserve"> 资金100%投入保护疫区人民身体健康，重点工作计划是做好查、灭螺防治、宣传教育项目经过我办项目领导小组的督查工作。完成汨罗市血吸虫病重疫区居民无害化厕所改造254座，有效的对居民粪便进行无害化处理，杀灭血吸虫卵，控制传染源，切断血吸虫病传播途径，保护疫区人民的身体健康。</w:t>
      </w:r>
      <w:r>
        <w:rPr>
          <w:rFonts w:hint="eastAsia" w:eastAsia="仿宋_GB2312" w:cs="Arial"/>
          <w:snapToGrid w:val="0"/>
          <w:color w:val="000000"/>
          <w:kern w:val="0"/>
          <w:sz w:val="32"/>
          <w:szCs w:val="32"/>
          <w:lang w:val="en-US" w:eastAsia="zh-CN" w:bidi="ar-SA"/>
        </w:rPr>
        <w:t xml:space="preserve">             </w:t>
      </w: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楷体" w:hAnsi="楷体" w:eastAsia="楷体" w:cs="楷体"/>
          <w:b/>
          <w:bCs/>
          <w:spacing w:val="6"/>
          <w:position w:val="16"/>
          <w:sz w:val="31"/>
          <w:szCs w:val="31"/>
          <w:lang w:val="en-US" w:eastAsia="zh-CN"/>
        </w:rPr>
        <w:t xml:space="preserve"> </w:t>
      </w:r>
    </w:p>
    <w:p w14:paraId="4448E7B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1280" w:firstLineChars="4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en-US" w:bidi="ar-SA"/>
        </w:rPr>
        <w:t>取得一定的社会效益和生态效益。社会效益就是通过查、灭螺防治、宣传教育，保护了疫区人民的身体健康；生态效益就是通过降低人畜血吸虫病感染率，确保全市血吸虫病疫情达到血吸虫病传播控制标准。</w:t>
      </w:r>
      <w:r>
        <w:rPr>
          <w:rFonts w:hint="eastAsia" w:ascii="楷体" w:hAnsi="楷体" w:eastAsia="楷体" w:cs="楷体"/>
          <w:b/>
          <w:bCs/>
          <w:spacing w:val="6"/>
          <w:position w:val="16"/>
          <w:sz w:val="31"/>
          <w:szCs w:val="31"/>
          <w:lang w:val="en-US" w:eastAsia="zh-CN"/>
        </w:rPr>
        <w:t xml:space="preserve">                                                           </w:t>
      </w:r>
    </w:p>
    <w:p w14:paraId="6732EB4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55773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en-US" w:bidi="ar-SA"/>
        </w:rPr>
        <w:t>不开支，对成本控制本着最低成本的原则节约开支费用，不浪费一分钱；在效益性方面本着各项工作高质高效的原则，及时的完成各项工作任务；在有效性方面如</w:t>
      </w: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en-US" w:bidi="ar-SA"/>
        </w:rPr>
        <w:t>本单位整体支出在经济性方面本着可开支可不开支的就基层业务查灭螺等工作用工开支，按照当地工价付给各专业工作队人员工资，保证了查灭螺等工作质量，有效的完成对螺情的调查及钉螺的杀灭工作，很好的保证了人民群众的身体健康。</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4B6F3D0">
      <w:pPr>
        <w:keepNext w:val="0"/>
        <w:keepLines w:val="0"/>
        <w:pageBreakBefore w:val="0"/>
        <w:widowControl/>
        <w:kinsoku w:val="0"/>
        <w:wordWrap/>
        <w:overflowPunct/>
        <w:topLinePunct w:val="0"/>
        <w:autoSpaceDE w:val="0"/>
        <w:autoSpaceDN w:val="0"/>
        <w:bidi w:val="0"/>
        <w:adjustRightInd w:val="0"/>
        <w:snapToGrid w:val="0"/>
        <w:spacing w:line="560" w:lineRule="exact"/>
        <w:ind w:firstLine="1406" w:firstLineChars="5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en-US" w:bidi="ar-SA"/>
        </w:rPr>
        <w:t>完成汨罗市血吸虫病重疫区居民无害化厕所改造254座，有效的对居民粪便进行无害化处理，杀灭血吸虫卵，控制传染源，切断血吸虫病传播途径，保护疫区人民的身体健康。取得一定的社会效益和生态效益。社会效益就是通过查、灭螺防治、宣传教育，保护了疫区人民的身体健康；生态效益就是通过降低人畜血吸虫病感染率，确保全市血吸虫病疫情达到血吸虫病传播控制标准。</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4B3612D2">
      <w:pPr>
        <w:keepNext w:val="0"/>
        <w:keepLines w:val="0"/>
        <w:pageBreakBefore w:val="0"/>
        <w:widowControl/>
        <w:kinsoku w:val="0"/>
        <w:wordWrap/>
        <w:overflowPunct/>
        <w:topLinePunct w:val="0"/>
        <w:autoSpaceDE w:val="0"/>
        <w:autoSpaceDN w:val="0"/>
        <w:bidi w:val="0"/>
        <w:adjustRightInd w:val="0"/>
        <w:snapToGrid w:val="0"/>
        <w:spacing w:line="560" w:lineRule="exact"/>
        <w:ind w:firstLine="1510" w:firstLineChars="500"/>
        <w:jc w:val="both"/>
        <w:textAlignment w:val="baseline"/>
        <w:rPr>
          <w:rFonts w:hint="eastAsia" w:eastAsia="仿宋_GB2312"/>
          <w:kern w:val="0"/>
          <w:sz w:val="32"/>
          <w:szCs w:val="32"/>
          <w:lang w:eastAsia="zh-CN"/>
        </w:rPr>
      </w:pPr>
      <w:r>
        <w:rPr>
          <w:rFonts w:hint="eastAsia"/>
          <w:spacing w:val="1"/>
          <w:sz w:val="30"/>
          <w:szCs w:val="30"/>
        </w:rPr>
        <w:t>制</w:t>
      </w:r>
      <w:r>
        <w:rPr>
          <w:rFonts w:hint="eastAsia" w:ascii="Arial" w:hAnsi="Arial" w:eastAsia="仿宋_GB2312" w:cs="Arial"/>
          <w:snapToGrid w:val="0"/>
          <w:color w:val="000000"/>
          <w:kern w:val="0"/>
          <w:sz w:val="32"/>
          <w:szCs w:val="32"/>
          <w:lang w:val="en-US" w:eastAsia="en-US" w:bidi="ar-SA"/>
        </w:rPr>
        <w:t>定血吸虫病防治工作方案；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p w14:paraId="1E93AE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（二）</w:t>
      </w:r>
      <w:r>
        <w:rPr>
          <w:rFonts w:hint="eastAsia" w:eastAsia="仿宋_GB2312"/>
          <w:kern w:val="0"/>
          <w:sz w:val="32"/>
          <w:szCs w:val="32"/>
          <w:lang w:eastAsia="zh-CN"/>
        </w:rPr>
        <w:t>项目执行过程情况</w:t>
      </w:r>
    </w:p>
    <w:p w14:paraId="533A39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w:t>
      </w:r>
      <w:r>
        <w:rPr>
          <w:rFonts w:hint="eastAsia"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en-US" w:bidi="ar-SA"/>
        </w:rPr>
        <w:t>资金100%投入保护疫区人民身体健康，重点工作计划是做好查、灭螺防治、宣传教育项目经过我办项目领导小组的督查工作</w:t>
      </w:r>
    </w:p>
    <w:p w14:paraId="2FDADA7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57494E8A">
      <w:pPr>
        <w:pStyle w:val="2"/>
        <w:numPr>
          <w:ilvl w:val="0"/>
          <w:numId w:val="0"/>
        </w:numPr>
        <w:spacing w:before="194" w:line="222" w:lineRule="auto"/>
        <w:ind w:left="619" w:leftChars="0" w:firstLine="320" w:firstLineChars="100"/>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完</w:t>
      </w:r>
      <w:r>
        <w:rPr>
          <w:rFonts w:hint="eastAsia" w:ascii="Arial" w:hAnsi="Arial" w:eastAsia="仿宋_GB2312" w:cs="Arial"/>
          <w:snapToGrid w:val="0"/>
          <w:color w:val="000000"/>
          <w:kern w:val="0"/>
          <w:sz w:val="32"/>
          <w:szCs w:val="32"/>
          <w:lang w:val="en-US" w:eastAsia="en-US" w:bidi="ar-SA"/>
        </w:rPr>
        <w:t>成汨罗市血吸虫病重疫区居民无害化厕所改造254座，有效的对居民粪便进行无害化处理，杀灭血吸虫卵，控制传染源，切断血吸虫病传播途径，保护疫区人民的身体健康。率，确保全市血吸虫病疫情达到血吸虫病传播控制标准。</w:t>
      </w:r>
    </w:p>
    <w:p w14:paraId="5852E0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p>
    <w:p w14:paraId="2025BF0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4D7CA7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取得一定的社会效益和生态效益。社会效益就是通过查、灭螺防治、宣传教育，保护了疫区人民的身体健康；生态效益就是通过降低人畜血吸虫病感染率，确保全市血吸虫病疫情达到血吸虫病传播控制标准。</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93061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280" w:firstLineChars="400"/>
        <w:jc w:val="both"/>
        <w:textAlignment w:val="baseline"/>
        <w:rPr>
          <w:rFonts w:hint="eastAsia" w:ascii="Arial" w:hAnsi="Arial" w:eastAsia="仿宋_GB2312" w:cs="Arial"/>
          <w:snapToGrid w:val="0"/>
          <w:color w:val="000000"/>
          <w:kern w:val="0"/>
          <w:sz w:val="32"/>
          <w:szCs w:val="32"/>
          <w:lang w:val="en-US" w:eastAsia="en-US" w:bidi="ar-SA"/>
        </w:rPr>
      </w:pPr>
      <w:bookmarkStart w:id="0" w:name="_GoBack"/>
      <w:bookmarkEnd w:id="0"/>
      <w:r>
        <w:rPr>
          <w:rFonts w:hint="eastAsia" w:ascii="Arial" w:hAnsi="Arial" w:eastAsia="仿宋_GB2312" w:cs="Arial"/>
          <w:snapToGrid w:val="0"/>
          <w:color w:val="000000"/>
          <w:kern w:val="0"/>
          <w:sz w:val="32"/>
          <w:szCs w:val="32"/>
          <w:lang w:val="en-US" w:eastAsia="en-US" w:bidi="ar-SA"/>
        </w:rPr>
        <w:t>染源途径复杂，因此血吸虫病传播途径得不到充足控制。分组进行传染源途径管理，对不同的传染源分别用不同有效的控制手段，切断传播源。</w:t>
      </w:r>
    </w:p>
    <w:p w14:paraId="58DE129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3734A0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无</w:t>
      </w:r>
    </w:p>
    <w:p w14:paraId="6BBCD63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451808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88A6"/>
    <w:multiLevelType w:val="singleLevel"/>
    <w:tmpl w:val="A48888A6"/>
    <w:lvl w:ilvl="0" w:tentative="0">
      <w:start w:val="1"/>
      <w:numFmt w:val="chineseCounting"/>
      <w:lvlText w:val="(%1)"/>
      <w:lvlJc w:val="left"/>
      <w:pPr>
        <w:tabs>
          <w:tab w:val="left" w:pos="312"/>
        </w:tabs>
      </w:pPr>
      <w:rPr>
        <w:rFonts w:hint="eastAsia"/>
      </w:rPr>
    </w:lvl>
  </w:abstractNum>
  <w:abstractNum w:abstractNumId="1">
    <w:nsid w:val="EE77FDEE"/>
    <w:multiLevelType w:val="singleLevel"/>
    <w:tmpl w:val="EE77FDEE"/>
    <w:lvl w:ilvl="0" w:tentative="0">
      <w:start w:val="1"/>
      <w:numFmt w:val="chineseCounting"/>
      <w:suff w:val="nothing"/>
      <w:lvlText w:val="%1、"/>
      <w:lvlJc w:val="left"/>
      <w:rPr>
        <w:rFonts w:hint="eastAsia"/>
      </w:rPr>
    </w:lvl>
  </w:abstractNum>
  <w:abstractNum w:abstractNumId="2">
    <w:nsid w:val="3B67ABC6"/>
    <w:multiLevelType w:val="singleLevel"/>
    <w:tmpl w:val="3B67ABC6"/>
    <w:lvl w:ilvl="0" w:tentative="0">
      <w:start w:val="8"/>
      <w:numFmt w:val="chineseCounting"/>
      <w:suff w:val="nothing"/>
      <w:lvlText w:val="%1、"/>
      <w:lvlJc w:val="left"/>
      <w:rPr>
        <w:rFonts w:hint="eastAsia"/>
      </w:rPr>
    </w:lvl>
  </w:abstractNum>
  <w:abstractNum w:abstractNumId="3">
    <w:nsid w:val="6E06B649"/>
    <w:multiLevelType w:val="singleLevel"/>
    <w:tmpl w:val="6E06B649"/>
    <w:lvl w:ilvl="0" w:tentative="0">
      <w:start w:val="2"/>
      <w:numFmt w:val="chineseCounting"/>
      <w:suff w:val="nothing"/>
      <w:lvlText w:val="%1、"/>
      <w:lvlJc w:val="left"/>
      <w:rPr>
        <w:rFonts w:hint="eastAsia"/>
      </w:rPr>
    </w:lvl>
  </w:abstractNum>
  <w:abstractNum w:abstractNumId="4">
    <w:nsid w:val="6EDFBEAA"/>
    <w:multiLevelType w:val="singleLevel"/>
    <w:tmpl w:val="6EDFBEAA"/>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JiOGY2OTlkZTliNDJmODRmOTZjYjYxMjI5ZTZmOGQifQ=="/>
  </w:docVars>
  <w:rsids>
    <w:rsidRoot w:val="00000000"/>
    <w:rsid w:val="00417EF4"/>
    <w:rsid w:val="005574FC"/>
    <w:rsid w:val="0097492C"/>
    <w:rsid w:val="00F036C9"/>
    <w:rsid w:val="013462F4"/>
    <w:rsid w:val="01AF3811"/>
    <w:rsid w:val="02574958"/>
    <w:rsid w:val="02B26E88"/>
    <w:rsid w:val="032F04D8"/>
    <w:rsid w:val="03795BF7"/>
    <w:rsid w:val="03E80687"/>
    <w:rsid w:val="040E27E3"/>
    <w:rsid w:val="04A647CA"/>
    <w:rsid w:val="04D95FAF"/>
    <w:rsid w:val="060A2B37"/>
    <w:rsid w:val="0676264A"/>
    <w:rsid w:val="068C3E93"/>
    <w:rsid w:val="06EE2458"/>
    <w:rsid w:val="07724E37"/>
    <w:rsid w:val="079B2514"/>
    <w:rsid w:val="083B16CD"/>
    <w:rsid w:val="086E756B"/>
    <w:rsid w:val="09173EE8"/>
    <w:rsid w:val="099948FD"/>
    <w:rsid w:val="0A6F4DD5"/>
    <w:rsid w:val="0ACF37E5"/>
    <w:rsid w:val="0B2810AF"/>
    <w:rsid w:val="0B400BC6"/>
    <w:rsid w:val="0CB35CD6"/>
    <w:rsid w:val="0D18022F"/>
    <w:rsid w:val="0D896A37"/>
    <w:rsid w:val="0D957AD2"/>
    <w:rsid w:val="0DA87805"/>
    <w:rsid w:val="0DFA5B87"/>
    <w:rsid w:val="0E5434E9"/>
    <w:rsid w:val="0E68228D"/>
    <w:rsid w:val="0EA6787F"/>
    <w:rsid w:val="0EB16245"/>
    <w:rsid w:val="0F36499C"/>
    <w:rsid w:val="1001144E"/>
    <w:rsid w:val="11301FEB"/>
    <w:rsid w:val="127C45AC"/>
    <w:rsid w:val="14060DE1"/>
    <w:rsid w:val="145A112D"/>
    <w:rsid w:val="15276E52"/>
    <w:rsid w:val="16F75359"/>
    <w:rsid w:val="18A961DF"/>
    <w:rsid w:val="19D32FBC"/>
    <w:rsid w:val="1AA475A6"/>
    <w:rsid w:val="1D230C56"/>
    <w:rsid w:val="1D547061"/>
    <w:rsid w:val="1D7A639C"/>
    <w:rsid w:val="1DC615E1"/>
    <w:rsid w:val="1E0D2131"/>
    <w:rsid w:val="1E4C5F8A"/>
    <w:rsid w:val="1E6A4395"/>
    <w:rsid w:val="1EB8717C"/>
    <w:rsid w:val="1EBC78B6"/>
    <w:rsid w:val="211B39F2"/>
    <w:rsid w:val="22A95890"/>
    <w:rsid w:val="2309269C"/>
    <w:rsid w:val="237F64BA"/>
    <w:rsid w:val="25557A3D"/>
    <w:rsid w:val="25CB1E8B"/>
    <w:rsid w:val="26EA5ED7"/>
    <w:rsid w:val="27A93B82"/>
    <w:rsid w:val="285048C9"/>
    <w:rsid w:val="28D9041B"/>
    <w:rsid w:val="2A88659C"/>
    <w:rsid w:val="2AE00186"/>
    <w:rsid w:val="2B231E21"/>
    <w:rsid w:val="2B4B02EF"/>
    <w:rsid w:val="2B5C67AA"/>
    <w:rsid w:val="2D687FBF"/>
    <w:rsid w:val="2D8E211C"/>
    <w:rsid w:val="2DA21723"/>
    <w:rsid w:val="2E3A195C"/>
    <w:rsid w:val="2FC35981"/>
    <w:rsid w:val="2FD73AA2"/>
    <w:rsid w:val="302D729E"/>
    <w:rsid w:val="305111DE"/>
    <w:rsid w:val="308216BE"/>
    <w:rsid w:val="30A43A04"/>
    <w:rsid w:val="31BB1005"/>
    <w:rsid w:val="34FE1149"/>
    <w:rsid w:val="35325A82"/>
    <w:rsid w:val="354B26A0"/>
    <w:rsid w:val="36AC3612"/>
    <w:rsid w:val="3709636F"/>
    <w:rsid w:val="393A4F06"/>
    <w:rsid w:val="39810D86"/>
    <w:rsid w:val="39C173D5"/>
    <w:rsid w:val="3A383EA3"/>
    <w:rsid w:val="3A550786"/>
    <w:rsid w:val="3B7A130F"/>
    <w:rsid w:val="3BF53366"/>
    <w:rsid w:val="3DB17760"/>
    <w:rsid w:val="3DBB413B"/>
    <w:rsid w:val="3E9055C8"/>
    <w:rsid w:val="3E9A6446"/>
    <w:rsid w:val="3F450160"/>
    <w:rsid w:val="3F762A0F"/>
    <w:rsid w:val="400242A3"/>
    <w:rsid w:val="407D392A"/>
    <w:rsid w:val="40E43BFE"/>
    <w:rsid w:val="41004C87"/>
    <w:rsid w:val="410A1661"/>
    <w:rsid w:val="41B8692B"/>
    <w:rsid w:val="440C749E"/>
    <w:rsid w:val="44B310DC"/>
    <w:rsid w:val="47CA41FA"/>
    <w:rsid w:val="482254E2"/>
    <w:rsid w:val="4823125B"/>
    <w:rsid w:val="485968EF"/>
    <w:rsid w:val="487446A9"/>
    <w:rsid w:val="494A1329"/>
    <w:rsid w:val="4A705006"/>
    <w:rsid w:val="4AC42881"/>
    <w:rsid w:val="4ACF7478"/>
    <w:rsid w:val="4CEA0599"/>
    <w:rsid w:val="4D3D691B"/>
    <w:rsid w:val="4F06242F"/>
    <w:rsid w:val="4F8B6063"/>
    <w:rsid w:val="51711289"/>
    <w:rsid w:val="519311FF"/>
    <w:rsid w:val="52181704"/>
    <w:rsid w:val="52FA3F96"/>
    <w:rsid w:val="53346A12"/>
    <w:rsid w:val="54085ED4"/>
    <w:rsid w:val="544467E1"/>
    <w:rsid w:val="5486021F"/>
    <w:rsid w:val="55850F17"/>
    <w:rsid w:val="55D911AB"/>
    <w:rsid w:val="55E93AE3"/>
    <w:rsid w:val="55FE2B11"/>
    <w:rsid w:val="57AE6D93"/>
    <w:rsid w:val="5A201A9E"/>
    <w:rsid w:val="5A292701"/>
    <w:rsid w:val="5B307ABF"/>
    <w:rsid w:val="5B4B1D4C"/>
    <w:rsid w:val="5C067DDE"/>
    <w:rsid w:val="5C5E240A"/>
    <w:rsid w:val="5EA26F25"/>
    <w:rsid w:val="5F4E6765"/>
    <w:rsid w:val="5F5E109E"/>
    <w:rsid w:val="5FB623A7"/>
    <w:rsid w:val="6039337D"/>
    <w:rsid w:val="608704D9"/>
    <w:rsid w:val="61AE1935"/>
    <w:rsid w:val="621C0D9D"/>
    <w:rsid w:val="63957059"/>
    <w:rsid w:val="64287ECD"/>
    <w:rsid w:val="6525440C"/>
    <w:rsid w:val="6530589D"/>
    <w:rsid w:val="65752C9E"/>
    <w:rsid w:val="66A3383B"/>
    <w:rsid w:val="68071BA7"/>
    <w:rsid w:val="681D761D"/>
    <w:rsid w:val="688356D2"/>
    <w:rsid w:val="68D26659"/>
    <w:rsid w:val="68F13263"/>
    <w:rsid w:val="6C4038DA"/>
    <w:rsid w:val="6D9E6B0A"/>
    <w:rsid w:val="6DD32C57"/>
    <w:rsid w:val="6E2C1007"/>
    <w:rsid w:val="6E3851B0"/>
    <w:rsid w:val="6F64241D"/>
    <w:rsid w:val="70744F5D"/>
    <w:rsid w:val="710C5BDE"/>
    <w:rsid w:val="711710AD"/>
    <w:rsid w:val="711F61B4"/>
    <w:rsid w:val="72473C14"/>
    <w:rsid w:val="72A5093A"/>
    <w:rsid w:val="76564426"/>
    <w:rsid w:val="784167CA"/>
    <w:rsid w:val="7BBC11CF"/>
    <w:rsid w:val="7BC260B9"/>
    <w:rsid w:val="7BDA3403"/>
    <w:rsid w:val="7CB4634A"/>
    <w:rsid w:val="7E2748F9"/>
    <w:rsid w:val="7E576B3C"/>
    <w:rsid w:val="7E725B75"/>
    <w:rsid w:val="7ED67756"/>
    <w:rsid w:val="7F392B36"/>
    <w:rsid w:val="7F862F7E"/>
    <w:rsid w:val="7F995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4448</Words>
  <Characters>4788</Characters>
  <TotalTime>0</TotalTime>
  <ScaleCrop>false</ScaleCrop>
  <LinksUpToDate>false</LinksUpToDate>
  <CharactersWithSpaces>5023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王庭玮</cp:lastModifiedBy>
  <cp:lastPrinted>2024-05-21T14:05:00Z</cp:lastPrinted>
  <dcterms:modified xsi:type="dcterms:W3CDTF">2024-10-15T08:07:03Z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1830251196534FF4A20159A9FB556E4C_13</vt:lpwstr>
  </property>
</Properties>
</file>