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14:paraId="1D47B16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ascii="仿宋_GB2312" w:eastAsia="仿宋_GB2312"/>
                <w:kern w:val="0"/>
              </w:rPr>
            </w:pPr>
          </w:p>
        </w:tc>
        <w:tc>
          <w:tcPr>
            <w:tcW w:w="2039" w:type="dxa"/>
            <w:gridSpan w:val="2"/>
            <w:vAlign w:val="center"/>
          </w:tcPr>
          <w:p w14:paraId="1D6514EA">
            <w:pPr>
              <w:spacing w:line="240" w:lineRule="auto"/>
              <w:ind w:firstLine="420"/>
              <w:jc w:val="center"/>
              <w:rPr>
                <w:rFonts w:ascii="仿宋_GB2312" w:eastAsia="仿宋_GB2312"/>
                <w:kern w:val="0"/>
              </w:rPr>
            </w:pPr>
          </w:p>
        </w:tc>
        <w:tc>
          <w:tcPr>
            <w:tcW w:w="1983" w:type="dxa"/>
            <w:gridSpan w:val="2"/>
            <w:vAlign w:val="center"/>
          </w:tcPr>
          <w:p w14:paraId="7DFA6482">
            <w:pPr>
              <w:spacing w:line="240" w:lineRule="auto"/>
              <w:ind w:firstLine="420"/>
              <w:jc w:val="center"/>
              <w:rPr>
                <w:rFonts w:ascii="仿宋_GB2312" w:eastAsia="仿宋_GB2312"/>
                <w:kern w:val="0"/>
              </w:rPr>
            </w:pP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ascii="仿宋_GB2312" w:eastAsia="仿宋_GB2312"/>
                <w:kern w:val="0"/>
              </w:rPr>
            </w:pPr>
          </w:p>
        </w:tc>
        <w:tc>
          <w:tcPr>
            <w:tcW w:w="2039" w:type="dxa"/>
            <w:gridSpan w:val="2"/>
            <w:vAlign w:val="center"/>
          </w:tcPr>
          <w:p w14:paraId="672289AD">
            <w:pPr>
              <w:spacing w:line="240" w:lineRule="auto"/>
              <w:ind w:firstLine="420"/>
              <w:jc w:val="center"/>
              <w:rPr>
                <w:rFonts w:ascii="仿宋_GB2312" w:eastAsia="仿宋_GB2312"/>
                <w:kern w:val="0"/>
              </w:rPr>
            </w:pPr>
          </w:p>
        </w:tc>
        <w:tc>
          <w:tcPr>
            <w:tcW w:w="1983" w:type="dxa"/>
            <w:gridSpan w:val="2"/>
            <w:vAlign w:val="center"/>
          </w:tcPr>
          <w:p w14:paraId="7985B411">
            <w:pPr>
              <w:spacing w:line="240" w:lineRule="auto"/>
              <w:ind w:firstLine="420"/>
              <w:jc w:val="center"/>
              <w:rPr>
                <w:rFonts w:ascii="仿宋_GB2312" w:eastAsia="仿宋_GB2312"/>
                <w:kern w:val="0"/>
              </w:rPr>
            </w:pP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ascii="仿宋_GB2312" w:eastAsia="仿宋_GB2312"/>
                <w:kern w:val="0"/>
              </w:rPr>
            </w:pPr>
          </w:p>
        </w:tc>
        <w:tc>
          <w:tcPr>
            <w:tcW w:w="2039" w:type="dxa"/>
            <w:gridSpan w:val="2"/>
            <w:vAlign w:val="center"/>
          </w:tcPr>
          <w:p w14:paraId="7BB02F1D">
            <w:pPr>
              <w:spacing w:line="240" w:lineRule="auto"/>
              <w:ind w:firstLine="420"/>
              <w:jc w:val="center"/>
              <w:rPr>
                <w:rFonts w:ascii="仿宋_GB2312" w:eastAsia="仿宋_GB2312"/>
                <w:kern w:val="0"/>
              </w:rPr>
            </w:pPr>
          </w:p>
        </w:tc>
        <w:tc>
          <w:tcPr>
            <w:tcW w:w="1983" w:type="dxa"/>
            <w:gridSpan w:val="2"/>
            <w:vAlign w:val="center"/>
          </w:tcPr>
          <w:p w14:paraId="087A3549">
            <w:pPr>
              <w:spacing w:line="240" w:lineRule="auto"/>
              <w:ind w:firstLine="420"/>
              <w:jc w:val="center"/>
              <w:rPr>
                <w:rFonts w:ascii="仿宋_GB2312" w:eastAsia="仿宋_GB2312"/>
                <w:kern w:val="0"/>
              </w:rPr>
            </w:pP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ascii="仿宋_GB2312" w:eastAsia="仿宋_GB2312"/>
                <w:kern w:val="0"/>
              </w:rPr>
            </w:pPr>
          </w:p>
        </w:tc>
        <w:tc>
          <w:tcPr>
            <w:tcW w:w="2039" w:type="dxa"/>
            <w:gridSpan w:val="2"/>
            <w:vAlign w:val="center"/>
          </w:tcPr>
          <w:p w14:paraId="31E21FE8">
            <w:pPr>
              <w:spacing w:line="240" w:lineRule="auto"/>
              <w:ind w:firstLine="420"/>
              <w:jc w:val="center"/>
              <w:rPr>
                <w:rFonts w:ascii="仿宋_GB2312" w:eastAsia="仿宋_GB2312"/>
                <w:kern w:val="0"/>
              </w:rPr>
            </w:pPr>
          </w:p>
        </w:tc>
        <w:tc>
          <w:tcPr>
            <w:tcW w:w="1983" w:type="dxa"/>
            <w:gridSpan w:val="2"/>
            <w:vAlign w:val="center"/>
          </w:tcPr>
          <w:p w14:paraId="4FD74531">
            <w:pPr>
              <w:spacing w:line="240" w:lineRule="auto"/>
              <w:ind w:firstLine="420"/>
              <w:jc w:val="center"/>
              <w:rPr>
                <w:rFonts w:ascii="仿宋_GB2312" w:eastAsia="仿宋_GB2312"/>
                <w:kern w:val="0"/>
              </w:rPr>
            </w:pP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ascii="仿宋_GB2312" w:eastAsia="仿宋_GB2312"/>
                <w:kern w:val="0"/>
              </w:rPr>
            </w:pPr>
          </w:p>
        </w:tc>
        <w:tc>
          <w:tcPr>
            <w:tcW w:w="2039" w:type="dxa"/>
            <w:gridSpan w:val="2"/>
            <w:vAlign w:val="center"/>
          </w:tcPr>
          <w:p w14:paraId="467174B3">
            <w:pPr>
              <w:spacing w:line="240" w:lineRule="auto"/>
              <w:ind w:firstLine="420"/>
              <w:jc w:val="center"/>
              <w:rPr>
                <w:rFonts w:ascii="仿宋_GB2312" w:eastAsia="仿宋_GB2312"/>
                <w:kern w:val="0"/>
              </w:rPr>
            </w:pPr>
          </w:p>
        </w:tc>
        <w:tc>
          <w:tcPr>
            <w:tcW w:w="1983" w:type="dxa"/>
            <w:gridSpan w:val="2"/>
            <w:vAlign w:val="center"/>
          </w:tcPr>
          <w:p w14:paraId="550E4F9D">
            <w:pPr>
              <w:spacing w:line="240" w:lineRule="auto"/>
              <w:ind w:firstLine="420"/>
              <w:jc w:val="center"/>
              <w:rPr>
                <w:rFonts w:ascii="仿宋_GB2312" w:eastAsia="仿宋_GB2312"/>
                <w:kern w:val="0"/>
              </w:rPr>
            </w:pP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p>
        </w:tc>
        <w:tc>
          <w:tcPr>
            <w:tcW w:w="2039" w:type="dxa"/>
            <w:gridSpan w:val="2"/>
            <w:vAlign w:val="center"/>
          </w:tcPr>
          <w:p w14:paraId="18AD1802">
            <w:pPr>
              <w:spacing w:line="240" w:lineRule="auto"/>
              <w:ind w:firstLine="420"/>
              <w:jc w:val="center"/>
              <w:rPr>
                <w:rFonts w:ascii="仿宋_GB2312" w:eastAsia="仿宋_GB2312"/>
                <w:kern w:val="0"/>
              </w:rPr>
            </w:pPr>
          </w:p>
        </w:tc>
        <w:tc>
          <w:tcPr>
            <w:tcW w:w="1983" w:type="dxa"/>
            <w:gridSpan w:val="2"/>
            <w:vAlign w:val="center"/>
          </w:tcPr>
          <w:p w14:paraId="4363E711">
            <w:pPr>
              <w:spacing w:line="240" w:lineRule="auto"/>
              <w:ind w:firstLine="420"/>
              <w:jc w:val="center"/>
              <w:rPr>
                <w:rFonts w:ascii="仿宋_GB2312" w:eastAsia="仿宋_GB2312"/>
                <w:kern w:val="0"/>
              </w:rPr>
            </w:pP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曹勇</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13874084749</w:t>
      </w:r>
      <w:r>
        <w:rPr>
          <w:rFonts w:ascii="仿宋_GB2312" w:hAnsi="宋体" w:eastAsia="仿宋_GB2312" w:cs="宋体"/>
          <w:snapToGrid w:val="0"/>
          <w:color w:val="000000"/>
          <w:sz w:val="21"/>
          <w:szCs w:val="21"/>
          <w:lang w:val="en-US" w:eastAsia="zh-CN" w:bidi="ar-SA"/>
        </w:rPr>
        <w:t xml:space="preserve">            单位负责人签字：</w:t>
      </w:r>
    </w:p>
    <w:p w14:paraId="2F1B4640">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湖南恒茂商业有限公司</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7.17</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7.17</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7.17</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7.17</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确保国有资产保值增值，维护公司正常运转</w:t>
            </w:r>
          </w:p>
        </w:tc>
        <w:tc>
          <w:tcPr>
            <w:tcW w:w="4260" w:type="dxa"/>
            <w:gridSpan w:val="4"/>
            <w:vAlign w:val="center"/>
          </w:tcPr>
          <w:p w14:paraId="156E0DC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公司运转正常</w:t>
            </w:r>
          </w:p>
        </w:tc>
        <w:tc>
          <w:tcPr>
            <w:tcW w:w="1298" w:type="dxa"/>
            <w:vAlign w:val="center"/>
          </w:tcPr>
          <w:p w14:paraId="2A3748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保稳定、保运转</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任务按时完成</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企业生产值提升率大于30%</w:t>
            </w:r>
          </w:p>
        </w:tc>
        <w:tc>
          <w:tcPr>
            <w:tcW w:w="1298" w:type="dxa"/>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保民生</w:t>
            </w:r>
          </w:p>
        </w:tc>
        <w:tc>
          <w:tcPr>
            <w:tcW w:w="1298" w:type="dxa"/>
            <w:vAlign w:val="center"/>
          </w:tcPr>
          <w:p w14:paraId="6E8C4873">
            <w:pPr>
              <w:spacing w:line="240" w:lineRule="auto"/>
              <w:ind w:firstLine="420"/>
              <w:jc w:val="center"/>
              <w:rPr>
                <w:rFonts w:ascii="仿宋_GB2312" w:eastAsia="仿宋_GB2312"/>
                <w:kern w:val="0"/>
              </w:rPr>
            </w:pPr>
          </w:p>
        </w:tc>
        <w:tc>
          <w:tcPr>
            <w:tcW w:w="1269" w:type="dxa"/>
            <w:vAlign w:val="center"/>
          </w:tcPr>
          <w:p w14:paraId="4886005B">
            <w:pPr>
              <w:spacing w:line="240" w:lineRule="auto"/>
              <w:ind w:firstLine="420"/>
              <w:jc w:val="center"/>
              <w:rPr>
                <w:rFonts w:ascii="仿宋_GB2312" w:eastAsia="仿宋_GB2312"/>
                <w:kern w:val="0"/>
              </w:rPr>
            </w:pPr>
          </w:p>
        </w:tc>
        <w:tc>
          <w:tcPr>
            <w:tcW w:w="699" w:type="dxa"/>
            <w:vAlign w:val="center"/>
          </w:tcPr>
          <w:p w14:paraId="75FAE414">
            <w:pPr>
              <w:spacing w:line="240" w:lineRule="auto"/>
              <w:ind w:firstLine="420"/>
              <w:jc w:val="center"/>
              <w:rPr>
                <w:rFonts w:ascii="仿宋_GB2312" w:eastAsia="仿宋_GB2312"/>
                <w:kern w:val="0"/>
              </w:rPr>
            </w:pPr>
          </w:p>
        </w:tc>
        <w:tc>
          <w:tcPr>
            <w:tcW w:w="869" w:type="dxa"/>
            <w:vAlign w:val="center"/>
          </w:tcPr>
          <w:p w14:paraId="3309901E">
            <w:pPr>
              <w:spacing w:line="240" w:lineRule="auto"/>
              <w:ind w:firstLine="420"/>
              <w:jc w:val="center"/>
              <w:rPr>
                <w:rFonts w:ascii="仿宋_GB2312" w:eastAsia="仿宋_GB2312"/>
                <w:kern w:val="0"/>
              </w:rPr>
            </w:pP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监督率100%</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6A82224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3C931F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群众满意度增加20%</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ascii="仿宋_GB2312" w:eastAsia="仿宋_GB2312"/>
                <w:kern w:val="0"/>
              </w:rPr>
            </w:pP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企业成本率大于90%</w:t>
            </w:r>
          </w:p>
        </w:tc>
        <w:tc>
          <w:tcPr>
            <w:tcW w:w="1298" w:type="dxa"/>
            <w:vAlign w:val="center"/>
          </w:tcPr>
          <w:p w14:paraId="09361E43">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2DCD303">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765229A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4012A7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ascii="仿宋_GB2312" w:eastAsia="仿宋_GB2312"/>
                <w:kern w:val="0"/>
              </w:rPr>
            </w:pP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曹勇</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2024.10.11</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13874084749</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3829084C">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585C9A60">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hAnsi="宋体" w:eastAsia="方正小标宋简体" w:cs="宋体"/>
          <w:kern w:val="0"/>
          <w:sz w:val="44"/>
          <w:szCs w:val="44"/>
          <w:lang w:val="en-US" w:eastAsia="zh-CN"/>
        </w:rPr>
        <w:t>湖南恒茂商业有限公司</w:t>
      </w:r>
      <w:r>
        <w:rPr>
          <w:rFonts w:hint="eastAsia" w:ascii="方正小标宋简体" w:hAnsi="宋体" w:eastAsia="方正小标宋简体" w:cs="宋体"/>
          <w:kern w:val="0"/>
          <w:sz w:val="44"/>
          <w:szCs w:val="44"/>
          <w:lang w:eastAsia="zh-CN"/>
        </w:rPr>
        <w:t>单位</w:t>
      </w: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11</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60"/>
          <w:sz w:val="40"/>
          <w:szCs w:val="40"/>
          <w:lang w:val="en-US" w:eastAsia="zh-CN"/>
        </w:rPr>
        <w:t>湖南恒茂商业有限公司</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一、单位基本情况</w:t>
      </w:r>
    </w:p>
    <w:p w14:paraId="07590EC0">
      <w:pPr>
        <w:ind w:firstLine="640" w:firstLineChars="200"/>
        <w:rPr>
          <w:rFonts w:hint="eastAsia" w:ascii="微软雅黑" w:hAnsi="微软雅黑" w:eastAsia="微软雅黑" w:cs="微软雅黑"/>
          <w:sz w:val="32"/>
          <w:szCs w:val="32"/>
        </w:rPr>
      </w:pPr>
      <w:r>
        <w:rPr>
          <w:rFonts w:hint="eastAsia" w:ascii="方正黑体_GBK" w:hAnsi="仿宋" w:eastAsia="方正黑体_GBK" w:cs="仿宋"/>
          <w:snapToGrid w:val="0"/>
          <w:color w:val="000000"/>
          <w:sz w:val="32"/>
          <w:szCs w:val="32"/>
          <w:lang w:val="en-US" w:eastAsia="zh-CN" w:bidi="ar-SA"/>
        </w:rPr>
        <w:t xml:space="preserve"> </w:t>
      </w:r>
      <w:r>
        <w:rPr>
          <w:rFonts w:hint="eastAsia" w:ascii="微软雅黑" w:hAnsi="微软雅黑" w:eastAsia="微软雅黑" w:cs="微软雅黑"/>
          <w:sz w:val="32"/>
          <w:szCs w:val="32"/>
        </w:rPr>
        <w:t>我公司2021年10月由原来的汨罗市国营商业总公司深化改革后更名为湖南恒茂商业有限公司，是一家商品流通企业，实行独立核算、自主经营、自负盈亏。下辖四家分公司，分别是湖南恒茂商业有限公司百货纺织品分公司、湖南恒茂商业有限公司饮食服务分公司、湖南恒茂商业有限公司糖酒副食品分公司、湖南恒茂商业有限公司蔬菜分公司；一家子公司为汨罗恒茂食品有限公司。公司经营范围为：纺织品、百货、五金交电、化工产品（不含危险化学品和易制毒化学品）、日用品、建筑材料、金属材料、农副产品、汽车零配件的销售；物业管理；专业停车场运营管理；停车场服务。</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1D5180D8">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财政拨款基本支出</w:t>
      </w:r>
      <w:r>
        <w:rPr>
          <w:rFonts w:hint="eastAsia" w:ascii="Times New Roman" w:hAnsi="Times New Roman" w:eastAsia="仿宋_GB2312"/>
          <w:kern w:val="0"/>
          <w:sz w:val="32"/>
          <w:szCs w:val="32"/>
          <w:lang w:val="en-US" w:eastAsia="zh-CN"/>
        </w:rPr>
        <w:t>7.1714</w:t>
      </w:r>
      <w:r>
        <w:rPr>
          <w:rFonts w:hint="eastAsia" w:ascii="Times New Roman" w:hAnsi="Times New Roman" w:eastAsia="仿宋_GB2312"/>
          <w:kern w:val="0"/>
          <w:sz w:val="32"/>
          <w:szCs w:val="32"/>
          <w:lang w:eastAsia="zh-CN"/>
        </w:rPr>
        <w:t>万元，其中：人员经费</w:t>
      </w:r>
      <w:r>
        <w:rPr>
          <w:rFonts w:hint="eastAsia" w:ascii="Times New Roman" w:hAnsi="Times New Roman" w:eastAsia="仿宋_GB2312"/>
          <w:kern w:val="0"/>
          <w:sz w:val="32"/>
          <w:szCs w:val="32"/>
          <w:lang w:val="en-US" w:eastAsia="zh-CN"/>
        </w:rPr>
        <w:t>2.4</w:t>
      </w:r>
      <w:r>
        <w:rPr>
          <w:rFonts w:hint="eastAsia" w:ascii="Times New Roman" w:hAnsi="Times New Roman" w:eastAsia="仿宋_GB2312"/>
          <w:kern w:val="0"/>
          <w:sz w:val="32"/>
          <w:szCs w:val="32"/>
          <w:lang w:eastAsia="zh-CN"/>
        </w:rPr>
        <w:t>万元，主要包括津贴补贴。无三公</w:t>
      </w:r>
      <w:r>
        <w:rPr>
          <w:rFonts w:hint="eastAsia" w:ascii="Times New Roman" w:hAnsi="Times New Roman" w:eastAsia="仿宋_GB2312"/>
          <w:kern w:val="0"/>
          <w:sz w:val="32"/>
          <w:szCs w:val="32"/>
          <w:lang w:val="en-US" w:eastAsia="zh-CN"/>
        </w:rPr>
        <w:t>经费支出。</w:t>
      </w:r>
    </w:p>
    <w:p w14:paraId="00657FCB">
      <w:pPr>
        <w:pStyle w:val="9"/>
        <w:numPr>
          <w:ilvl w:val="0"/>
          <w:numId w:val="1"/>
        </w:numPr>
        <w:spacing w:line="600" w:lineRule="exact"/>
        <w:ind w:left="0" w:leftChars="0"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42A627D1">
      <w:pPr>
        <w:pStyle w:val="9"/>
        <w:numPr>
          <w:numId w:val="0"/>
        </w:numPr>
        <w:spacing w:line="600" w:lineRule="exact"/>
        <w:ind w:leftChars="200"/>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本公司无项目支出。</w:t>
      </w:r>
      <w:bookmarkStart w:id="0" w:name="_GoBack"/>
      <w:bookmarkEnd w:id="0"/>
    </w:p>
    <w:p w14:paraId="516D3C5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2A755169">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07F1EBC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8038BA9">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总结归纳本部门</w:t>
      </w:r>
      <w:r>
        <w:rPr>
          <w:rFonts w:eastAsia="仿宋_GB2312"/>
          <w:kern w:val="0"/>
          <w:sz w:val="32"/>
          <w:szCs w:val="32"/>
          <w:lang w:eastAsia="zh-CN"/>
        </w:rPr>
        <w:t>“</w:t>
      </w:r>
      <w:r>
        <w:rPr>
          <w:rFonts w:hint="eastAsia" w:eastAsia="仿宋_GB2312"/>
          <w:kern w:val="0"/>
          <w:sz w:val="32"/>
          <w:szCs w:val="32"/>
          <w:lang w:eastAsia="zh-CN"/>
        </w:rPr>
        <w:t>四本预算</w:t>
      </w:r>
      <w:r>
        <w:rPr>
          <w:rFonts w:eastAsia="仿宋_GB2312"/>
          <w:kern w:val="0"/>
          <w:sz w:val="32"/>
          <w:szCs w:val="32"/>
          <w:lang w:eastAsia="zh-CN"/>
        </w:rPr>
        <w:t>”</w:t>
      </w:r>
      <w:r>
        <w:rPr>
          <w:rFonts w:hint="eastAsia" w:eastAsia="仿宋_GB2312"/>
          <w:kern w:val="0"/>
          <w:sz w:val="32"/>
          <w:szCs w:val="32"/>
          <w:lang w:eastAsia="zh-CN"/>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0E49DA9">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可以从预算和预算绩效管理，部门履职效能，资金分配、使用和管理，资产和财务管理、政府采购等方面归纳存在的问题；反映各种预算支出执行偏离绩效目标的情况，并分析其原因。</w:t>
      </w:r>
    </w:p>
    <w:p w14:paraId="21E6073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37ACA1CA">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7D449053">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AC96D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603FE"/>
    <w:multiLevelType w:val="singleLevel"/>
    <w:tmpl w:val="1FF603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VjZjRmMTk0NTQ5MjRlYmQ3ZmM1MmZlMmY3OWIyYmQifQ=="/>
  </w:docVars>
  <w:rsids>
    <w:rsidRoot w:val="00000000"/>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DDF10BA"/>
    <w:rsid w:val="5FB623A7"/>
    <w:rsid w:val="6E3851B0"/>
    <w:rsid w:val="784167CA"/>
    <w:rsid w:val="7A150417"/>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1902</Words>
  <Characters>1968</Characters>
  <TotalTime>1</TotalTime>
  <ScaleCrop>false</ScaleCrop>
  <LinksUpToDate>false</LinksUpToDate>
  <CharactersWithSpaces>2129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副食-曹勇</cp:lastModifiedBy>
  <cp:lastPrinted>2024-05-21T14:05:00Z</cp:lastPrinted>
  <dcterms:modified xsi:type="dcterms:W3CDTF">2024-10-11T07:48:22Z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