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1128" w:firstLineChars="300"/>
        <w:jc w:val="both"/>
        <w:rPr>
          <w:rFonts w:ascii="方正小标宋简体" w:hAnsi="宋体" w:eastAsia="方正小标宋简体" w:cs="宋体"/>
          <w:bCs/>
          <w:spacing w:val="8"/>
          <w:kern w:val="0"/>
          <w:sz w:val="36"/>
          <w:szCs w:val="36"/>
          <w:lang w:eastAsia="zh-CN"/>
        </w:rPr>
      </w:pPr>
      <w:r>
        <w:rPr>
          <w:rFonts w:hint="eastAsia" w:ascii="方正小标宋简体" w:hAnsi="宋体" w:eastAsia="方正小标宋简体" w:cs="宋体"/>
          <w:bCs/>
          <w:spacing w:val="8"/>
          <w:kern w:val="0"/>
          <w:sz w:val="36"/>
          <w:szCs w:val="36"/>
          <w:lang w:eastAsia="zh-CN"/>
        </w:rPr>
        <w:t>202</w:t>
      </w:r>
      <w:r>
        <w:rPr>
          <w:rFonts w:hint="eastAsia" w:ascii="方正小标宋简体" w:hAnsi="宋体" w:eastAsia="方正小标宋简体" w:cs="宋体"/>
          <w:bCs/>
          <w:spacing w:val="8"/>
          <w:kern w:val="0"/>
          <w:sz w:val="36"/>
          <w:szCs w:val="36"/>
          <w:lang w:val="en-US" w:eastAsia="zh-CN"/>
        </w:rPr>
        <w:t>3</w:t>
      </w:r>
      <w:r>
        <w:rPr>
          <w:rFonts w:hint="eastAsia" w:ascii="方正小标宋简体" w:hAnsi="宋体" w:eastAsia="方正小标宋简体" w:cs="宋体"/>
          <w:bCs/>
          <w:spacing w:val="8"/>
          <w:kern w:val="0"/>
          <w:sz w:val="36"/>
          <w:szCs w:val="36"/>
          <w:lang w:eastAsia="zh-CN"/>
        </w:rPr>
        <w:t>年度工信局系统整体支出绩效评价基础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eastAsia" w:ascii="仿宋_GB2312" w:eastAsia="仿宋_GB2312"/>
                <w:kern w:val="0"/>
                <w:lang w:eastAsia="zh-CN"/>
              </w:rPr>
            </w:pPr>
            <w:r>
              <w:rPr>
                <w:rFonts w:hint="eastAsia" w:ascii="仿宋_GB2312" w:eastAsia="仿宋_GB2312"/>
                <w:kern w:val="0"/>
              </w:rPr>
              <w:t>4</w:t>
            </w:r>
            <w:r>
              <w:rPr>
                <w:rFonts w:hint="eastAsia" w:ascii="仿宋_GB2312" w:eastAsia="仿宋_GB2312"/>
                <w:kern w:val="0"/>
                <w:lang w:val="en-US" w:eastAsia="zh-CN"/>
              </w:rPr>
              <w:t>2</w:t>
            </w:r>
          </w:p>
        </w:tc>
        <w:tc>
          <w:tcPr>
            <w:tcW w:w="2039" w:type="dxa"/>
            <w:gridSpan w:val="2"/>
            <w:vAlign w:val="center"/>
          </w:tcPr>
          <w:p w14:paraId="1D47B169">
            <w:pPr>
              <w:spacing w:line="240" w:lineRule="auto"/>
              <w:ind w:firstLine="420"/>
              <w:jc w:val="center"/>
              <w:rPr>
                <w:rFonts w:hint="eastAsia" w:ascii="仿宋_GB2312" w:eastAsia="仿宋_GB2312"/>
                <w:kern w:val="0"/>
                <w:lang w:eastAsia="zh-CN"/>
              </w:rPr>
            </w:pPr>
            <w:r>
              <w:rPr>
                <w:rFonts w:hint="eastAsia" w:ascii="仿宋_GB2312" w:eastAsia="仿宋_GB2312"/>
                <w:kern w:val="0"/>
              </w:rPr>
              <w:t>4</w:t>
            </w:r>
            <w:r>
              <w:rPr>
                <w:rFonts w:hint="eastAsia" w:ascii="仿宋_GB2312" w:eastAsia="仿宋_GB2312"/>
                <w:kern w:val="0"/>
                <w:lang w:val="en-US" w:eastAsia="zh-CN"/>
              </w:rPr>
              <w:t>2</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630" w:firstLineChars="300"/>
              <w:jc w:val="left"/>
              <w:rPr>
                <w:rFonts w:hint="default" w:ascii="仿宋_GB2312" w:eastAsia="仿宋_GB2312"/>
                <w:kern w:val="0"/>
                <w:lang w:val="en-US"/>
              </w:rPr>
            </w:pPr>
            <w:r>
              <w:rPr>
                <w:rFonts w:hint="eastAsia" w:ascii="仿宋_GB2312" w:eastAsia="仿宋_GB2312"/>
                <w:kern w:val="0"/>
                <w:lang w:val="en-US" w:eastAsia="zh-CN"/>
              </w:rPr>
              <w:t>10.24</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2.66</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14:paraId="23AA2EC5">
            <w:pPr>
              <w:spacing w:line="240" w:lineRule="auto"/>
              <w:ind w:firstLine="630" w:firstLineChars="300"/>
              <w:jc w:val="left"/>
              <w:rPr>
                <w:rFonts w:hint="default"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10.24</w:t>
            </w:r>
          </w:p>
        </w:tc>
        <w:tc>
          <w:tcPr>
            <w:tcW w:w="2039" w:type="dxa"/>
            <w:gridSpan w:val="2"/>
            <w:shd w:val="clear" w:color="auto" w:fill="auto"/>
            <w:vAlign w:val="center"/>
          </w:tcPr>
          <w:p w14:paraId="672289A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w:t>
            </w:r>
          </w:p>
        </w:tc>
        <w:tc>
          <w:tcPr>
            <w:tcW w:w="1983" w:type="dxa"/>
            <w:gridSpan w:val="2"/>
            <w:shd w:val="clear" w:color="auto" w:fill="auto"/>
            <w:vAlign w:val="center"/>
          </w:tcPr>
          <w:p w14:paraId="7985B4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2.66</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97.42</w:t>
            </w:r>
          </w:p>
        </w:tc>
        <w:tc>
          <w:tcPr>
            <w:tcW w:w="2039" w:type="dxa"/>
            <w:gridSpan w:val="2"/>
            <w:vAlign w:val="center"/>
          </w:tcPr>
          <w:p w14:paraId="050E075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74.01</w:t>
            </w:r>
          </w:p>
        </w:tc>
        <w:tc>
          <w:tcPr>
            <w:tcW w:w="1983" w:type="dxa"/>
            <w:gridSpan w:val="2"/>
            <w:vAlign w:val="center"/>
          </w:tcPr>
          <w:p w14:paraId="7357305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94.87</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11.04</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4.10</w:t>
            </w:r>
          </w:p>
        </w:tc>
        <w:tc>
          <w:tcPr>
            <w:tcW w:w="1983" w:type="dxa"/>
            <w:gridSpan w:val="2"/>
            <w:vAlign w:val="center"/>
          </w:tcPr>
          <w:p w14:paraId="087A3549">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11.36</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7.05</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10.16</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20.49</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1.45</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1.80</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147</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w:t>
            </w:r>
          </w:p>
        </w:tc>
        <w:tc>
          <w:tcPr>
            <w:tcW w:w="1983" w:type="dxa"/>
            <w:gridSpan w:val="2"/>
            <w:vAlign w:val="center"/>
          </w:tcPr>
          <w:p w14:paraId="4363E711">
            <w:pPr>
              <w:spacing w:line="240" w:lineRule="auto"/>
              <w:ind w:firstLine="420"/>
              <w:jc w:val="center"/>
              <w:rPr>
                <w:rFonts w:ascii="仿宋_GB2312" w:eastAsia="仿宋_GB2312"/>
                <w:kern w:val="0"/>
              </w:rPr>
            </w:pPr>
            <w:r>
              <w:rPr>
                <w:rFonts w:hint="eastAsia" w:ascii="仿宋_GB2312" w:eastAsia="仿宋_GB2312"/>
                <w:kern w:val="0"/>
                <w:lang w:val="en-US" w:eastAsia="zh-CN"/>
              </w:rPr>
              <w:t>157</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1786.77</w:t>
            </w:r>
          </w:p>
        </w:tc>
        <w:tc>
          <w:tcPr>
            <w:tcW w:w="2039" w:type="dxa"/>
            <w:gridSpan w:val="2"/>
            <w:vAlign w:val="center"/>
          </w:tcPr>
          <w:p w14:paraId="50A3B14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536.07</w:t>
            </w:r>
          </w:p>
        </w:tc>
        <w:tc>
          <w:tcPr>
            <w:tcW w:w="1983" w:type="dxa"/>
            <w:gridSpan w:val="2"/>
            <w:vAlign w:val="center"/>
          </w:tcPr>
          <w:p w14:paraId="5A7B69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5216.2</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36A9E52A">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汨罗市工信局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536.07</w:t>
            </w:r>
          </w:p>
        </w:tc>
        <w:tc>
          <w:tcPr>
            <w:tcW w:w="1298" w:type="dxa"/>
            <w:vAlign w:val="center"/>
          </w:tcPr>
          <w:p w14:paraId="78350D28">
            <w:pPr>
              <w:spacing w:line="240" w:lineRule="auto"/>
              <w:ind w:firstLine="210" w:firstLineChars="100"/>
              <w:jc w:val="both"/>
              <w:rPr>
                <w:rFonts w:hint="default" w:ascii="仿宋_GB2312" w:eastAsia="仿宋_GB2312"/>
                <w:kern w:val="0"/>
                <w:lang w:val="en-US"/>
              </w:rPr>
            </w:pPr>
            <w:r>
              <w:rPr>
                <w:rFonts w:hint="eastAsia" w:ascii="仿宋_GB2312" w:eastAsia="仿宋_GB2312"/>
                <w:kern w:val="0"/>
                <w:lang w:val="en-US" w:eastAsia="zh-CN"/>
              </w:rPr>
              <w:t>5216.2</w:t>
            </w:r>
          </w:p>
        </w:tc>
        <w:tc>
          <w:tcPr>
            <w:tcW w:w="1269" w:type="dxa"/>
            <w:vAlign w:val="center"/>
          </w:tcPr>
          <w:p w14:paraId="5FDA3D24">
            <w:pPr>
              <w:spacing w:line="240" w:lineRule="auto"/>
              <w:ind w:firstLine="210" w:firstLineChars="100"/>
              <w:jc w:val="both"/>
              <w:rPr>
                <w:rFonts w:ascii="仿宋_GB2312" w:eastAsia="仿宋_GB2312"/>
                <w:kern w:val="0"/>
              </w:rPr>
            </w:pPr>
            <w:r>
              <w:rPr>
                <w:rFonts w:hint="eastAsia" w:ascii="仿宋_GB2312" w:eastAsia="仿宋_GB2312"/>
                <w:kern w:val="0"/>
                <w:lang w:val="en-US" w:eastAsia="zh-CN"/>
              </w:rPr>
              <w:t>5216.2</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rPr>
              <w:t>10</w:t>
            </w:r>
            <w:r>
              <w:rPr>
                <w:rFonts w:hint="eastAsia" w:ascii="仿宋_GB2312" w:eastAsia="仿宋_GB2312"/>
                <w:kern w:val="0"/>
                <w:lang w:val="en-US" w:eastAsia="zh-CN"/>
              </w:rPr>
              <w:t>%</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5216.2</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543.27</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0</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4672.92</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jc w:val="both"/>
              <w:rPr>
                <w:rFonts w:ascii="仿宋_GB2312" w:eastAsia="仿宋_GB2312"/>
                <w:kern w:val="0"/>
              </w:rPr>
            </w:pPr>
            <w:r>
              <w:rPr>
                <w:rFonts w:hint="eastAsia" w:ascii="仿宋_GB2312" w:eastAsia="仿宋_GB2312"/>
                <w:kern w:val="0"/>
                <w:lang w:val="en-US" w:eastAsia="zh-CN"/>
              </w:rPr>
              <w:t>1、</w:t>
            </w:r>
            <w:r>
              <w:rPr>
                <w:rFonts w:hint="eastAsia" w:ascii="仿宋_GB2312" w:eastAsia="仿宋_GB2312"/>
                <w:kern w:val="0"/>
              </w:rPr>
              <w:t>实现工业总产值1160亿；</w:t>
            </w:r>
            <w:r>
              <w:rPr>
                <w:rFonts w:hint="eastAsia" w:ascii="仿宋_GB2312" w:eastAsia="仿宋_GB2312"/>
                <w:kern w:val="0"/>
                <w:lang w:val="en-US" w:eastAsia="zh-CN"/>
              </w:rPr>
              <w:t>2、</w:t>
            </w:r>
            <w:r>
              <w:rPr>
                <w:rFonts w:hint="eastAsia" w:ascii="仿宋_GB2312" w:eastAsia="仿宋_GB2312"/>
                <w:kern w:val="0"/>
              </w:rPr>
              <w:t>完成入规企业20家；</w:t>
            </w:r>
            <w:r>
              <w:rPr>
                <w:rFonts w:hint="eastAsia" w:ascii="仿宋_GB2312" w:eastAsia="仿宋_GB2312"/>
                <w:kern w:val="0"/>
                <w:lang w:val="en-US" w:eastAsia="zh-CN"/>
              </w:rPr>
              <w:t>3、</w:t>
            </w:r>
            <w:r>
              <w:rPr>
                <w:rFonts w:hint="eastAsia" w:ascii="仿宋_GB2312" w:eastAsia="仿宋_GB2312"/>
                <w:kern w:val="0"/>
              </w:rPr>
              <w:t>争取项目资金2500万；</w:t>
            </w:r>
          </w:p>
        </w:tc>
        <w:tc>
          <w:tcPr>
            <w:tcW w:w="4260" w:type="dxa"/>
            <w:gridSpan w:val="4"/>
            <w:vAlign w:val="center"/>
          </w:tcPr>
          <w:p w14:paraId="156E0DC0">
            <w:pPr>
              <w:spacing w:line="240" w:lineRule="auto"/>
              <w:jc w:val="both"/>
              <w:rPr>
                <w:rFonts w:ascii="仿宋_GB2312" w:eastAsia="仿宋_GB2312"/>
                <w:kern w:val="0"/>
              </w:rPr>
            </w:pPr>
            <w:r>
              <w:rPr>
                <w:rFonts w:hint="eastAsia" w:ascii="仿宋_GB2312" w:eastAsia="仿宋_GB2312"/>
                <w:kern w:val="0"/>
              </w:rPr>
              <w:t>全年预计完成规模工业总产值1160亿元，同比增长14.8%，约占岳阳市同期规模工业总产值的16%；预计规模工业增加值增速7.5%。全年预计完成工业投资198亿元，同比增长11%；预计完成工业技改投资138亿元，同比增长10%。全年预计新增规模工业企业20家、净增12家以上，保持了企稳回升的良好态势。</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项目资金完成2500万元</w:t>
            </w:r>
          </w:p>
        </w:tc>
        <w:tc>
          <w:tcPr>
            <w:tcW w:w="1298" w:type="dxa"/>
            <w:vAlign w:val="center"/>
          </w:tcPr>
          <w:p w14:paraId="2A374824">
            <w:pPr>
              <w:spacing w:line="240" w:lineRule="auto"/>
              <w:jc w:val="both"/>
              <w:rPr>
                <w:rFonts w:ascii="仿宋_GB2312" w:eastAsia="仿宋_GB2312"/>
                <w:kern w:val="0"/>
              </w:rPr>
            </w:pPr>
            <w:r>
              <w:rPr>
                <w:rFonts w:hint="eastAsia" w:ascii="仿宋_GB2312" w:eastAsia="仿宋_GB2312"/>
                <w:kern w:val="0"/>
              </w:rPr>
              <w:t>项目资金完成2500万元</w:t>
            </w:r>
          </w:p>
        </w:tc>
        <w:tc>
          <w:tcPr>
            <w:tcW w:w="1269" w:type="dxa"/>
            <w:vAlign w:val="center"/>
          </w:tcPr>
          <w:p w14:paraId="708D788A">
            <w:pPr>
              <w:spacing w:line="240" w:lineRule="auto"/>
              <w:ind w:firstLine="420"/>
              <w:jc w:val="both"/>
              <w:rPr>
                <w:rFonts w:ascii="仿宋_GB2312" w:eastAsia="仿宋_GB2312"/>
                <w:kern w:val="0"/>
              </w:rPr>
            </w:pPr>
            <w:r>
              <w:rPr>
                <w:rFonts w:hint="eastAsia" w:ascii="仿宋_GB2312" w:eastAsia="仿宋_GB2312"/>
                <w:kern w:val="0"/>
              </w:rPr>
              <w:t>2500</w:t>
            </w:r>
          </w:p>
        </w:tc>
        <w:tc>
          <w:tcPr>
            <w:tcW w:w="699" w:type="dxa"/>
            <w:vAlign w:val="center"/>
          </w:tcPr>
          <w:p w14:paraId="567F5E5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实现工业总产值 1160亿</w:t>
            </w:r>
          </w:p>
        </w:tc>
        <w:tc>
          <w:tcPr>
            <w:tcW w:w="1298" w:type="dxa"/>
            <w:vAlign w:val="center"/>
          </w:tcPr>
          <w:p w14:paraId="1A5ADA3A">
            <w:pPr>
              <w:spacing w:line="240" w:lineRule="auto"/>
              <w:jc w:val="both"/>
              <w:rPr>
                <w:rFonts w:ascii="仿宋_GB2312" w:eastAsia="仿宋_GB2312"/>
                <w:kern w:val="0"/>
              </w:rPr>
            </w:pPr>
            <w:r>
              <w:rPr>
                <w:rFonts w:hint="eastAsia" w:ascii="仿宋_GB2312" w:eastAsia="仿宋_GB2312"/>
                <w:kern w:val="0"/>
              </w:rPr>
              <w:t>实现工业总产值 1160亿</w:t>
            </w:r>
          </w:p>
        </w:tc>
        <w:tc>
          <w:tcPr>
            <w:tcW w:w="1269" w:type="dxa"/>
            <w:vAlign w:val="center"/>
          </w:tcPr>
          <w:p w14:paraId="54075F02">
            <w:pPr>
              <w:spacing w:line="240" w:lineRule="auto"/>
              <w:ind w:firstLine="420"/>
              <w:jc w:val="both"/>
              <w:rPr>
                <w:rFonts w:ascii="仿宋_GB2312" w:eastAsia="仿宋_GB2312"/>
                <w:kern w:val="0"/>
              </w:rPr>
            </w:pPr>
            <w:r>
              <w:rPr>
                <w:rFonts w:hint="eastAsia" w:ascii="仿宋_GB2312" w:eastAsia="仿宋_GB2312"/>
                <w:kern w:val="0"/>
              </w:rPr>
              <w:t>1160</w:t>
            </w:r>
          </w:p>
        </w:tc>
        <w:tc>
          <w:tcPr>
            <w:tcW w:w="699" w:type="dxa"/>
            <w:vAlign w:val="center"/>
          </w:tcPr>
          <w:p w14:paraId="5580FC82">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0982B111">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按年初计划</w:t>
            </w:r>
          </w:p>
        </w:tc>
        <w:tc>
          <w:tcPr>
            <w:tcW w:w="1298" w:type="dxa"/>
            <w:vAlign w:val="center"/>
          </w:tcPr>
          <w:p w14:paraId="479FA5D5">
            <w:pPr>
              <w:spacing w:line="240" w:lineRule="auto"/>
              <w:jc w:val="both"/>
              <w:rPr>
                <w:rFonts w:ascii="仿宋_GB2312" w:eastAsia="仿宋_GB2312"/>
                <w:kern w:val="0"/>
              </w:rPr>
            </w:pPr>
            <w:r>
              <w:rPr>
                <w:rFonts w:hint="eastAsia" w:ascii="仿宋_GB2312" w:eastAsia="仿宋_GB2312"/>
                <w:kern w:val="0"/>
              </w:rPr>
              <w:t>按年初计划</w:t>
            </w:r>
          </w:p>
        </w:tc>
        <w:tc>
          <w:tcPr>
            <w:tcW w:w="1269" w:type="dxa"/>
            <w:vAlign w:val="center"/>
          </w:tcPr>
          <w:p w14:paraId="5C1B3402">
            <w:pPr>
              <w:spacing w:line="240" w:lineRule="auto"/>
              <w:ind w:firstLine="420" w:firstLineChars="200"/>
              <w:jc w:val="both"/>
              <w:rPr>
                <w:rFonts w:ascii="仿宋_GB2312" w:eastAsia="仿宋_GB2312"/>
                <w:kern w:val="0"/>
              </w:rPr>
            </w:pPr>
            <w:r>
              <w:rPr>
                <w:rFonts w:hint="eastAsia" w:ascii="仿宋_GB2312" w:eastAsia="仿宋_GB2312"/>
                <w:kern w:val="0"/>
              </w:rPr>
              <w:t>按要求</w:t>
            </w:r>
          </w:p>
        </w:tc>
        <w:tc>
          <w:tcPr>
            <w:tcW w:w="699" w:type="dxa"/>
            <w:vAlign w:val="center"/>
          </w:tcPr>
          <w:p w14:paraId="4C56B99F">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5DA34835">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ascii="仿宋_GB2312" w:eastAsia="仿宋_GB2312"/>
                <w:kern w:val="0"/>
              </w:rPr>
            </w:pPr>
            <w:r>
              <w:rPr>
                <w:rFonts w:hint="eastAsia" w:ascii="仿宋_GB2312" w:eastAsia="仿宋_GB2312"/>
                <w:kern w:val="0"/>
              </w:rPr>
              <w:t>新增规模企业增加产值</w:t>
            </w:r>
          </w:p>
        </w:tc>
        <w:tc>
          <w:tcPr>
            <w:tcW w:w="1298" w:type="dxa"/>
            <w:vAlign w:val="center"/>
          </w:tcPr>
          <w:p w14:paraId="078289F3">
            <w:pPr>
              <w:spacing w:line="240" w:lineRule="auto"/>
              <w:jc w:val="both"/>
              <w:rPr>
                <w:rFonts w:ascii="仿宋_GB2312" w:eastAsia="仿宋_GB2312"/>
                <w:kern w:val="0"/>
              </w:rPr>
            </w:pPr>
            <w:r>
              <w:rPr>
                <w:rFonts w:hint="eastAsia" w:ascii="仿宋_GB2312" w:eastAsia="仿宋_GB2312"/>
                <w:kern w:val="0"/>
              </w:rPr>
              <w:t>新增规模企业增加产值</w:t>
            </w:r>
          </w:p>
        </w:tc>
        <w:tc>
          <w:tcPr>
            <w:tcW w:w="1269" w:type="dxa"/>
            <w:vAlign w:val="center"/>
          </w:tcPr>
          <w:p w14:paraId="7A453B87">
            <w:pPr>
              <w:spacing w:line="240" w:lineRule="auto"/>
              <w:ind w:firstLine="420" w:firstLineChars="200"/>
              <w:jc w:val="both"/>
              <w:rPr>
                <w:rFonts w:ascii="仿宋_GB2312" w:eastAsia="仿宋_GB2312"/>
                <w:kern w:val="0"/>
              </w:rPr>
            </w:pPr>
            <w:r>
              <w:rPr>
                <w:rFonts w:hint="eastAsia" w:ascii="仿宋_GB2312" w:eastAsia="仿宋_GB2312"/>
                <w:kern w:val="0"/>
              </w:rPr>
              <w:t>8亿</w:t>
            </w:r>
          </w:p>
        </w:tc>
        <w:tc>
          <w:tcPr>
            <w:tcW w:w="699" w:type="dxa"/>
            <w:vAlign w:val="center"/>
          </w:tcPr>
          <w:p w14:paraId="415A3F6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万元规模企业增加能耗降低</w:t>
            </w:r>
          </w:p>
        </w:tc>
        <w:tc>
          <w:tcPr>
            <w:tcW w:w="1298" w:type="dxa"/>
            <w:vAlign w:val="center"/>
          </w:tcPr>
          <w:p w14:paraId="6E8C4873">
            <w:pPr>
              <w:spacing w:line="240" w:lineRule="auto"/>
              <w:jc w:val="both"/>
              <w:rPr>
                <w:rFonts w:ascii="仿宋_GB2312" w:eastAsia="仿宋_GB2312"/>
                <w:kern w:val="0"/>
              </w:rPr>
            </w:pPr>
            <w:r>
              <w:rPr>
                <w:rFonts w:hint="eastAsia" w:ascii="仿宋_GB2312" w:eastAsia="仿宋_GB2312"/>
                <w:kern w:val="0"/>
              </w:rPr>
              <w:t>万元规模企业增加能耗降低</w:t>
            </w:r>
          </w:p>
        </w:tc>
        <w:tc>
          <w:tcPr>
            <w:tcW w:w="1269" w:type="dxa"/>
            <w:vAlign w:val="center"/>
          </w:tcPr>
          <w:p w14:paraId="4886005B">
            <w:pPr>
              <w:spacing w:line="240" w:lineRule="auto"/>
              <w:ind w:firstLine="210" w:firstLineChars="100"/>
              <w:jc w:val="both"/>
              <w:rPr>
                <w:rFonts w:ascii="仿宋_GB2312" w:eastAsia="仿宋_GB2312"/>
                <w:kern w:val="0"/>
              </w:rPr>
            </w:pPr>
            <w:r>
              <w:rPr>
                <w:rFonts w:hint="eastAsia" w:ascii="仿宋_GB2312" w:eastAsia="仿宋_GB2312"/>
                <w:kern w:val="0"/>
              </w:rPr>
              <w:t>20%以上</w:t>
            </w:r>
          </w:p>
        </w:tc>
        <w:tc>
          <w:tcPr>
            <w:tcW w:w="699" w:type="dxa"/>
            <w:vAlign w:val="center"/>
          </w:tcPr>
          <w:p w14:paraId="75FAE41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节约用煤</w:t>
            </w:r>
          </w:p>
        </w:tc>
        <w:tc>
          <w:tcPr>
            <w:tcW w:w="1298" w:type="dxa"/>
            <w:vAlign w:val="center"/>
          </w:tcPr>
          <w:p w14:paraId="45B96CBB">
            <w:pPr>
              <w:spacing w:line="240" w:lineRule="auto"/>
              <w:jc w:val="both"/>
              <w:rPr>
                <w:rFonts w:ascii="仿宋_GB2312" w:eastAsia="仿宋_GB2312"/>
                <w:kern w:val="0"/>
              </w:rPr>
            </w:pPr>
            <w:r>
              <w:rPr>
                <w:rFonts w:hint="eastAsia" w:ascii="仿宋_GB2312" w:eastAsia="仿宋_GB2312"/>
                <w:kern w:val="0"/>
              </w:rPr>
              <w:t>节约用煤</w:t>
            </w:r>
          </w:p>
        </w:tc>
        <w:tc>
          <w:tcPr>
            <w:tcW w:w="1269" w:type="dxa"/>
            <w:vAlign w:val="center"/>
          </w:tcPr>
          <w:p w14:paraId="35C3564D">
            <w:pPr>
              <w:spacing w:line="240" w:lineRule="auto"/>
              <w:jc w:val="both"/>
              <w:rPr>
                <w:rFonts w:ascii="仿宋_GB2312" w:eastAsia="仿宋_GB2312"/>
                <w:kern w:val="0"/>
              </w:rPr>
            </w:pPr>
            <w:r>
              <w:rPr>
                <w:rFonts w:hint="eastAsia" w:ascii="仿宋_GB2312" w:eastAsia="仿宋_GB2312"/>
                <w:kern w:val="0"/>
              </w:rPr>
              <w:t>5万吨标煤</w:t>
            </w:r>
          </w:p>
        </w:tc>
        <w:tc>
          <w:tcPr>
            <w:tcW w:w="699" w:type="dxa"/>
            <w:vAlign w:val="center"/>
          </w:tcPr>
          <w:p w14:paraId="6A82224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3C931F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监管相对人满意</w:t>
            </w:r>
          </w:p>
        </w:tc>
        <w:tc>
          <w:tcPr>
            <w:tcW w:w="1298" w:type="dxa"/>
            <w:vAlign w:val="center"/>
          </w:tcPr>
          <w:p w14:paraId="6ABEB3E2">
            <w:pPr>
              <w:spacing w:line="240" w:lineRule="auto"/>
              <w:jc w:val="both"/>
              <w:rPr>
                <w:rFonts w:ascii="仿宋_GB2312" w:eastAsia="仿宋_GB2312"/>
                <w:kern w:val="0"/>
              </w:rPr>
            </w:pPr>
            <w:r>
              <w:rPr>
                <w:rFonts w:hint="eastAsia" w:ascii="仿宋_GB2312" w:eastAsia="仿宋_GB2312"/>
                <w:kern w:val="0"/>
              </w:rPr>
              <w:t>监管相对人满意</w:t>
            </w:r>
          </w:p>
        </w:tc>
        <w:tc>
          <w:tcPr>
            <w:tcW w:w="1269" w:type="dxa"/>
            <w:vAlign w:val="center"/>
          </w:tcPr>
          <w:p w14:paraId="31B5B329">
            <w:pPr>
              <w:spacing w:line="240" w:lineRule="auto"/>
              <w:ind w:firstLine="420"/>
              <w:jc w:val="both"/>
              <w:rPr>
                <w:rFonts w:ascii="仿宋_GB2312" w:eastAsia="仿宋_GB2312"/>
                <w:kern w:val="0"/>
              </w:rPr>
            </w:pPr>
            <w:r>
              <w:rPr>
                <w:rFonts w:hint="eastAsia" w:ascii="仿宋_GB2312" w:eastAsia="仿宋_GB2312"/>
                <w:kern w:val="0"/>
                <w:lang w:val="en-US" w:eastAsia="zh-CN"/>
              </w:rPr>
              <w:t>＞</w:t>
            </w:r>
            <w:r>
              <w:rPr>
                <w:rFonts w:hint="eastAsia" w:ascii="仿宋_GB2312" w:eastAsia="仿宋_GB2312"/>
                <w:kern w:val="0"/>
              </w:rPr>
              <w:t>90%</w:t>
            </w:r>
          </w:p>
        </w:tc>
        <w:tc>
          <w:tcPr>
            <w:tcW w:w="699" w:type="dxa"/>
            <w:vAlign w:val="center"/>
          </w:tcPr>
          <w:p w14:paraId="41D3F37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jc w:val="center"/>
              <w:rPr>
                <w:rFonts w:ascii="仿宋_GB2312" w:eastAsia="仿宋_GB2312"/>
                <w:kern w:val="0"/>
              </w:rPr>
            </w:pPr>
            <w:r>
              <w:rPr>
                <w:rFonts w:hint="eastAsia" w:ascii="仿宋_GB2312" w:eastAsia="仿宋_GB2312"/>
                <w:kern w:val="0"/>
                <w:lang w:val="en-US" w:eastAsia="zh-CN"/>
              </w:rPr>
              <w:t>8</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hint="default" w:ascii="仿宋_GB2312" w:eastAsia="仿宋_GB2312"/>
                <w:kern w:val="0"/>
                <w:lang w:val="en-US"/>
              </w:rPr>
            </w:pPr>
            <w:r>
              <w:rPr>
                <w:rFonts w:hint="eastAsia" w:ascii="仿宋_GB2312" w:eastAsia="仿宋_GB2312"/>
                <w:kern w:val="0"/>
                <w:lang w:val="en-US" w:eastAsia="zh-CN"/>
              </w:rPr>
              <w:t>＜=5216.2</w:t>
            </w:r>
          </w:p>
        </w:tc>
        <w:tc>
          <w:tcPr>
            <w:tcW w:w="1298" w:type="dxa"/>
            <w:vAlign w:val="center"/>
          </w:tcPr>
          <w:p w14:paraId="15ECA8D3">
            <w:pPr>
              <w:spacing w:line="240" w:lineRule="auto"/>
              <w:ind w:firstLine="420"/>
              <w:jc w:val="center"/>
              <w:rPr>
                <w:rFonts w:ascii="仿宋_GB2312" w:eastAsia="仿宋_GB2312"/>
                <w:kern w:val="0"/>
              </w:rPr>
            </w:pPr>
          </w:p>
        </w:tc>
        <w:tc>
          <w:tcPr>
            <w:tcW w:w="1269" w:type="dxa"/>
            <w:vAlign w:val="center"/>
          </w:tcPr>
          <w:p w14:paraId="3C328246">
            <w:pPr>
              <w:spacing w:line="240" w:lineRule="auto"/>
              <w:ind w:firstLine="420"/>
              <w:jc w:val="center"/>
              <w:rPr>
                <w:rFonts w:hint="default" w:ascii="仿宋_GB2312" w:eastAsia="仿宋_GB2312"/>
                <w:kern w:val="0"/>
                <w:lang w:val="en-US"/>
              </w:rPr>
            </w:pPr>
            <w:r>
              <w:rPr>
                <w:rFonts w:hint="eastAsia" w:ascii="仿宋_GB2312" w:eastAsia="仿宋_GB2312"/>
                <w:kern w:val="0"/>
                <w:lang w:val="en-US" w:eastAsia="zh-CN"/>
              </w:rPr>
              <w:t>5216.2</w:t>
            </w:r>
          </w:p>
        </w:tc>
        <w:tc>
          <w:tcPr>
            <w:tcW w:w="699" w:type="dxa"/>
            <w:vAlign w:val="center"/>
          </w:tcPr>
          <w:p w14:paraId="42BD2B9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786F4305">
            <w:pPr>
              <w:spacing w:line="240" w:lineRule="auto"/>
              <w:jc w:val="center"/>
              <w:rPr>
                <w:rFonts w:ascii="仿宋_GB2312" w:eastAsia="仿宋_GB2312"/>
                <w:kern w:val="0"/>
              </w:rPr>
            </w:pPr>
            <w:r>
              <w:rPr>
                <w:rFonts w:hint="eastAsia" w:ascii="仿宋_GB2312" w:eastAsia="仿宋_GB2312"/>
                <w:kern w:val="0"/>
                <w:lang w:val="en-US" w:eastAsia="zh-CN"/>
              </w:rPr>
              <w:t>20</w:t>
            </w:r>
          </w:p>
        </w:tc>
        <w:tc>
          <w:tcPr>
            <w:tcW w:w="1423" w:type="dxa"/>
            <w:vAlign w:val="center"/>
          </w:tcPr>
          <w:p w14:paraId="0F79A5E1">
            <w:pPr>
              <w:spacing w:line="240" w:lineRule="auto"/>
              <w:ind w:firstLine="420"/>
              <w:jc w:val="center"/>
              <w:rPr>
                <w:rFonts w:hint="default" w:ascii="仿宋_GB2312" w:eastAsia="仿宋_GB2312"/>
                <w:kern w:val="0"/>
                <w:lang w:val="en-US" w:eastAsia="zh-CN"/>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77A8A774">
      <w:pPr>
        <w:spacing w:line="267" w:lineRule="auto"/>
        <w:ind w:firstLine="552"/>
        <w:jc w:val="both"/>
        <w:rPr>
          <w:rFonts w:hint="eastAsia" w:ascii="宋体" w:hAnsi="宋体" w:eastAsia="宋体" w:cs="宋体"/>
          <w:bCs/>
          <w:spacing w:val="-4"/>
          <w:kern w:val="0"/>
          <w:sz w:val="28"/>
          <w:szCs w:val="28"/>
          <w:lang w:eastAsia="zh-CN"/>
        </w:rPr>
      </w:pPr>
    </w:p>
    <w:p w14:paraId="05C06AA8">
      <w:pPr>
        <w:spacing w:line="267" w:lineRule="auto"/>
        <w:ind w:firstLine="552"/>
        <w:jc w:val="both"/>
        <w:rPr>
          <w:rFonts w:hint="eastAsia" w:ascii="宋体" w:hAnsi="宋体" w:eastAsia="宋体" w:cs="宋体"/>
          <w:bCs/>
          <w:spacing w:val="-4"/>
          <w:kern w:val="0"/>
          <w:sz w:val="28"/>
          <w:szCs w:val="28"/>
          <w:lang w:eastAsia="zh-CN"/>
        </w:rPr>
      </w:pPr>
    </w:p>
    <w:p w14:paraId="66081C72">
      <w:pPr>
        <w:spacing w:line="267" w:lineRule="auto"/>
        <w:ind w:firstLine="552"/>
        <w:jc w:val="both"/>
        <w:rPr>
          <w:rFonts w:hint="eastAsia" w:ascii="宋体" w:hAnsi="宋体" w:eastAsia="宋体" w:cs="宋体"/>
          <w:bCs/>
          <w:spacing w:val="-4"/>
          <w:kern w:val="0"/>
          <w:sz w:val="28"/>
          <w:szCs w:val="28"/>
          <w:lang w:eastAsia="zh-CN"/>
        </w:rPr>
      </w:pPr>
    </w:p>
    <w:p w14:paraId="571EC93E">
      <w:pPr>
        <w:spacing w:line="267" w:lineRule="auto"/>
        <w:ind w:firstLine="552"/>
        <w:jc w:val="both"/>
        <w:rPr>
          <w:rFonts w:hint="eastAsia" w:ascii="宋体" w:hAnsi="宋体" w:eastAsia="宋体" w:cs="宋体"/>
          <w:bCs/>
          <w:spacing w:val="-4"/>
          <w:kern w:val="0"/>
          <w:sz w:val="28"/>
          <w:szCs w:val="28"/>
          <w:lang w:eastAsia="zh-CN"/>
        </w:rPr>
      </w:pPr>
    </w:p>
    <w:p w14:paraId="699E066D">
      <w:pPr>
        <w:spacing w:line="267" w:lineRule="auto"/>
        <w:ind w:firstLine="552"/>
        <w:jc w:val="both"/>
        <w:rPr>
          <w:rFonts w:hint="eastAsia" w:ascii="宋体" w:hAnsi="宋体" w:eastAsia="宋体" w:cs="宋体"/>
          <w:bCs/>
          <w:spacing w:val="-4"/>
          <w:kern w:val="0"/>
          <w:sz w:val="28"/>
          <w:szCs w:val="28"/>
          <w:lang w:eastAsia="zh-CN"/>
        </w:rPr>
      </w:pPr>
    </w:p>
    <w:p w14:paraId="4AC74472">
      <w:pPr>
        <w:spacing w:line="267" w:lineRule="auto"/>
        <w:ind w:firstLine="552"/>
        <w:jc w:val="both"/>
        <w:rPr>
          <w:rFonts w:hint="eastAsia" w:ascii="宋体" w:hAnsi="宋体" w:eastAsia="宋体" w:cs="宋体"/>
          <w:bCs/>
          <w:spacing w:val="-4"/>
          <w:kern w:val="0"/>
          <w:sz w:val="28"/>
          <w:szCs w:val="28"/>
          <w:lang w:eastAsia="zh-CN"/>
        </w:rPr>
      </w:pPr>
    </w:p>
    <w:p w14:paraId="4523D016">
      <w:pPr>
        <w:spacing w:line="267" w:lineRule="auto"/>
        <w:ind w:firstLine="552"/>
        <w:jc w:val="both"/>
        <w:rPr>
          <w:rFonts w:hint="eastAsia" w:ascii="宋体" w:hAnsi="宋体" w:eastAsia="宋体" w:cs="宋体"/>
          <w:bCs/>
          <w:spacing w:val="-4"/>
          <w:kern w:val="0"/>
          <w:sz w:val="28"/>
          <w:szCs w:val="28"/>
          <w:lang w:eastAsia="zh-CN"/>
        </w:rPr>
      </w:pPr>
    </w:p>
    <w:p w14:paraId="3A4EB88E">
      <w:pPr>
        <w:spacing w:line="267" w:lineRule="auto"/>
        <w:ind w:firstLine="552"/>
        <w:jc w:val="both"/>
        <w:rPr>
          <w:rFonts w:hint="eastAsia" w:ascii="宋体" w:hAnsi="宋体" w:eastAsia="宋体" w:cs="宋体"/>
          <w:bCs/>
          <w:spacing w:val="-4"/>
          <w:kern w:val="0"/>
          <w:sz w:val="28"/>
          <w:szCs w:val="28"/>
          <w:lang w:eastAsia="zh-CN"/>
        </w:rPr>
      </w:pPr>
    </w:p>
    <w:p w14:paraId="305BB543">
      <w:pPr>
        <w:spacing w:line="267" w:lineRule="auto"/>
        <w:ind w:firstLine="552"/>
        <w:jc w:val="both"/>
        <w:rPr>
          <w:rFonts w:hint="eastAsia" w:ascii="宋体" w:hAnsi="宋体" w:eastAsia="宋体" w:cs="宋体"/>
          <w:bCs/>
          <w:spacing w:val="-4"/>
          <w:kern w:val="0"/>
          <w:sz w:val="28"/>
          <w:szCs w:val="28"/>
          <w:lang w:eastAsia="zh-CN"/>
        </w:rPr>
      </w:pPr>
    </w:p>
    <w:p w14:paraId="23463F2A">
      <w:pPr>
        <w:spacing w:line="267" w:lineRule="auto"/>
        <w:ind w:firstLine="552"/>
        <w:jc w:val="both"/>
        <w:rPr>
          <w:rFonts w:hint="eastAsia" w:ascii="宋体" w:hAnsi="宋体" w:eastAsia="宋体" w:cs="宋体"/>
          <w:bCs/>
          <w:spacing w:val="-4"/>
          <w:kern w:val="0"/>
          <w:sz w:val="28"/>
          <w:szCs w:val="28"/>
          <w:lang w:eastAsia="zh-CN"/>
        </w:rPr>
      </w:pPr>
    </w:p>
    <w:p w14:paraId="57230E92">
      <w:pPr>
        <w:spacing w:line="267" w:lineRule="auto"/>
        <w:ind w:firstLine="552"/>
        <w:jc w:val="both"/>
        <w:rPr>
          <w:rFonts w:hint="eastAsia" w:ascii="宋体" w:hAnsi="宋体" w:eastAsia="宋体" w:cs="宋体"/>
          <w:bCs/>
          <w:spacing w:val="-4"/>
          <w:kern w:val="0"/>
          <w:sz w:val="28"/>
          <w:szCs w:val="28"/>
          <w:lang w:eastAsia="zh-CN"/>
        </w:rPr>
      </w:pPr>
    </w:p>
    <w:p w14:paraId="2445826D">
      <w:pPr>
        <w:spacing w:line="267" w:lineRule="auto"/>
        <w:ind w:firstLine="552"/>
        <w:jc w:val="both"/>
        <w:rPr>
          <w:rFonts w:hint="eastAsia" w:ascii="宋体" w:hAnsi="宋体" w:eastAsia="宋体" w:cs="宋体"/>
          <w:bCs/>
          <w:spacing w:val="-4"/>
          <w:kern w:val="0"/>
          <w:sz w:val="28"/>
          <w:szCs w:val="28"/>
          <w:lang w:eastAsia="zh-CN"/>
        </w:rPr>
      </w:pPr>
    </w:p>
    <w:p w14:paraId="7A0BEB5C">
      <w:pPr>
        <w:spacing w:line="267" w:lineRule="auto"/>
        <w:ind w:firstLine="552"/>
        <w:jc w:val="both"/>
        <w:rPr>
          <w:rFonts w:hint="eastAsia" w:ascii="宋体" w:hAnsi="宋体" w:eastAsia="宋体" w:cs="宋体"/>
          <w:bCs/>
          <w:spacing w:val="-4"/>
          <w:kern w:val="0"/>
          <w:sz w:val="28"/>
          <w:szCs w:val="28"/>
          <w:lang w:eastAsia="zh-CN"/>
        </w:rPr>
      </w:pPr>
    </w:p>
    <w:p w14:paraId="6FA99E81">
      <w:pPr>
        <w:spacing w:line="267" w:lineRule="auto"/>
        <w:ind w:firstLine="552"/>
        <w:jc w:val="both"/>
        <w:rPr>
          <w:rFonts w:hint="eastAsia" w:ascii="宋体" w:hAnsi="宋体" w:eastAsia="宋体" w:cs="宋体"/>
          <w:bCs/>
          <w:spacing w:val="-4"/>
          <w:kern w:val="0"/>
          <w:sz w:val="28"/>
          <w:szCs w:val="28"/>
          <w:lang w:eastAsia="zh-CN"/>
        </w:rPr>
      </w:pPr>
    </w:p>
    <w:p w14:paraId="348B4D79">
      <w:pPr>
        <w:spacing w:line="267" w:lineRule="auto"/>
        <w:ind w:firstLine="552"/>
        <w:jc w:val="both"/>
        <w:rPr>
          <w:rFonts w:hint="eastAsia" w:ascii="宋体" w:hAnsi="宋体" w:eastAsia="宋体" w:cs="宋体"/>
          <w:bCs/>
          <w:spacing w:val="-4"/>
          <w:kern w:val="0"/>
          <w:sz w:val="28"/>
          <w:szCs w:val="28"/>
          <w:lang w:eastAsia="zh-CN"/>
        </w:rPr>
      </w:pPr>
    </w:p>
    <w:p w14:paraId="62C2CFE9">
      <w:pPr>
        <w:spacing w:line="267" w:lineRule="auto"/>
        <w:ind w:firstLine="552"/>
        <w:jc w:val="both"/>
        <w:rPr>
          <w:rFonts w:hint="eastAsia" w:ascii="宋体" w:hAnsi="宋体" w:eastAsia="宋体" w:cs="宋体"/>
          <w:bCs/>
          <w:spacing w:val="-4"/>
          <w:kern w:val="0"/>
          <w:sz w:val="28"/>
          <w:szCs w:val="28"/>
          <w:lang w:eastAsia="zh-CN"/>
        </w:rPr>
      </w:pPr>
    </w:p>
    <w:p w14:paraId="12FA639F">
      <w:pPr>
        <w:spacing w:line="267" w:lineRule="auto"/>
        <w:ind w:firstLine="552"/>
        <w:jc w:val="both"/>
        <w:rPr>
          <w:rFonts w:hint="eastAsia" w:ascii="宋体" w:hAnsi="宋体" w:eastAsia="宋体" w:cs="宋体"/>
          <w:bCs/>
          <w:spacing w:val="-4"/>
          <w:kern w:val="0"/>
          <w:sz w:val="28"/>
          <w:szCs w:val="28"/>
          <w:lang w:eastAsia="zh-CN"/>
        </w:rPr>
      </w:pPr>
    </w:p>
    <w:p w14:paraId="67981959">
      <w:pPr>
        <w:spacing w:line="267" w:lineRule="auto"/>
        <w:ind w:firstLine="552"/>
        <w:jc w:val="both"/>
        <w:rPr>
          <w:rFonts w:hint="eastAsia" w:ascii="宋体" w:hAnsi="宋体" w:eastAsia="宋体" w:cs="宋体"/>
          <w:bCs/>
          <w:spacing w:val="-4"/>
          <w:kern w:val="0"/>
          <w:sz w:val="28"/>
          <w:szCs w:val="28"/>
          <w:lang w:eastAsia="zh-CN"/>
        </w:rPr>
      </w:pPr>
    </w:p>
    <w:p w14:paraId="34AE6043">
      <w:pPr>
        <w:spacing w:line="267" w:lineRule="auto"/>
        <w:ind w:firstLine="552"/>
        <w:jc w:val="both"/>
        <w:rPr>
          <w:rFonts w:hint="eastAsia" w:ascii="宋体" w:hAnsi="宋体" w:eastAsia="宋体" w:cs="宋体"/>
          <w:bCs/>
          <w:spacing w:val="-4"/>
          <w:kern w:val="0"/>
          <w:sz w:val="28"/>
          <w:szCs w:val="28"/>
          <w:lang w:eastAsia="zh-CN"/>
        </w:rPr>
      </w:pPr>
    </w:p>
    <w:p w14:paraId="4556BE02">
      <w:pPr>
        <w:spacing w:line="267" w:lineRule="auto"/>
        <w:ind w:firstLine="552"/>
        <w:jc w:val="both"/>
        <w:rPr>
          <w:rFonts w:hint="eastAsia" w:ascii="宋体" w:hAnsi="宋体" w:eastAsia="宋体" w:cs="宋体"/>
          <w:bCs/>
          <w:spacing w:val="-4"/>
          <w:kern w:val="0"/>
          <w:sz w:val="28"/>
          <w:szCs w:val="28"/>
          <w:lang w:eastAsia="zh-CN"/>
        </w:rPr>
      </w:pPr>
    </w:p>
    <w:p w14:paraId="54E8F823">
      <w:pPr>
        <w:spacing w:line="267" w:lineRule="auto"/>
        <w:ind w:firstLine="552"/>
        <w:jc w:val="both"/>
        <w:rPr>
          <w:rFonts w:hint="eastAsia" w:ascii="宋体" w:hAnsi="宋体" w:eastAsia="宋体" w:cs="宋体"/>
          <w:bCs/>
          <w:spacing w:val="-4"/>
          <w:kern w:val="0"/>
          <w:sz w:val="28"/>
          <w:szCs w:val="28"/>
          <w:lang w:eastAsia="zh-CN"/>
        </w:rPr>
      </w:pPr>
    </w:p>
    <w:p w14:paraId="6728AF27">
      <w:pPr>
        <w:spacing w:line="267" w:lineRule="auto"/>
        <w:ind w:firstLine="552"/>
        <w:jc w:val="both"/>
        <w:rPr>
          <w:rFonts w:hint="eastAsia" w:ascii="宋体" w:hAnsi="宋体" w:eastAsia="宋体" w:cs="宋体"/>
          <w:bCs/>
          <w:spacing w:val="-4"/>
          <w:kern w:val="0"/>
          <w:sz w:val="28"/>
          <w:szCs w:val="28"/>
          <w:lang w:eastAsia="zh-CN"/>
        </w:rPr>
      </w:pPr>
    </w:p>
    <w:p w14:paraId="31932CB1">
      <w:pPr>
        <w:spacing w:line="267" w:lineRule="auto"/>
        <w:ind w:firstLine="552"/>
        <w:jc w:val="both"/>
        <w:rPr>
          <w:rFonts w:hint="eastAsia" w:ascii="宋体" w:hAnsi="宋体" w:eastAsia="宋体" w:cs="宋体"/>
          <w:bCs/>
          <w:spacing w:val="-4"/>
          <w:kern w:val="0"/>
          <w:sz w:val="28"/>
          <w:szCs w:val="28"/>
          <w:lang w:eastAsia="zh-CN"/>
        </w:rPr>
      </w:pPr>
    </w:p>
    <w:p w14:paraId="75A76712">
      <w:pPr>
        <w:spacing w:line="267" w:lineRule="auto"/>
        <w:ind w:firstLine="552"/>
        <w:jc w:val="both"/>
        <w:rPr>
          <w:rFonts w:hint="eastAsia" w:ascii="宋体" w:hAnsi="宋体" w:eastAsia="宋体" w:cs="宋体"/>
          <w:bCs/>
          <w:spacing w:val="-4"/>
          <w:kern w:val="0"/>
          <w:sz w:val="28"/>
          <w:szCs w:val="28"/>
          <w:lang w:eastAsia="zh-CN"/>
        </w:rPr>
      </w:pPr>
    </w:p>
    <w:p w14:paraId="3B7ABAD5">
      <w:pPr>
        <w:spacing w:line="267" w:lineRule="auto"/>
        <w:ind w:firstLine="552"/>
        <w:jc w:val="both"/>
        <w:rPr>
          <w:rFonts w:hint="eastAsia" w:ascii="宋体" w:hAnsi="宋体" w:eastAsia="宋体" w:cs="宋体"/>
          <w:bCs/>
          <w:spacing w:val="-4"/>
          <w:kern w:val="0"/>
          <w:sz w:val="28"/>
          <w:szCs w:val="28"/>
          <w:lang w:eastAsia="zh-CN"/>
        </w:rPr>
      </w:pPr>
    </w:p>
    <w:p w14:paraId="54A4074F">
      <w:pPr>
        <w:spacing w:line="267" w:lineRule="auto"/>
        <w:ind w:firstLine="552"/>
        <w:jc w:val="both"/>
        <w:rPr>
          <w:rFonts w:hint="eastAsia" w:ascii="宋体" w:hAnsi="宋体" w:eastAsia="宋体" w:cs="宋体"/>
          <w:bCs/>
          <w:spacing w:val="-4"/>
          <w:kern w:val="0"/>
          <w:sz w:val="28"/>
          <w:szCs w:val="28"/>
          <w:lang w:eastAsia="zh-CN"/>
        </w:rPr>
      </w:pPr>
    </w:p>
    <w:p w14:paraId="3B22214C">
      <w:pPr>
        <w:spacing w:line="267" w:lineRule="auto"/>
        <w:ind w:firstLine="552"/>
        <w:jc w:val="both"/>
        <w:rPr>
          <w:rFonts w:hint="eastAsia" w:ascii="宋体" w:hAnsi="宋体" w:eastAsia="宋体" w:cs="宋体"/>
          <w:bCs/>
          <w:spacing w:val="-4"/>
          <w:kern w:val="0"/>
          <w:sz w:val="28"/>
          <w:szCs w:val="28"/>
          <w:lang w:eastAsia="zh-CN"/>
        </w:rPr>
      </w:pPr>
    </w:p>
    <w:p w14:paraId="6F91748F">
      <w:pPr>
        <w:spacing w:line="267" w:lineRule="auto"/>
        <w:ind w:firstLine="552"/>
        <w:jc w:val="both"/>
        <w:rPr>
          <w:rFonts w:hint="eastAsia" w:ascii="宋体" w:hAnsi="宋体" w:eastAsia="宋体" w:cs="宋体"/>
          <w:bCs/>
          <w:spacing w:val="-4"/>
          <w:kern w:val="0"/>
          <w:sz w:val="28"/>
          <w:szCs w:val="28"/>
          <w:lang w:eastAsia="zh-CN"/>
        </w:rPr>
      </w:pPr>
    </w:p>
    <w:p w14:paraId="7CA3B564">
      <w:pPr>
        <w:spacing w:line="267" w:lineRule="auto"/>
        <w:ind w:firstLine="552"/>
        <w:jc w:val="both"/>
        <w:rPr>
          <w:rFonts w:hint="eastAsia" w:ascii="宋体" w:hAnsi="宋体" w:eastAsia="宋体" w:cs="宋体"/>
          <w:bCs/>
          <w:spacing w:val="-4"/>
          <w:kern w:val="0"/>
          <w:sz w:val="28"/>
          <w:szCs w:val="28"/>
          <w:lang w:eastAsia="zh-CN"/>
        </w:r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汨罗市工信局</w:t>
      </w:r>
      <w:r>
        <w:rPr>
          <w:rFonts w:hint="eastAsia" w:ascii="方正小标宋简体" w:hAnsi="宋体" w:eastAsia="方正小标宋简体" w:cs="宋体"/>
          <w:kern w:val="0"/>
          <w:sz w:val="44"/>
          <w:szCs w:val="44"/>
          <w:lang w:eastAsia="zh-CN"/>
        </w:rPr>
        <w:t>部门整体支出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年度</w:t>
      </w:r>
      <w:r>
        <w:rPr>
          <w:rFonts w:hint="eastAsia" w:ascii="方正小标宋简体" w:eastAsia="方正小标宋简体"/>
          <w:kern w:val="0"/>
          <w:sz w:val="44"/>
          <w:szCs w:val="44"/>
          <w:lang w:val="en-US" w:eastAsia="zh-CN"/>
        </w:rPr>
        <w:t>汨罗市工信局</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AB95799">
      <w:pPr>
        <w:numPr>
          <w:ilvl w:val="0"/>
          <w:numId w:val="2"/>
        </w:numPr>
        <w:kinsoku w:val="0"/>
        <w:autoSpaceDE w:val="0"/>
        <w:autoSpaceDN w:val="0"/>
        <w:adjustRightInd w:val="0"/>
        <w:snapToGrid w:val="0"/>
        <w:spacing w:before="211" w:line="224" w:lineRule="auto"/>
        <w:ind w:left="378" w:leftChars="0" w:firstLine="0" w:firstLineChars="0"/>
        <w:jc w:val="both"/>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职能职责</w:t>
      </w:r>
    </w:p>
    <w:p w14:paraId="4F1BD356">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 1、负责全市工业经济的日常运行调节，编制并组织实施近期工业经济运行调控目标、政策和措施；监测分析近期工业经济运行态势，统计并发布相关信息，进行预测预警和信息引导，协调解决经济运行中的突出矛盾和问题并提出政策建议。 </w:t>
      </w:r>
    </w:p>
    <w:p w14:paraId="1FEF20D2">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2、拟订全市新型工业化的发展战略、规划和相关政策措施并组织实施；负责组织、协调全县培育发展战略性新兴产业工作；综合管理全县工业经济，指导、协调和服务工业企业；推进信息化和工业化融合。</w:t>
      </w:r>
    </w:p>
    <w:p w14:paraId="3AD96A9D">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拟订并组织实施工业、信息化的发展专项规划，贯彻落实国家和省、市产业政策；拟订优化产业结构和产品结构的地方配套政策措施，并监督检查执行情况；研究和规划全县工业产业投资布局；负责工业与信息化领域的产业安全和应急管理工作，协调处理重大安全事故。</w:t>
      </w:r>
    </w:p>
    <w:p w14:paraId="5CC68637">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4、对涉及工业和信息化领域相关法律法规的执法情况进行监督检查；协调减轻企业负担工作。</w:t>
      </w:r>
    </w:p>
    <w:p w14:paraId="051120F1">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组织拟订全市工业企业技术进步的发展战略、规划并组织实施；编制和组织实施技术改造规划，提出工业和信息化固定资产投资规模和方向；负责工业领域招商引资工作，抓好重大工业项目的督查与协调；推进企业技术创新体系建设，指导行业技术创新和技术进步，以先进适用技术改造提升传统产业，推进产学研结合和科研成果产业化。</w:t>
      </w:r>
    </w:p>
    <w:p w14:paraId="64860B09">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6、制定中小企业发展战略、中长期发展规划并组织实施；指导中小企业加强管理；推进中小企业服务体系建设，做好中小企业融资和融资担保服务与协调工作；指导中小企业法律顾问工作；推进全民创业。</w:t>
      </w:r>
    </w:p>
    <w:p w14:paraId="628C5958">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7、负责工业节能工作，参与拟订能源节能和资源综合利用规划；承担工业企业的节能考核和监察工作；组织推进清洁生产工作；组织协调相关重大示范工程和相关新产品、新技术、新设备、新材料的推广应用。</w:t>
      </w:r>
    </w:p>
    <w:p w14:paraId="0C90A893">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8、综合协调工业经济运行中与铁路、公路、水运、管理运输以及通信、邮政有关的重大问题；负责经济运行保障要素的综合协调工作；指导生产企业物流外包，促进企业内部物流社会化。</w:t>
      </w:r>
    </w:p>
    <w:p w14:paraId="0416A4DD">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9、组织拟订全县信息化发展战略、专项规划及相关政策，协调解决相关问题。</w:t>
      </w:r>
    </w:p>
    <w:p w14:paraId="3F7D1282">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10、制定全县信息安全发展战略、规划、指导、协调信息安全保障体系建设；指导监督政府单位、重点行业重要信息系统与基础信息网络的安全保障，协助处理网络与信息安全的重大事件。</w:t>
      </w:r>
    </w:p>
    <w:p w14:paraId="7484A477">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11、根据国家和省市统一规划，协调全县公用通信网、互联网、广播电视网和其他专用通信网的规划和建设，促进网络资源共享；依法监督管理信息服务市场。</w:t>
      </w:r>
    </w:p>
    <w:p w14:paraId="0A8A3AC8">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12、负责推动软件业及信息服务业发展；组织制订软件业和信息服务业发展战略、专项规划及相关政策，协调解决重大问题，推动软件公共服务体系建设，推进软件服务外包；指导、协调技术开发和相关产业发展。</w:t>
      </w:r>
    </w:p>
    <w:p w14:paraId="1E66E3CF">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13、指导全市工业、信息化领域人才开发与培训工作；开展人才和智力对外合作交流。</w:t>
      </w:r>
    </w:p>
    <w:p w14:paraId="36B8969B">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14、承办市委、市人民政府交办的其他事项。</w:t>
      </w:r>
    </w:p>
    <w:p w14:paraId="31C7098B">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（二）机构设置 </w:t>
      </w:r>
    </w:p>
    <w:p w14:paraId="09710830">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我单位为财政全额拨款单位,根据编委核定内设办公室、人事股、财务股、安全生产股、法规股、经济运行股、投资规划股、中小企业股、信息化推进股、纪检监察室及联合工会。</w:t>
      </w:r>
    </w:p>
    <w:p w14:paraId="37D27A50">
      <w:pPr>
        <w:numPr>
          <w:ilvl w:val="0"/>
          <w:numId w:val="0"/>
        </w:numPr>
        <w:kinsoku w:val="0"/>
        <w:autoSpaceDE w:val="0"/>
        <w:autoSpaceDN w:val="0"/>
        <w:adjustRightInd w:val="0"/>
        <w:snapToGrid w:val="0"/>
        <w:spacing w:before="211" w:line="224" w:lineRule="auto"/>
        <w:ind w:firstLine="640" w:firstLineChars="200"/>
        <w:jc w:val="both"/>
        <w:textAlignment w:val="baseline"/>
        <w:rPr>
          <w:rFonts w:hint="default" w:ascii="仿宋" w:hAnsi="仿宋" w:eastAsia="仿宋" w:cs="仿宋"/>
          <w:color w:val="auto"/>
          <w:kern w:val="0"/>
          <w:sz w:val="32"/>
          <w:szCs w:val="32"/>
          <w:lang w:val="en-US" w:eastAsia="zh-CN"/>
        </w:rPr>
      </w:pPr>
    </w:p>
    <w:p w14:paraId="26EA9F2A">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方正黑体_GBK" w:eastAsia="方正黑体_GBK"/>
          <w:kern w:val="0"/>
          <w:sz w:val="32"/>
          <w:szCs w:val="32"/>
          <w:lang w:eastAsia="zh-CN"/>
        </w:rPr>
      </w:pPr>
    </w:p>
    <w:p w14:paraId="2B641025">
      <w:pPr>
        <w:numPr>
          <w:ilvl w:val="0"/>
          <w:numId w:val="0"/>
        </w:numPr>
        <w:kinsoku w:val="0"/>
        <w:autoSpaceDE w:val="0"/>
        <w:autoSpaceDN w:val="0"/>
        <w:adjustRightInd w:val="0"/>
        <w:snapToGrid w:val="0"/>
        <w:spacing w:before="211" w:line="224" w:lineRule="auto"/>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0450F6DC">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5A5F14D">
      <w:pPr>
        <w:pStyle w:val="10"/>
        <w:spacing w:line="600" w:lineRule="exact"/>
        <w:ind w:firstLine="643"/>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2023年本部门基本支出543.27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14:paraId="5EDD06C7">
      <w:pPr>
        <w:pStyle w:val="10"/>
        <w:numPr>
          <w:ilvl w:val="0"/>
          <w:numId w:val="2"/>
        </w:numPr>
        <w:spacing w:line="600" w:lineRule="exact"/>
        <w:ind w:left="378" w:leftChars="0" w:firstLine="0" w:firstLineChars="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516D3C52">
      <w:pPr>
        <w:spacing w:line="600" w:lineRule="exact"/>
        <w:ind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2023年本部门项目支出5216.2万元，主要是部门为完成特定行政工作任务或事业发展目标而发生的支出。</w:t>
      </w:r>
    </w:p>
    <w:p w14:paraId="6892DAA6">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39B000D8">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本单位本年度政府性基金预算支出为0万元。</w:t>
      </w:r>
    </w:p>
    <w:p w14:paraId="2A755169">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56AAA268">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14:paraId="07F1EBC0">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5681756F">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312F1FFD">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单位开展整体支出绩效评价，涉及一般公共预算支出</w:t>
      </w:r>
      <w:r>
        <w:rPr>
          <w:rFonts w:hint="eastAsia" w:ascii="仿宋" w:hAnsi="仿宋" w:eastAsia="仿宋" w:cs="仿宋"/>
          <w:snapToGrid w:val="0"/>
          <w:color w:val="000000"/>
          <w:kern w:val="0"/>
          <w:sz w:val="32"/>
          <w:szCs w:val="32"/>
          <w:lang w:val="en-US" w:eastAsia="zh-CN" w:bidi="ar-SA"/>
        </w:rPr>
        <w:t>5216.2</w:t>
      </w:r>
      <w:bookmarkStart w:id="0" w:name="_GoBack"/>
      <w:bookmarkEnd w:id="0"/>
      <w:r>
        <w:rPr>
          <w:rFonts w:hint="eastAsia" w:ascii="Times New Roman" w:hAnsi="Times New Roman" w:eastAsia="仿宋_GB2312"/>
          <w:kern w:val="0"/>
          <w:sz w:val="32"/>
          <w:szCs w:val="32"/>
          <w:lang w:eastAsia="zh-CN"/>
        </w:rPr>
        <w:t>万元，政府性基金预算支出</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lang w:eastAsia="zh-CN"/>
        </w:rPr>
        <w:t>万元。从评价情况来看，全年预计完成规模工业总产值1160亿元，同比增长14.8%，约占岳阳市同期规模工业总产值的16%；预计规模工业增加值增速7.5%。全年预计完成工业投资198亿元，同比增长11%；预计完成工业技改投资138亿元，同比增长10%。</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2BFCD2A8">
      <w:pPr>
        <w:pStyle w:val="10"/>
        <w:widowControl/>
        <w:numPr>
          <w:ilvl w:val="0"/>
          <w:numId w:val="0"/>
        </w:numPr>
        <w:spacing w:line="54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当前本单位财政仍然面临着不少困难和问题。主要表现在：一是预算执行不够均衡。目前，预算支出执行进度不均衡，个别项目支出安排不够准确，部分项目前期准备不够充分；二是部分财政专项资金的使用效益不高。在支出规模扩大、保障范围拓展的情况下，监管力量不足，造成资金使用的效益较低。</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3DECC7FF">
      <w:pPr>
        <w:widowControl/>
        <w:spacing w:line="540" w:lineRule="exact"/>
        <w:ind w:firstLine="640" w:firstLineChars="200"/>
        <w:jc w:val="left"/>
        <w:rPr>
          <w:rFonts w:hint="eastAsia" w:ascii="仿宋" w:hAnsi="仿宋" w:eastAsia="仿宋" w:cs="仿宋"/>
          <w:sz w:val="32"/>
          <w:szCs w:val="32"/>
        </w:rPr>
      </w:pPr>
      <w:r>
        <w:rPr>
          <w:rFonts w:hint="eastAsia" w:ascii="方正黑体_GBK" w:eastAsia="方正黑体_GBK"/>
          <w:kern w:val="0"/>
          <w:sz w:val="32"/>
          <w:szCs w:val="32"/>
          <w:lang w:val="en-US" w:eastAsia="zh-CN"/>
        </w:rPr>
        <w:t xml:space="preserve"> </w:t>
      </w:r>
      <w:r>
        <w:rPr>
          <w:rFonts w:hint="eastAsia" w:ascii="仿宋" w:hAnsi="仿宋" w:eastAsia="仿宋" w:cs="仿宋"/>
          <w:sz w:val="32"/>
          <w:szCs w:val="32"/>
        </w:rPr>
        <w:t>1.加强组织领导，完善工作机制，大力推进改革创新，全面提高办学质量，落实经济社会</w:t>
      </w:r>
      <w:r>
        <w:rPr>
          <w:rFonts w:hint="eastAsia" w:ascii="仿宋" w:hAnsi="仿宋" w:eastAsia="仿宋" w:cs="仿宋"/>
          <w:sz w:val="32"/>
          <w:szCs w:val="32"/>
          <w:lang w:val="en-US" w:eastAsia="zh-CN"/>
        </w:rPr>
        <w:t>需要</w:t>
      </w:r>
      <w:r>
        <w:rPr>
          <w:rFonts w:hint="eastAsia" w:ascii="仿宋" w:hAnsi="仿宋" w:eastAsia="仿宋" w:cs="仿宋"/>
          <w:sz w:val="32"/>
          <w:szCs w:val="32"/>
        </w:rPr>
        <w:t>。</w:t>
      </w:r>
    </w:p>
    <w:p w14:paraId="13BB99BC">
      <w:pPr>
        <w:widowControl/>
        <w:spacing w:line="540" w:lineRule="exact"/>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rPr>
        <w:t>2.加强管理，做好基础工作，进一步完善信息管理系统，</w:t>
      </w:r>
      <w:r>
        <w:rPr>
          <w:rFonts w:hint="eastAsia" w:ascii="仿宋" w:hAnsi="仿宋" w:eastAsia="仿宋" w:cs="仿宋"/>
          <w:sz w:val="32"/>
          <w:szCs w:val="32"/>
          <w:lang w:val="en-US" w:eastAsia="zh-CN"/>
        </w:rPr>
        <w:t>为单位</w:t>
      </w:r>
      <w:r>
        <w:rPr>
          <w:rFonts w:hint="eastAsia" w:ascii="仿宋" w:hAnsi="仿宋" w:eastAsia="仿宋" w:cs="仿宋"/>
          <w:sz w:val="32"/>
          <w:szCs w:val="32"/>
          <w:highlight w:val="none"/>
          <w:lang w:val="en-US" w:eastAsia="zh-CN"/>
        </w:rPr>
        <w:t>运行稳定保驾护航</w:t>
      </w:r>
      <w:r>
        <w:rPr>
          <w:rFonts w:hint="eastAsia" w:ascii="仿宋" w:hAnsi="仿宋" w:eastAsia="仿宋" w:cs="仿宋"/>
          <w:sz w:val="32"/>
          <w:szCs w:val="32"/>
          <w:highlight w:val="none"/>
        </w:rPr>
        <w:t>。</w:t>
      </w:r>
    </w:p>
    <w:p w14:paraId="75217A0E">
      <w:pPr>
        <w:pStyle w:val="10"/>
        <w:widowControl/>
        <w:numPr>
          <w:ilvl w:val="0"/>
          <w:numId w:val="0"/>
        </w:numPr>
        <w:spacing w:line="54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sz w:val="32"/>
          <w:szCs w:val="32"/>
          <w:highlight w:val="none"/>
        </w:rPr>
        <w:t>3.落实经费责任，强化资金管理，提高专项资金专款专用意识，规范使用，确保资金安全有效</w:t>
      </w:r>
      <w:r>
        <w:rPr>
          <w:rFonts w:hint="eastAsia" w:ascii="仿宋" w:hAnsi="仿宋" w:eastAsia="仿宋" w:cs="仿宋"/>
          <w:sz w:val="32"/>
          <w:szCs w:val="32"/>
          <w:highlight w:val="none"/>
          <w:lang w:eastAsia="zh-CN"/>
        </w:rPr>
        <w:t>；</w:t>
      </w:r>
      <w:r>
        <w:rPr>
          <w:rFonts w:hint="eastAsia" w:ascii="仿宋" w:hAnsi="仿宋" w:eastAsia="仿宋" w:cs="仿宋"/>
          <w:color w:val="auto"/>
          <w:kern w:val="2"/>
          <w:sz w:val="32"/>
          <w:szCs w:val="32"/>
          <w:lang w:val="en-US" w:eastAsia="zh-CN" w:bidi="ar-SA"/>
        </w:rPr>
        <w:t>整合监管力量，创新监管方式，提高财政资金的使用效率。</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5A837EA1">
      <w:pPr>
        <w:spacing w:line="60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16E20"/>
    <w:multiLevelType w:val="singleLevel"/>
    <w:tmpl w:val="8CD16E20"/>
    <w:lvl w:ilvl="0" w:tentative="0">
      <w:start w:val="8"/>
      <w:numFmt w:val="chineseCounting"/>
      <w:suff w:val="nothing"/>
      <w:lvlText w:val="%1、"/>
      <w:lvlJc w:val="left"/>
      <w:rPr>
        <w:rFonts w:hint="eastAsia"/>
      </w:rPr>
    </w:lvl>
  </w:abstractNum>
  <w:abstractNum w:abstractNumId="1">
    <w:nsid w:val="E27111A8"/>
    <w:multiLevelType w:val="singleLevel"/>
    <w:tmpl w:val="E27111A8"/>
    <w:lvl w:ilvl="0" w:tentative="0">
      <w:start w:val="4"/>
      <w:numFmt w:val="chineseCounting"/>
      <w:suff w:val="nothing"/>
      <w:lvlText w:val="%1、"/>
      <w:lvlJc w:val="left"/>
      <w:rPr>
        <w:rFonts w:hint="eastAsia"/>
      </w:rPr>
    </w:lvl>
  </w:abstractNum>
  <w:abstractNum w:abstractNumId="2">
    <w:nsid w:val="ECC8F5D2"/>
    <w:multiLevelType w:val="singleLevel"/>
    <w:tmpl w:val="ECC8F5D2"/>
    <w:lvl w:ilvl="0" w:tentative="0">
      <w:start w:val="1"/>
      <w:numFmt w:val="chineseCounting"/>
      <w:suff w:val="nothing"/>
      <w:lvlText w:val="（%1）"/>
      <w:lvlJc w:val="left"/>
      <w:pPr>
        <w:ind w:left="378" w:leftChars="0" w:firstLine="0" w:firstLineChars="0"/>
      </w:pPr>
      <w:rPr>
        <w:rFonts w:hint="eastAsia"/>
      </w:rPr>
    </w:lvl>
  </w:abstractNum>
  <w:abstractNum w:abstractNumId="3">
    <w:nsid w:val="1D2676F0"/>
    <w:multiLevelType w:val="singleLevel"/>
    <w:tmpl w:val="1D2676F0"/>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gxNjcyMjk0ZWZmMDMwMjAzMTEwZTliN2JlZWQzZGUifQ=="/>
  </w:docVars>
  <w:rsids>
    <w:rsidRoot w:val="00000000"/>
    <w:rsid w:val="01AF3811"/>
    <w:rsid w:val="03795BF7"/>
    <w:rsid w:val="048B7233"/>
    <w:rsid w:val="0668768A"/>
    <w:rsid w:val="070063C4"/>
    <w:rsid w:val="086E756B"/>
    <w:rsid w:val="0ACF37E5"/>
    <w:rsid w:val="0B400BC6"/>
    <w:rsid w:val="0D15754E"/>
    <w:rsid w:val="0D912454"/>
    <w:rsid w:val="0E68228D"/>
    <w:rsid w:val="11D57934"/>
    <w:rsid w:val="15276E52"/>
    <w:rsid w:val="17C07E11"/>
    <w:rsid w:val="17F3167D"/>
    <w:rsid w:val="19D32FBC"/>
    <w:rsid w:val="1B104A29"/>
    <w:rsid w:val="1B754A9E"/>
    <w:rsid w:val="1C8D5FA7"/>
    <w:rsid w:val="1D2574C2"/>
    <w:rsid w:val="1D512443"/>
    <w:rsid w:val="1E6A4395"/>
    <w:rsid w:val="25557A3D"/>
    <w:rsid w:val="26EA5ED7"/>
    <w:rsid w:val="27A93B82"/>
    <w:rsid w:val="2AE00186"/>
    <w:rsid w:val="2DA532B1"/>
    <w:rsid w:val="2E99131A"/>
    <w:rsid w:val="308216BE"/>
    <w:rsid w:val="34FE1149"/>
    <w:rsid w:val="396B54A9"/>
    <w:rsid w:val="3A550786"/>
    <w:rsid w:val="3B7A130F"/>
    <w:rsid w:val="3C155562"/>
    <w:rsid w:val="3D632551"/>
    <w:rsid w:val="3F890995"/>
    <w:rsid w:val="40FB7670"/>
    <w:rsid w:val="45FB1E51"/>
    <w:rsid w:val="480A47D3"/>
    <w:rsid w:val="4DD252B5"/>
    <w:rsid w:val="4E811C22"/>
    <w:rsid w:val="4F2D072E"/>
    <w:rsid w:val="4F7E1A87"/>
    <w:rsid w:val="4F8B6063"/>
    <w:rsid w:val="4F964B60"/>
    <w:rsid w:val="51767504"/>
    <w:rsid w:val="52BF6524"/>
    <w:rsid w:val="52FA3F96"/>
    <w:rsid w:val="541303D5"/>
    <w:rsid w:val="545522C5"/>
    <w:rsid w:val="55850F17"/>
    <w:rsid w:val="56EE4812"/>
    <w:rsid w:val="577B58B1"/>
    <w:rsid w:val="57AE6D93"/>
    <w:rsid w:val="5E3E0586"/>
    <w:rsid w:val="5FB623A7"/>
    <w:rsid w:val="5FEC15CA"/>
    <w:rsid w:val="62390258"/>
    <w:rsid w:val="63F97D12"/>
    <w:rsid w:val="671E0A12"/>
    <w:rsid w:val="67924D39"/>
    <w:rsid w:val="6E3851B0"/>
    <w:rsid w:val="6FCD36D6"/>
    <w:rsid w:val="76377AFB"/>
    <w:rsid w:val="7CCA3477"/>
    <w:rsid w:val="7D087678"/>
    <w:rsid w:val="7D1C6AAE"/>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3326</Words>
  <Characters>3625</Characters>
  <TotalTime>8</TotalTime>
  <ScaleCrop>false</ScaleCrop>
  <LinksUpToDate>false</LinksUpToDate>
  <CharactersWithSpaces>3724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2024-10-21T02:25:25Z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