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11"/>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61</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96.72%</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ascii="仿宋_GB2312" w:eastAsia="仿宋_GB2312"/>
                <w:kern w:val="0"/>
              </w:rPr>
            </w:pPr>
          </w:p>
        </w:tc>
        <w:tc>
          <w:tcPr>
            <w:tcW w:w="2039" w:type="dxa"/>
            <w:gridSpan w:val="2"/>
            <w:vAlign w:val="center"/>
          </w:tcPr>
          <w:p w14:paraId="1D6514EA">
            <w:pPr>
              <w:spacing w:line="240" w:lineRule="auto"/>
              <w:ind w:firstLine="420"/>
              <w:jc w:val="center"/>
              <w:rPr>
                <w:rFonts w:ascii="仿宋_GB2312" w:eastAsia="仿宋_GB2312"/>
                <w:kern w:val="0"/>
              </w:rPr>
            </w:pPr>
          </w:p>
        </w:tc>
        <w:tc>
          <w:tcPr>
            <w:tcW w:w="1983" w:type="dxa"/>
            <w:gridSpan w:val="2"/>
            <w:vAlign w:val="center"/>
          </w:tcPr>
          <w:p w14:paraId="7DFA6482">
            <w:pPr>
              <w:spacing w:line="240" w:lineRule="auto"/>
              <w:ind w:firstLine="420"/>
              <w:jc w:val="center"/>
              <w:rPr>
                <w:rFonts w:ascii="仿宋_GB2312" w:eastAsia="仿宋_GB2312"/>
                <w:kern w:val="0"/>
              </w:rPr>
            </w:pP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7474BB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71BD74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79420B7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0A16158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4D0A1ED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5A74074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402D38B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0229920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0.12</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5.8</w:t>
            </w:r>
          </w:p>
        </w:tc>
        <w:tc>
          <w:tcPr>
            <w:tcW w:w="1983" w:type="dxa"/>
            <w:gridSpan w:val="2"/>
            <w:vAlign w:val="center"/>
          </w:tcPr>
          <w:p w14:paraId="7985B41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12.52</w:t>
            </w: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w:t>
            </w:r>
          </w:p>
        </w:tc>
        <w:tc>
          <w:tcPr>
            <w:tcW w:w="1983" w:type="dxa"/>
            <w:gridSpan w:val="2"/>
            <w:vAlign w:val="center"/>
          </w:tcPr>
          <w:p w14:paraId="4D19413F">
            <w:pPr>
              <w:spacing w:line="240" w:lineRule="auto"/>
              <w:ind w:firstLine="420"/>
              <w:jc w:val="center"/>
              <w:rPr>
                <w:rFonts w:ascii="仿宋_GB2312" w:eastAsia="仿宋_GB2312"/>
                <w:kern w:val="0"/>
                <w:lang w:eastAsia="zh-CN"/>
              </w:rPr>
            </w:pPr>
            <w:r>
              <w:rPr>
                <w:rFonts w:hint="eastAsia" w:ascii="仿宋_GB2312" w:eastAsia="仿宋_GB2312"/>
                <w:kern w:val="0"/>
                <w:lang w:val="en-US" w:eastAsia="zh-CN"/>
              </w:rPr>
              <w:t>359.74</w:t>
            </w:r>
          </w:p>
        </w:tc>
      </w:tr>
      <w:tr w14:paraId="465CF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82CB4EF">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质量安全监督管理专项</w:t>
            </w:r>
          </w:p>
        </w:tc>
        <w:tc>
          <w:tcPr>
            <w:tcW w:w="2116" w:type="dxa"/>
            <w:gridSpan w:val="2"/>
            <w:vAlign w:val="center"/>
          </w:tcPr>
          <w:p w14:paraId="052302A8">
            <w:pPr>
              <w:spacing w:line="240" w:lineRule="auto"/>
              <w:ind w:firstLine="420"/>
              <w:jc w:val="center"/>
              <w:rPr>
                <w:rFonts w:ascii="仿宋_GB2312" w:eastAsia="仿宋_GB2312"/>
                <w:kern w:val="0"/>
                <w:lang w:eastAsia="zh-CN"/>
              </w:rPr>
            </w:pPr>
          </w:p>
        </w:tc>
        <w:tc>
          <w:tcPr>
            <w:tcW w:w="2039" w:type="dxa"/>
            <w:gridSpan w:val="2"/>
            <w:vAlign w:val="center"/>
          </w:tcPr>
          <w:p w14:paraId="1D63DAE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14:paraId="165B76A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r>
      <w:tr w14:paraId="71A3B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1260BC6">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招投标监督管理专项</w:t>
            </w:r>
          </w:p>
        </w:tc>
        <w:tc>
          <w:tcPr>
            <w:tcW w:w="2116" w:type="dxa"/>
            <w:gridSpan w:val="2"/>
            <w:vAlign w:val="center"/>
          </w:tcPr>
          <w:p w14:paraId="7F139269">
            <w:pPr>
              <w:spacing w:line="240" w:lineRule="auto"/>
              <w:ind w:firstLine="420"/>
              <w:jc w:val="center"/>
              <w:rPr>
                <w:rFonts w:ascii="仿宋_GB2312" w:eastAsia="仿宋_GB2312"/>
                <w:kern w:val="0"/>
                <w:lang w:eastAsia="zh-CN"/>
              </w:rPr>
            </w:pPr>
          </w:p>
        </w:tc>
        <w:tc>
          <w:tcPr>
            <w:tcW w:w="2039" w:type="dxa"/>
            <w:gridSpan w:val="2"/>
            <w:vAlign w:val="center"/>
          </w:tcPr>
          <w:p w14:paraId="4357B6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14:paraId="6638FA6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r>
      <w:tr w14:paraId="73C74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DE204F4">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工作经费</w:t>
            </w:r>
          </w:p>
        </w:tc>
        <w:tc>
          <w:tcPr>
            <w:tcW w:w="2116" w:type="dxa"/>
            <w:gridSpan w:val="2"/>
            <w:vAlign w:val="center"/>
          </w:tcPr>
          <w:p w14:paraId="2E7BDEF1">
            <w:pPr>
              <w:spacing w:line="240" w:lineRule="auto"/>
              <w:ind w:firstLine="420"/>
              <w:jc w:val="center"/>
              <w:rPr>
                <w:rFonts w:ascii="仿宋_GB2312" w:eastAsia="仿宋_GB2312"/>
                <w:kern w:val="0"/>
                <w:lang w:eastAsia="zh-CN"/>
              </w:rPr>
            </w:pPr>
          </w:p>
        </w:tc>
        <w:tc>
          <w:tcPr>
            <w:tcW w:w="2039" w:type="dxa"/>
            <w:gridSpan w:val="2"/>
            <w:vAlign w:val="center"/>
          </w:tcPr>
          <w:p w14:paraId="1B63B377">
            <w:pPr>
              <w:spacing w:line="240" w:lineRule="auto"/>
              <w:ind w:firstLine="420"/>
              <w:jc w:val="center"/>
              <w:rPr>
                <w:rFonts w:ascii="仿宋_GB2312" w:eastAsia="仿宋_GB2312"/>
                <w:kern w:val="0"/>
                <w:lang w:eastAsia="zh-CN"/>
              </w:rPr>
            </w:pPr>
          </w:p>
        </w:tc>
        <w:tc>
          <w:tcPr>
            <w:tcW w:w="1983" w:type="dxa"/>
            <w:gridSpan w:val="2"/>
            <w:vAlign w:val="center"/>
          </w:tcPr>
          <w:p w14:paraId="1C81C10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334.74</w:t>
            </w:r>
          </w:p>
        </w:tc>
      </w:tr>
      <w:tr w14:paraId="00BD7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CDB0961">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智慧平台服务及专用检测费</w:t>
            </w:r>
          </w:p>
        </w:tc>
        <w:tc>
          <w:tcPr>
            <w:tcW w:w="2116" w:type="dxa"/>
            <w:gridSpan w:val="2"/>
            <w:vAlign w:val="center"/>
          </w:tcPr>
          <w:p w14:paraId="185BAFE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12.52</w:t>
            </w:r>
          </w:p>
        </w:tc>
        <w:tc>
          <w:tcPr>
            <w:tcW w:w="2039" w:type="dxa"/>
            <w:gridSpan w:val="2"/>
            <w:vAlign w:val="center"/>
          </w:tcPr>
          <w:p w14:paraId="6E65BE5C">
            <w:pPr>
              <w:spacing w:line="240" w:lineRule="auto"/>
              <w:ind w:firstLine="420"/>
              <w:jc w:val="center"/>
              <w:rPr>
                <w:rFonts w:ascii="仿宋_GB2312" w:eastAsia="仿宋_GB2312"/>
                <w:kern w:val="0"/>
                <w:lang w:eastAsia="zh-CN"/>
              </w:rPr>
            </w:pPr>
          </w:p>
        </w:tc>
        <w:tc>
          <w:tcPr>
            <w:tcW w:w="1983" w:type="dxa"/>
            <w:gridSpan w:val="2"/>
            <w:vAlign w:val="center"/>
          </w:tcPr>
          <w:p w14:paraId="32AD4F96">
            <w:pPr>
              <w:spacing w:line="240" w:lineRule="auto"/>
              <w:ind w:firstLine="420"/>
              <w:jc w:val="center"/>
              <w:rPr>
                <w:rFonts w:hint="eastAsia" w:ascii="仿宋_GB2312" w:eastAsia="仿宋_GB2312"/>
                <w:kern w:val="0"/>
                <w:lang w:val="en-US"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ascii="仿宋_GB2312" w:eastAsia="仿宋_GB2312"/>
                <w:kern w:val="0"/>
              </w:rPr>
            </w:pPr>
          </w:p>
        </w:tc>
        <w:tc>
          <w:tcPr>
            <w:tcW w:w="2039" w:type="dxa"/>
            <w:gridSpan w:val="2"/>
            <w:vAlign w:val="center"/>
          </w:tcPr>
          <w:p w14:paraId="050E075D">
            <w:pPr>
              <w:spacing w:line="240" w:lineRule="auto"/>
              <w:ind w:firstLine="420"/>
              <w:jc w:val="center"/>
              <w:rPr>
                <w:rFonts w:ascii="仿宋_GB2312" w:eastAsia="仿宋_GB2312"/>
                <w:kern w:val="0"/>
              </w:rPr>
            </w:pPr>
          </w:p>
        </w:tc>
        <w:tc>
          <w:tcPr>
            <w:tcW w:w="1983" w:type="dxa"/>
            <w:gridSpan w:val="2"/>
            <w:vAlign w:val="center"/>
          </w:tcPr>
          <w:p w14:paraId="7357305D">
            <w:pPr>
              <w:spacing w:line="240" w:lineRule="auto"/>
              <w:ind w:firstLine="420"/>
              <w:jc w:val="center"/>
              <w:rPr>
                <w:rFonts w:ascii="仿宋_GB2312" w:eastAsia="仿宋_GB2312"/>
                <w:kern w:val="0"/>
              </w:rPr>
            </w:pP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4.09</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6.96</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7.88</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12.57</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16.24</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23.16</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3.09</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5.8</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1.69</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59.7</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37.25</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59.7</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58" w:type="dxa"/>
            <w:vAlign w:val="center"/>
          </w:tcPr>
          <w:p w14:paraId="2016690B">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60" w:type="dxa"/>
            <w:vAlign w:val="center"/>
          </w:tcPr>
          <w:p w14:paraId="4D734BF4">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p>
        </w:tc>
        <w:tc>
          <w:tcPr>
            <w:tcW w:w="1079" w:type="dxa"/>
            <w:vAlign w:val="center"/>
          </w:tcPr>
          <w:p w14:paraId="5567D620">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39" w:type="dxa"/>
            <w:vAlign w:val="center"/>
          </w:tcPr>
          <w:p w14:paraId="31CE4E43">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44" w:type="dxa"/>
            <w:vAlign w:val="center"/>
          </w:tcPr>
          <w:p w14:paraId="62FE64A2">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ascii="仿宋_GB2312" w:hAnsi="宋体" w:eastAsia="仿宋_GB2312" w:cs="宋体"/>
                <w:kern w:val="0"/>
                <w:lang w:val="en-US" w:eastAsia="zh-CN"/>
              </w:rPr>
              <w:t>严格控制各项支出，优化财政支出结构，提高财政资金使用效率，确保政府过紧日子要求落到实处。</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AD2C5BF">
      <w:pPr>
        <w:spacing w:before="117" w:line="219" w:lineRule="auto"/>
        <w:jc w:val="both"/>
        <w:rPr>
          <w:rFonts w:hint="eastAsia"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柳灿</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15292005668</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葛思卉</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11"/>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汨罗市建筑工程服务中心</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801.08</w:t>
            </w:r>
          </w:p>
        </w:tc>
        <w:tc>
          <w:tcPr>
            <w:tcW w:w="1298" w:type="dxa"/>
            <w:vAlign w:val="center"/>
          </w:tcPr>
          <w:p w14:paraId="78350D2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951.90</w:t>
            </w:r>
          </w:p>
        </w:tc>
        <w:tc>
          <w:tcPr>
            <w:tcW w:w="1269" w:type="dxa"/>
            <w:vAlign w:val="center"/>
          </w:tcPr>
          <w:p w14:paraId="5FDA3D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951.90</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885.94</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592.17</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0</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359.73</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0</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65.96</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jc w:val="both"/>
              <w:rPr>
                <w:rFonts w:ascii="仿宋_GB2312" w:eastAsia="仿宋_GB2312"/>
                <w:kern w:val="0"/>
              </w:rPr>
            </w:pPr>
            <w:r>
              <w:rPr>
                <w:rFonts w:hint="eastAsia" w:ascii="仿宋_GB2312" w:hAnsi="宋体" w:eastAsia="仿宋_GB2312" w:cs="宋体"/>
                <w:kern w:val="0"/>
                <w:lang w:val="en-US" w:eastAsia="zh-CN"/>
              </w:rPr>
              <w:t>1、建筑工程招投标监督管理；2、建筑行业资质管理、建筑业统计、专业技术人员培训；3、建筑工程质量、安全生产监管、竣工验收备案、检测市场管理；4、建筑材料价格信息收集、施工定额测编、工程造价管理；5、建筑工程、非住宅室内装饰工程质量安全监管；6、建筑工程和市政基础设施工程防雷安全监管。</w:t>
            </w:r>
          </w:p>
        </w:tc>
        <w:tc>
          <w:tcPr>
            <w:tcW w:w="4260" w:type="dxa"/>
            <w:gridSpan w:val="4"/>
            <w:vAlign w:val="center"/>
          </w:tcPr>
          <w:p w14:paraId="156E0DC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任务已经完成</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shd w:val="clear" w:color="auto" w:fill="auto"/>
            <w:vAlign w:val="center"/>
          </w:tcPr>
          <w:p w14:paraId="785EE4BB">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工程建设监管执法率</w:t>
            </w:r>
          </w:p>
        </w:tc>
        <w:tc>
          <w:tcPr>
            <w:tcW w:w="1298" w:type="dxa"/>
            <w:shd w:val="clear" w:color="auto" w:fill="auto"/>
            <w:vAlign w:val="center"/>
          </w:tcPr>
          <w:p w14:paraId="2A374824">
            <w:pPr>
              <w:spacing w:line="240" w:lineRule="auto"/>
              <w:ind w:firstLine="420" w:firstLineChars="20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269" w:type="dxa"/>
            <w:shd w:val="clear" w:color="auto" w:fill="auto"/>
            <w:vAlign w:val="center"/>
          </w:tcPr>
          <w:p w14:paraId="708D788A">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699" w:type="dxa"/>
            <w:shd w:val="clear" w:color="auto" w:fill="auto"/>
            <w:vAlign w:val="center"/>
          </w:tcPr>
          <w:p w14:paraId="567F5E54">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869" w:type="dxa"/>
            <w:shd w:val="clear" w:color="auto" w:fill="auto"/>
            <w:vAlign w:val="center"/>
          </w:tcPr>
          <w:p w14:paraId="2717B7C4">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1423" w:type="dxa"/>
            <w:shd w:val="clear" w:color="auto" w:fill="auto"/>
            <w:vAlign w:val="center"/>
          </w:tcPr>
          <w:p w14:paraId="7CF9B186">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59269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C15E1C6">
            <w:pPr>
              <w:spacing w:line="240" w:lineRule="auto"/>
              <w:ind w:firstLine="420"/>
              <w:jc w:val="center"/>
              <w:rPr>
                <w:rFonts w:ascii="仿宋_GB2312" w:eastAsia="仿宋_GB2312"/>
                <w:kern w:val="0"/>
                <w:lang w:eastAsia="zh-CN"/>
              </w:rPr>
            </w:pPr>
          </w:p>
        </w:tc>
        <w:tc>
          <w:tcPr>
            <w:tcW w:w="1069" w:type="dxa"/>
            <w:vMerge w:val="continue"/>
            <w:vAlign w:val="center"/>
          </w:tcPr>
          <w:p w14:paraId="43A34BB4">
            <w:pPr>
              <w:spacing w:line="240" w:lineRule="auto"/>
              <w:jc w:val="center"/>
              <w:rPr>
                <w:rFonts w:hint="eastAsia" w:ascii="仿宋_GB2312" w:eastAsia="仿宋_GB2312"/>
                <w:kern w:val="0"/>
              </w:rPr>
            </w:pPr>
          </w:p>
        </w:tc>
        <w:tc>
          <w:tcPr>
            <w:tcW w:w="1029" w:type="dxa"/>
            <w:vMerge w:val="continue"/>
            <w:vAlign w:val="center"/>
          </w:tcPr>
          <w:p w14:paraId="0DAAA205">
            <w:pPr>
              <w:spacing w:line="240" w:lineRule="auto"/>
              <w:jc w:val="center"/>
              <w:rPr>
                <w:rFonts w:hint="eastAsia" w:ascii="仿宋_GB2312" w:hAnsi="宋体" w:eastAsia="仿宋_GB2312" w:cs="宋体"/>
                <w:kern w:val="0"/>
              </w:rPr>
            </w:pPr>
          </w:p>
        </w:tc>
        <w:tc>
          <w:tcPr>
            <w:tcW w:w="1249" w:type="dxa"/>
            <w:shd w:val="clear" w:color="auto" w:fill="auto"/>
            <w:vAlign w:val="center"/>
          </w:tcPr>
          <w:p w14:paraId="1164EB4F">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监督工程竣工验收率</w:t>
            </w:r>
          </w:p>
        </w:tc>
        <w:tc>
          <w:tcPr>
            <w:tcW w:w="1298" w:type="dxa"/>
            <w:shd w:val="clear" w:color="auto" w:fill="auto"/>
            <w:vAlign w:val="center"/>
          </w:tcPr>
          <w:p w14:paraId="4C20A603">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269" w:type="dxa"/>
            <w:shd w:val="clear" w:color="auto" w:fill="auto"/>
            <w:vAlign w:val="center"/>
          </w:tcPr>
          <w:p w14:paraId="3DCC7EB7">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699" w:type="dxa"/>
            <w:shd w:val="clear" w:color="auto" w:fill="auto"/>
            <w:vAlign w:val="center"/>
          </w:tcPr>
          <w:p w14:paraId="7783ABA6">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869" w:type="dxa"/>
            <w:shd w:val="clear" w:color="auto" w:fill="auto"/>
            <w:vAlign w:val="center"/>
          </w:tcPr>
          <w:p w14:paraId="61C7DBE4">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1423" w:type="dxa"/>
            <w:shd w:val="clear" w:color="auto" w:fill="auto"/>
            <w:vAlign w:val="center"/>
          </w:tcPr>
          <w:p w14:paraId="57E2F107">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02D95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0C4B9FF">
            <w:pPr>
              <w:spacing w:line="240" w:lineRule="auto"/>
              <w:ind w:firstLine="420"/>
              <w:jc w:val="center"/>
              <w:rPr>
                <w:rFonts w:ascii="仿宋_GB2312" w:eastAsia="仿宋_GB2312"/>
                <w:kern w:val="0"/>
                <w:lang w:eastAsia="zh-CN"/>
              </w:rPr>
            </w:pPr>
          </w:p>
        </w:tc>
        <w:tc>
          <w:tcPr>
            <w:tcW w:w="1069" w:type="dxa"/>
            <w:vMerge w:val="continue"/>
            <w:vAlign w:val="center"/>
          </w:tcPr>
          <w:p w14:paraId="307F4432">
            <w:pPr>
              <w:spacing w:line="240" w:lineRule="auto"/>
              <w:jc w:val="center"/>
              <w:rPr>
                <w:rFonts w:hint="eastAsia" w:ascii="仿宋_GB2312" w:eastAsia="仿宋_GB2312"/>
                <w:kern w:val="0"/>
              </w:rPr>
            </w:pPr>
          </w:p>
        </w:tc>
        <w:tc>
          <w:tcPr>
            <w:tcW w:w="1029" w:type="dxa"/>
            <w:vMerge w:val="continue"/>
            <w:vAlign w:val="center"/>
          </w:tcPr>
          <w:p w14:paraId="2BA517AB">
            <w:pPr>
              <w:spacing w:line="240" w:lineRule="auto"/>
              <w:jc w:val="center"/>
              <w:rPr>
                <w:rFonts w:hint="eastAsia" w:ascii="仿宋_GB2312" w:hAnsi="宋体" w:eastAsia="仿宋_GB2312" w:cs="宋体"/>
                <w:kern w:val="0"/>
              </w:rPr>
            </w:pPr>
          </w:p>
        </w:tc>
        <w:tc>
          <w:tcPr>
            <w:tcW w:w="1249" w:type="dxa"/>
            <w:shd w:val="clear" w:color="auto" w:fill="auto"/>
            <w:vAlign w:val="center"/>
          </w:tcPr>
          <w:p w14:paraId="08A90607">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质量投诉回复处理率</w:t>
            </w:r>
          </w:p>
        </w:tc>
        <w:tc>
          <w:tcPr>
            <w:tcW w:w="1298" w:type="dxa"/>
            <w:shd w:val="clear" w:color="auto" w:fill="auto"/>
            <w:vAlign w:val="center"/>
          </w:tcPr>
          <w:p w14:paraId="57CCFA90">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群众满意度100%</w:t>
            </w:r>
          </w:p>
        </w:tc>
        <w:tc>
          <w:tcPr>
            <w:tcW w:w="1269" w:type="dxa"/>
            <w:shd w:val="clear" w:color="auto" w:fill="auto"/>
            <w:vAlign w:val="center"/>
          </w:tcPr>
          <w:p w14:paraId="4D6EE165">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群众满意度100%</w:t>
            </w:r>
          </w:p>
        </w:tc>
        <w:tc>
          <w:tcPr>
            <w:tcW w:w="699" w:type="dxa"/>
            <w:shd w:val="clear" w:color="auto" w:fill="auto"/>
            <w:vAlign w:val="center"/>
          </w:tcPr>
          <w:p w14:paraId="7F640C0E">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869" w:type="dxa"/>
            <w:shd w:val="clear" w:color="auto" w:fill="auto"/>
            <w:vAlign w:val="center"/>
          </w:tcPr>
          <w:p w14:paraId="3364BE2F">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1423" w:type="dxa"/>
            <w:shd w:val="clear" w:color="auto" w:fill="auto"/>
            <w:vAlign w:val="center"/>
          </w:tcPr>
          <w:p w14:paraId="5391001D">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5D6DF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C4703A3">
            <w:pPr>
              <w:spacing w:line="240" w:lineRule="auto"/>
              <w:ind w:firstLine="420"/>
              <w:jc w:val="center"/>
              <w:rPr>
                <w:rFonts w:ascii="仿宋_GB2312" w:eastAsia="仿宋_GB2312"/>
                <w:kern w:val="0"/>
                <w:lang w:eastAsia="zh-CN"/>
              </w:rPr>
            </w:pPr>
          </w:p>
        </w:tc>
        <w:tc>
          <w:tcPr>
            <w:tcW w:w="1069" w:type="dxa"/>
            <w:vMerge w:val="continue"/>
            <w:vAlign w:val="center"/>
          </w:tcPr>
          <w:p w14:paraId="6F97CFA1">
            <w:pPr>
              <w:spacing w:line="240" w:lineRule="auto"/>
              <w:jc w:val="center"/>
              <w:rPr>
                <w:rFonts w:hint="eastAsia" w:ascii="仿宋_GB2312" w:eastAsia="仿宋_GB2312"/>
                <w:kern w:val="0"/>
              </w:rPr>
            </w:pPr>
          </w:p>
        </w:tc>
        <w:tc>
          <w:tcPr>
            <w:tcW w:w="1029" w:type="dxa"/>
            <w:vMerge w:val="continue"/>
            <w:vAlign w:val="center"/>
          </w:tcPr>
          <w:p w14:paraId="2324D23F">
            <w:pPr>
              <w:spacing w:line="240" w:lineRule="auto"/>
              <w:jc w:val="center"/>
              <w:rPr>
                <w:rFonts w:hint="eastAsia" w:ascii="仿宋_GB2312" w:hAnsi="宋体" w:eastAsia="仿宋_GB2312" w:cs="宋体"/>
                <w:kern w:val="0"/>
              </w:rPr>
            </w:pPr>
          </w:p>
        </w:tc>
        <w:tc>
          <w:tcPr>
            <w:tcW w:w="1249" w:type="dxa"/>
            <w:shd w:val="clear" w:color="auto" w:fill="auto"/>
            <w:vAlign w:val="center"/>
          </w:tcPr>
          <w:p w14:paraId="1E17712B">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质量安全标准化考评率</w:t>
            </w:r>
          </w:p>
        </w:tc>
        <w:tc>
          <w:tcPr>
            <w:tcW w:w="1298" w:type="dxa"/>
            <w:shd w:val="clear" w:color="auto" w:fill="auto"/>
            <w:vAlign w:val="center"/>
          </w:tcPr>
          <w:p w14:paraId="4B4AC8B1">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269" w:type="dxa"/>
            <w:shd w:val="clear" w:color="auto" w:fill="auto"/>
            <w:vAlign w:val="center"/>
          </w:tcPr>
          <w:p w14:paraId="6FC23B5A">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699" w:type="dxa"/>
            <w:shd w:val="clear" w:color="auto" w:fill="auto"/>
            <w:vAlign w:val="center"/>
          </w:tcPr>
          <w:p w14:paraId="05F53681">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869" w:type="dxa"/>
            <w:shd w:val="clear" w:color="auto" w:fill="auto"/>
            <w:vAlign w:val="center"/>
          </w:tcPr>
          <w:p w14:paraId="485077C9">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1423" w:type="dxa"/>
            <w:shd w:val="clear" w:color="auto" w:fill="auto"/>
            <w:vAlign w:val="center"/>
          </w:tcPr>
          <w:p w14:paraId="0DBEC685">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38229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89C8F74">
            <w:pPr>
              <w:spacing w:line="240" w:lineRule="auto"/>
              <w:ind w:firstLine="420"/>
              <w:jc w:val="center"/>
              <w:rPr>
                <w:rFonts w:ascii="仿宋_GB2312" w:eastAsia="仿宋_GB2312"/>
                <w:kern w:val="0"/>
                <w:lang w:eastAsia="zh-CN"/>
              </w:rPr>
            </w:pPr>
          </w:p>
        </w:tc>
        <w:tc>
          <w:tcPr>
            <w:tcW w:w="1069" w:type="dxa"/>
            <w:vMerge w:val="continue"/>
            <w:vAlign w:val="center"/>
          </w:tcPr>
          <w:p w14:paraId="6088DC31">
            <w:pPr>
              <w:spacing w:line="240" w:lineRule="auto"/>
              <w:jc w:val="center"/>
              <w:rPr>
                <w:rFonts w:hint="eastAsia" w:ascii="仿宋_GB2312" w:eastAsia="仿宋_GB2312"/>
                <w:kern w:val="0"/>
              </w:rPr>
            </w:pPr>
          </w:p>
        </w:tc>
        <w:tc>
          <w:tcPr>
            <w:tcW w:w="1029" w:type="dxa"/>
            <w:vMerge w:val="continue"/>
            <w:vAlign w:val="center"/>
          </w:tcPr>
          <w:p w14:paraId="783230DB">
            <w:pPr>
              <w:spacing w:line="240" w:lineRule="auto"/>
              <w:jc w:val="center"/>
              <w:rPr>
                <w:rFonts w:hint="eastAsia" w:ascii="仿宋_GB2312" w:hAnsi="宋体" w:eastAsia="仿宋_GB2312" w:cs="宋体"/>
                <w:kern w:val="0"/>
              </w:rPr>
            </w:pPr>
          </w:p>
        </w:tc>
        <w:tc>
          <w:tcPr>
            <w:tcW w:w="1249" w:type="dxa"/>
            <w:shd w:val="clear" w:color="auto" w:fill="auto"/>
            <w:vAlign w:val="center"/>
          </w:tcPr>
          <w:p w14:paraId="4CCFF199">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建筑施工企业信用评价率</w:t>
            </w:r>
          </w:p>
        </w:tc>
        <w:tc>
          <w:tcPr>
            <w:tcW w:w="1298" w:type="dxa"/>
            <w:shd w:val="clear" w:color="auto" w:fill="auto"/>
            <w:vAlign w:val="center"/>
          </w:tcPr>
          <w:p w14:paraId="3EECE025">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269" w:type="dxa"/>
            <w:shd w:val="clear" w:color="auto" w:fill="auto"/>
            <w:vAlign w:val="center"/>
          </w:tcPr>
          <w:p w14:paraId="291CC1D8">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699" w:type="dxa"/>
            <w:shd w:val="clear" w:color="auto" w:fill="auto"/>
            <w:vAlign w:val="center"/>
          </w:tcPr>
          <w:p w14:paraId="038C4432">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869" w:type="dxa"/>
            <w:shd w:val="clear" w:color="auto" w:fill="auto"/>
            <w:vAlign w:val="center"/>
          </w:tcPr>
          <w:p w14:paraId="29075F3C">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1423" w:type="dxa"/>
            <w:shd w:val="clear" w:color="auto" w:fill="auto"/>
            <w:vAlign w:val="center"/>
          </w:tcPr>
          <w:p w14:paraId="3D85BF75">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019E9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93CD6C2">
            <w:pPr>
              <w:spacing w:line="240" w:lineRule="auto"/>
              <w:ind w:firstLine="420"/>
              <w:jc w:val="center"/>
              <w:rPr>
                <w:rFonts w:ascii="仿宋_GB2312" w:eastAsia="仿宋_GB2312"/>
                <w:kern w:val="0"/>
                <w:lang w:eastAsia="zh-CN"/>
              </w:rPr>
            </w:pPr>
          </w:p>
          <w:p w14:paraId="04E7F68A">
            <w:pPr>
              <w:spacing w:line="240" w:lineRule="auto"/>
              <w:ind w:firstLine="420"/>
              <w:jc w:val="center"/>
              <w:rPr>
                <w:rFonts w:ascii="仿宋_GB2312" w:eastAsia="仿宋_GB2312"/>
                <w:kern w:val="0"/>
                <w:lang w:eastAsia="zh-CN"/>
              </w:rPr>
            </w:pPr>
          </w:p>
        </w:tc>
        <w:tc>
          <w:tcPr>
            <w:tcW w:w="1069" w:type="dxa"/>
            <w:vMerge w:val="continue"/>
            <w:vAlign w:val="center"/>
          </w:tcPr>
          <w:p w14:paraId="011B0791">
            <w:pPr>
              <w:spacing w:line="240" w:lineRule="auto"/>
              <w:jc w:val="center"/>
              <w:rPr>
                <w:rFonts w:hint="eastAsia" w:ascii="仿宋_GB2312" w:eastAsia="仿宋_GB2312"/>
                <w:kern w:val="0"/>
              </w:rPr>
            </w:pPr>
          </w:p>
        </w:tc>
        <w:tc>
          <w:tcPr>
            <w:tcW w:w="1029" w:type="dxa"/>
            <w:vMerge w:val="continue"/>
            <w:vAlign w:val="center"/>
          </w:tcPr>
          <w:p w14:paraId="608B48C4">
            <w:pPr>
              <w:spacing w:line="240" w:lineRule="auto"/>
              <w:jc w:val="center"/>
              <w:rPr>
                <w:rFonts w:hint="eastAsia" w:ascii="仿宋_GB2312" w:hAnsi="宋体" w:eastAsia="仿宋_GB2312" w:cs="宋体"/>
                <w:kern w:val="0"/>
              </w:rPr>
            </w:pPr>
          </w:p>
        </w:tc>
        <w:tc>
          <w:tcPr>
            <w:tcW w:w="1249" w:type="dxa"/>
            <w:shd w:val="clear" w:color="auto" w:fill="auto"/>
            <w:vAlign w:val="center"/>
          </w:tcPr>
          <w:p w14:paraId="32F65384">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房建和市政基础设施建设项目监管率</w:t>
            </w:r>
          </w:p>
        </w:tc>
        <w:tc>
          <w:tcPr>
            <w:tcW w:w="1298" w:type="dxa"/>
            <w:shd w:val="clear" w:color="auto" w:fill="auto"/>
            <w:vAlign w:val="center"/>
          </w:tcPr>
          <w:p w14:paraId="4D84DFAD">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269" w:type="dxa"/>
            <w:shd w:val="clear" w:color="auto" w:fill="auto"/>
            <w:vAlign w:val="center"/>
          </w:tcPr>
          <w:p w14:paraId="710FBE8E">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699" w:type="dxa"/>
            <w:shd w:val="clear" w:color="auto" w:fill="auto"/>
            <w:vAlign w:val="center"/>
          </w:tcPr>
          <w:p w14:paraId="340AA7FB">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2</w:t>
            </w:r>
          </w:p>
        </w:tc>
        <w:tc>
          <w:tcPr>
            <w:tcW w:w="869" w:type="dxa"/>
            <w:shd w:val="clear" w:color="auto" w:fill="auto"/>
            <w:vAlign w:val="center"/>
          </w:tcPr>
          <w:p w14:paraId="56A65CF4">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2</w:t>
            </w:r>
          </w:p>
        </w:tc>
        <w:tc>
          <w:tcPr>
            <w:tcW w:w="1423" w:type="dxa"/>
            <w:shd w:val="clear" w:color="auto" w:fill="auto"/>
            <w:vAlign w:val="center"/>
          </w:tcPr>
          <w:p w14:paraId="70CA8D3F">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7281F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41A7316">
            <w:pPr>
              <w:spacing w:line="240" w:lineRule="auto"/>
              <w:ind w:firstLine="420"/>
              <w:jc w:val="center"/>
              <w:rPr>
                <w:rFonts w:ascii="仿宋_GB2312" w:eastAsia="仿宋_GB2312"/>
                <w:kern w:val="0"/>
                <w:lang w:eastAsia="zh-CN"/>
              </w:rPr>
            </w:pPr>
          </w:p>
        </w:tc>
        <w:tc>
          <w:tcPr>
            <w:tcW w:w="1069" w:type="dxa"/>
            <w:vMerge w:val="continue"/>
            <w:vAlign w:val="center"/>
          </w:tcPr>
          <w:p w14:paraId="1DFC4572">
            <w:pPr>
              <w:spacing w:line="240" w:lineRule="auto"/>
              <w:jc w:val="center"/>
              <w:rPr>
                <w:rFonts w:hint="eastAsia" w:ascii="仿宋_GB2312" w:eastAsia="仿宋_GB2312"/>
                <w:kern w:val="0"/>
              </w:rPr>
            </w:pPr>
          </w:p>
        </w:tc>
        <w:tc>
          <w:tcPr>
            <w:tcW w:w="1029" w:type="dxa"/>
            <w:vMerge w:val="continue"/>
            <w:vAlign w:val="center"/>
          </w:tcPr>
          <w:p w14:paraId="5FC41AB4">
            <w:pPr>
              <w:spacing w:line="240" w:lineRule="auto"/>
              <w:jc w:val="center"/>
              <w:rPr>
                <w:rFonts w:hint="eastAsia" w:ascii="仿宋_GB2312" w:hAnsi="宋体" w:eastAsia="仿宋_GB2312" w:cs="宋体"/>
                <w:kern w:val="0"/>
              </w:rPr>
            </w:pPr>
          </w:p>
        </w:tc>
        <w:tc>
          <w:tcPr>
            <w:tcW w:w="1249" w:type="dxa"/>
            <w:shd w:val="clear" w:color="auto" w:fill="auto"/>
            <w:vAlign w:val="center"/>
          </w:tcPr>
          <w:p w14:paraId="25B9DAD8">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办理项目竣工验收率</w:t>
            </w:r>
          </w:p>
        </w:tc>
        <w:tc>
          <w:tcPr>
            <w:tcW w:w="1298" w:type="dxa"/>
            <w:shd w:val="clear" w:color="auto" w:fill="auto"/>
            <w:vAlign w:val="center"/>
          </w:tcPr>
          <w:p w14:paraId="7F75C295">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60个</w:t>
            </w:r>
          </w:p>
        </w:tc>
        <w:tc>
          <w:tcPr>
            <w:tcW w:w="1269" w:type="dxa"/>
            <w:shd w:val="clear" w:color="auto" w:fill="auto"/>
            <w:vAlign w:val="center"/>
          </w:tcPr>
          <w:p w14:paraId="7398454B">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27个</w:t>
            </w:r>
          </w:p>
        </w:tc>
        <w:tc>
          <w:tcPr>
            <w:tcW w:w="699" w:type="dxa"/>
            <w:shd w:val="clear" w:color="auto" w:fill="auto"/>
            <w:vAlign w:val="center"/>
          </w:tcPr>
          <w:p w14:paraId="4B5DBC6C">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869" w:type="dxa"/>
            <w:shd w:val="clear" w:color="auto" w:fill="auto"/>
            <w:vAlign w:val="center"/>
          </w:tcPr>
          <w:p w14:paraId="361C9E5F">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0.5</w:t>
            </w:r>
          </w:p>
        </w:tc>
        <w:tc>
          <w:tcPr>
            <w:tcW w:w="1423" w:type="dxa"/>
            <w:shd w:val="clear" w:color="auto" w:fill="auto"/>
            <w:vAlign w:val="center"/>
          </w:tcPr>
          <w:p w14:paraId="25E82B3F">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根据市场实际情况，全年只有27个项目，已全部办理竣工验收</w:t>
            </w:r>
          </w:p>
        </w:tc>
      </w:tr>
      <w:tr w14:paraId="7542C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57EC762">
            <w:pPr>
              <w:spacing w:line="240" w:lineRule="auto"/>
              <w:ind w:firstLine="420"/>
              <w:jc w:val="center"/>
              <w:rPr>
                <w:rFonts w:ascii="仿宋_GB2312" w:eastAsia="仿宋_GB2312"/>
                <w:kern w:val="0"/>
                <w:lang w:eastAsia="zh-CN"/>
              </w:rPr>
            </w:pPr>
          </w:p>
        </w:tc>
        <w:tc>
          <w:tcPr>
            <w:tcW w:w="1069" w:type="dxa"/>
            <w:vMerge w:val="continue"/>
            <w:vAlign w:val="center"/>
          </w:tcPr>
          <w:p w14:paraId="5346322E">
            <w:pPr>
              <w:spacing w:line="240" w:lineRule="auto"/>
              <w:jc w:val="center"/>
              <w:rPr>
                <w:rFonts w:hint="eastAsia" w:ascii="仿宋_GB2312" w:eastAsia="仿宋_GB2312"/>
                <w:kern w:val="0"/>
              </w:rPr>
            </w:pPr>
          </w:p>
        </w:tc>
        <w:tc>
          <w:tcPr>
            <w:tcW w:w="1029" w:type="dxa"/>
            <w:vMerge w:val="continue"/>
            <w:vAlign w:val="center"/>
          </w:tcPr>
          <w:p w14:paraId="6A962ED3">
            <w:pPr>
              <w:spacing w:line="240" w:lineRule="auto"/>
              <w:jc w:val="center"/>
              <w:rPr>
                <w:rFonts w:hint="eastAsia" w:ascii="仿宋_GB2312" w:hAnsi="宋体" w:eastAsia="仿宋_GB2312" w:cs="宋体"/>
                <w:kern w:val="0"/>
              </w:rPr>
            </w:pPr>
          </w:p>
        </w:tc>
        <w:tc>
          <w:tcPr>
            <w:tcW w:w="1249" w:type="dxa"/>
            <w:shd w:val="clear" w:color="auto" w:fill="auto"/>
            <w:vAlign w:val="center"/>
          </w:tcPr>
          <w:p w14:paraId="41B65125">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违法建设巡查率</w:t>
            </w:r>
          </w:p>
        </w:tc>
        <w:tc>
          <w:tcPr>
            <w:tcW w:w="1298" w:type="dxa"/>
            <w:shd w:val="clear" w:color="auto" w:fill="auto"/>
            <w:vAlign w:val="center"/>
          </w:tcPr>
          <w:p w14:paraId="68B021FD">
            <w:pPr>
              <w:spacing w:line="240" w:lineRule="auto"/>
              <w:ind w:firstLine="420" w:firstLineChars="0"/>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1269" w:type="dxa"/>
            <w:shd w:val="clear" w:color="auto" w:fill="auto"/>
            <w:vAlign w:val="center"/>
          </w:tcPr>
          <w:p w14:paraId="508A7924">
            <w:pPr>
              <w:spacing w:line="240" w:lineRule="auto"/>
              <w:ind w:firstLine="420" w:firstLineChars="0"/>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699" w:type="dxa"/>
            <w:shd w:val="clear" w:color="auto" w:fill="auto"/>
            <w:vAlign w:val="center"/>
          </w:tcPr>
          <w:p w14:paraId="6B4D428E">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869" w:type="dxa"/>
            <w:shd w:val="clear" w:color="auto" w:fill="auto"/>
            <w:vAlign w:val="center"/>
          </w:tcPr>
          <w:p w14:paraId="59C36D53">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1423" w:type="dxa"/>
            <w:shd w:val="clear" w:color="auto" w:fill="auto"/>
            <w:vAlign w:val="center"/>
          </w:tcPr>
          <w:p w14:paraId="32A59422">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47256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20006AF">
            <w:pPr>
              <w:spacing w:line="240" w:lineRule="auto"/>
              <w:ind w:firstLine="420"/>
              <w:jc w:val="center"/>
              <w:rPr>
                <w:rFonts w:ascii="仿宋_GB2312" w:eastAsia="仿宋_GB2312"/>
                <w:kern w:val="0"/>
                <w:lang w:eastAsia="zh-CN"/>
              </w:rPr>
            </w:pPr>
          </w:p>
        </w:tc>
        <w:tc>
          <w:tcPr>
            <w:tcW w:w="1069" w:type="dxa"/>
            <w:vMerge w:val="continue"/>
            <w:vAlign w:val="center"/>
          </w:tcPr>
          <w:p w14:paraId="41493B5B">
            <w:pPr>
              <w:spacing w:line="240" w:lineRule="auto"/>
              <w:jc w:val="center"/>
              <w:rPr>
                <w:rFonts w:hint="eastAsia" w:ascii="仿宋_GB2312" w:eastAsia="仿宋_GB2312"/>
                <w:kern w:val="0"/>
              </w:rPr>
            </w:pPr>
          </w:p>
        </w:tc>
        <w:tc>
          <w:tcPr>
            <w:tcW w:w="1029" w:type="dxa"/>
            <w:vMerge w:val="continue"/>
            <w:vAlign w:val="center"/>
          </w:tcPr>
          <w:p w14:paraId="0F735563">
            <w:pPr>
              <w:spacing w:line="240" w:lineRule="auto"/>
              <w:jc w:val="center"/>
              <w:rPr>
                <w:rFonts w:hint="eastAsia" w:ascii="仿宋_GB2312" w:hAnsi="宋体" w:eastAsia="仿宋_GB2312" w:cs="宋体"/>
                <w:kern w:val="0"/>
              </w:rPr>
            </w:pPr>
          </w:p>
        </w:tc>
        <w:tc>
          <w:tcPr>
            <w:tcW w:w="1249" w:type="dxa"/>
            <w:shd w:val="clear" w:color="auto" w:fill="auto"/>
            <w:vAlign w:val="center"/>
          </w:tcPr>
          <w:p w14:paraId="3D7EC0EF">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做好公开招标项目监管</w:t>
            </w:r>
          </w:p>
        </w:tc>
        <w:tc>
          <w:tcPr>
            <w:tcW w:w="1298" w:type="dxa"/>
            <w:shd w:val="clear" w:color="auto" w:fill="auto"/>
            <w:vAlign w:val="center"/>
          </w:tcPr>
          <w:p w14:paraId="708A6C01">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16个</w:t>
            </w:r>
          </w:p>
        </w:tc>
        <w:tc>
          <w:tcPr>
            <w:tcW w:w="1269" w:type="dxa"/>
            <w:shd w:val="clear" w:color="auto" w:fill="auto"/>
            <w:vAlign w:val="center"/>
          </w:tcPr>
          <w:p w14:paraId="3F437A8D">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15个</w:t>
            </w:r>
          </w:p>
        </w:tc>
        <w:tc>
          <w:tcPr>
            <w:tcW w:w="699" w:type="dxa"/>
            <w:shd w:val="clear" w:color="auto" w:fill="auto"/>
            <w:vAlign w:val="center"/>
          </w:tcPr>
          <w:p w14:paraId="499C7845">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869" w:type="dxa"/>
            <w:shd w:val="clear" w:color="auto" w:fill="auto"/>
            <w:vAlign w:val="center"/>
          </w:tcPr>
          <w:p w14:paraId="04FD358E">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1423" w:type="dxa"/>
            <w:shd w:val="clear" w:color="auto" w:fill="auto"/>
            <w:vAlign w:val="center"/>
          </w:tcPr>
          <w:p w14:paraId="1164D94A">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shd w:val="clear" w:color="auto" w:fill="auto"/>
            <w:vAlign w:val="center"/>
          </w:tcPr>
          <w:p w14:paraId="10423A41">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扬尘防治责任公示</w:t>
            </w:r>
          </w:p>
        </w:tc>
        <w:tc>
          <w:tcPr>
            <w:tcW w:w="1298" w:type="dxa"/>
            <w:shd w:val="clear" w:color="auto" w:fill="auto"/>
            <w:vAlign w:val="center"/>
          </w:tcPr>
          <w:p w14:paraId="1A5ADA3A">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全覆盖</w:t>
            </w:r>
          </w:p>
        </w:tc>
        <w:tc>
          <w:tcPr>
            <w:tcW w:w="1269" w:type="dxa"/>
            <w:shd w:val="clear" w:color="auto" w:fill="auto"/>
            <w:vAlign w:val="center"/>
          </w:tcPr>
          <w:p w14:paraId="54075F02">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全覆盖</w:t>
            </w:r>
          </w:p>
        </w:tc>
        <w:tc>
          <w:tcPr>
            <w:tcW w:w="699" w:type="dxa"/>
            <w:shd w:val="clear" w:color="auto" w:fill="auto"/>
            <w:vAlign w:val="center"/>
          </w:tcPr>
          <w:p w14:paraId="5580FC82">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869" w:type="dxa"/>
            <w:shd w:val="clear" w:color="auto" w:fill="auto"/>
            <w:vAlign w:val="center"/>
          </w:tcPr>
          <w:p w14:paraId="0982B111">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1423" w:type="dxa"/>
            <w:vAlign w:val="center"/>
          </w:tcPr>
          <w:p w14:paraId="09E0DC5F">
            <w:pPr>
              <w:spacing w:line="240" w:lineRule="auto"/>
              <w:ind w:firstLine="420"/>
              <w:jc w:val="center"/>
              <w:rPr>
                <w:rFonts w:ascii="仿宋_GB2312" w:eastAsia="仿宋_GB2312"/>
                <w:kern w:val="0"/>
              </w:rPr>
            </w:pPr>
          </w:p>
        </w:tc>
      </w:tr>
      <w:tr w14:paraId="2B9C6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E1AF20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FC91296">
            <w:pPr>
              <w:spacing w:line="240" w:lineRule="auto"/>
              <w:ind w:firstLine="420"/>
              <w:jc w:val="center"/>
              <w:rPr>
                <w:rFonts w:ascii="仿宋_GB2312" w:eastAsia="仿宋_GB2312"/>
                <w:kern w:val="0"/>
              </w:rPr>
            </w:pPr>
          </w:p>
        </w:tc>
        <w:tc>
          <w:tcPr>
            <w:tcW w:w="1029" w:type="dxa"/>
            <w:vMerge w:val="continue"/>
            <w:vAlign w:val="center"/>
          </w:tcPr>
          <w:p w14:paraId="0ED53EB6">
            <w:pPr>
              <w:spacing w:line="240" w:lineRule="auto"/>
              <w:jc w:val="center"/>
              <w:rPr>
                <w:rFonts w:hint="eastAsia" w:ascii="仿宋_GB2312" w:hAnsi="宋体" w:eastAsia="仿宋_GB2312" w:cs="宋体"/>
                <w:kern w:val="0"/>
              </w:rPr>
            </w:pPr>
          </w:p>
        </w:tc>
        <w:tc>
          <w:tcPr>
            <w:tcW w:w="1249" w:type="dxa"/>
            <w:shd w:val="clear" w:color="auto" w:fill="auto"/>
            <w:vAlign w:val="center"/>
          </w:tcPr>
          <w:p w14:paraId="710890DD">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公开招投标项目监管服务满意率</w:t>
            </w:r>
          </w:p>
        </w:tc>
        <w:tc>
          <w:tcPr>
            <w:tcW w:w="1298" w:type="dxa"/>
            <w:shd w:val="clear" w:color="auto" w:fill="auto"/>
            <w:vAlign w:val="center"/>
          </w:tcPr>
          <w:p w14:paraId="458A07FA">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95%以上</w:t>
            </w:r>
          </w:p>
        </w:tc>
        <w:tc>
          <w:tcPr>
            <w:tcW w:w="1269" w:type="dxa"/>
            <w:shd w:val="clear" w:color="auto" w:fill="auto"/>
            <w:vAlign w:val="center"/>
          </w:tcPr>
          <w:p w14:paraId="554889CF">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699" w:type="dxa"/>
            <w:shd w:val="clear" w:color="auto" w:fill="auto"/>
            <w:vAlign w:val="center"/>
          </w:tcPr>
          <w:p w14:paraId="24FAAD5A">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869" w:type="dxa"/>
            <w:shd w:val="clear" w:color="auto" w:fill="auto"/>
            <w:vAlign w:val="center"/>
          </w:tcPr>
          <w:p w14:paraId="55F048A8">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1423" w:type="dxa"/>
            <w:vAlign w:val="center"/>
          </w:tcPr>
          <w:p w14:paraId="60ED3D74">
            <w:pPr>
              <w:spacing w:line="240" w:lineRule="auto"/>
              <w:ind w:firstLine="420"/>
              <w:jc w:val="center"/>
              <w:rPr>
                <w:rFonts w:ascii="仿宋_GB2312" w:eastAsia="仿宋_GB2312"/>
                <w:kern w:val="0"/>
              </w:rPr>
            </w:pPr>
          </w:p>
        </w:tc>
      </w:tr>
      <w:tr w14:paraId="31CFE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7F7AC7B">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3D009FA">
            <w:pPr>
              <w:spacing w:line="240" w:lineRule="auto"/>
              <w:ind w:firstLine="420"/>
              <w:jc w:val="center"/>
              <w:rPr>
                <w:rFonts w:ascii="仿宋_GB2312" w:eastAsia="仿宋_GB2312"/>
                <w:kern w:val="0"/>
              </w:rPr>
            </w:pPr>
          </w:p>
        </w:tc>
        <w:tc>
          <w:tcPr>
            <w:tcW w:w="1029" w:type="dxa"/>
            <w:vMerge w:val="continue"/>
            <w:vAlign w:val="center"/>
          </w:tcPr>
          <w:p w14:paraId="5205FC34">
            <w:pPr>
              <w:spacing w:line="240" w:lineRule="auto"/>
              <w:jc w:val="center"/>
              <w:rPr>
                <w:rFonts w:hint="eastAsia" w:ascii="仿宋_GB2312" w:hAnsi="宋体" w:eastAsia="仿宋_GB2312" w:cs="宋体"/>
                <w:kern w:val="0"/>
              </w:rPr>
            </w:pPr>
          </w:p>
        </w:tc>
        <w:tc>
          <w:tcPr>
            <w:tcW w:w="1249" w:type="dxa"/>
            <w:shd w:val="clear" w:color="auto" w:fill="auto"/>
            <w:vAlign w:val="center"/>
          </w:tcPr>
          <w:p w14:paraId="5007F162">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智慧工地视频监控等智慧板块覆盖率</w:t>
            </w:r>
          </w:p>
        </w:tc>
        <w:tc>
          <w:tcPr>
            <w:tcW w:w="1298" w:type="dxa"/>
            <w:shd w:val="clear" w:color="auto" w:fill="auto"/>
            <w:vAlign w:val="center"/>
          </w:tcPr>
          <w:p w14:paraId="4F4BFA20">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40%</w:t>
            </w:r>
          </w:p>
        </w:tc>
        <w:tc>
          <w:tcPr>
            <w:tcW w:w="1269" w:type="dxa"/>
            <w:shd w:val="clear" w:color="auto" w:fill="auto"/>
            <w:vAlign w:val="center"/>
          </w:tcPr>
          <w:p w14:paraId="5DBD7D22">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40%</w:t>
            </w:r>
          </w:p>
        </w:tc>
        <w:tc>
          <w:tcPr>
            <w:tcW w:w="699" w:type="dxa"/>
            <w:shd w:val="clear" w:color="auto" w:fill="auto"/>
            <w:vAlign w:val="center"/>
          </w:tcPr>
          <w:p w14:paraId="6A6ACDE0">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2</w:t>
            </w:r>
          </w:p>
        </w:tc>
        <w:tc>
          <w:tcPr>
            <w:tcW w:w="869" w:type="dxa"/>
            <w:shd w:val="clear" w:color="auto" w:fill="auto"/>
            <w:vAlign w:val="center"/>
          </w:tcPr>
          <w:p w14:paraId="70FBE9F3">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2</w:t>
            </w:r>
          </w:p>
        </w:tc>
        <w:tc>
          <w:tcPr>
            <w:tcW w:w="1423" w:type="dxa"/>
            <w:shd w:val="clear" w:color="auto" w:fill="auto"/>
            <w:vAlign w:val="center"/>
          </w:tcPr>
          <w:p w14:paraId="326F60DC">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62D31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EB5C2BB">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ABECD92">
            <w:pPr>
              <w:spacing w:line="240" w:lineRule="auto"/>
              <w:ind w:firstLine="420"/>
              <w:jc w:val="center"/>
              <w:rPr>
                <w:rFonts w:ascii="仿宋_GB2312" w:eastAsia="仿宋_GB2312"/>
                <w:kern w:val="0"/>
              </w:rPr>
            </w:pPr>
          </w:p>
        </w:tc>
        <w:tc>
          <w:tcPr>
            <w:tcW w:w="1029" w:type="dxa"/>
            <w:vMerge w:val="continue"/>
            <w:vAlign w:val="center"/>
          </w:tcPr>
          <w:p w14:paraId="6D96A04D">
            <w:pPr>
              <w:spacing w:line="240" w:lineRule="auto"/>
              <w:jc w:val="center"/>
              <w:rPr>
                <w:rFonts w:hint="eastAsia" w:ascii="仿宋_GB2312" w:hAnsi="宋体" w:eastAsia="仿宋_GB2312" w:cs="宋体"/>
                <w:kern w:val="0"/>
              </w:rPr>
            </w:pPr>
          </w:p>
        </w:tc>
        <w:tc>
          <w:tcPr>
            <w:tcW w:w="1249" w:type="dxa"/>
            <w:shd w:val="clear" w:color="auto" w:fill="auto"/>
            <w:vAlign w:val="center"/>
          </w:tcPr>
          <w:p w14:paraId="47FCC17E">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施工现场质量安全样板</w:t>
            </w:r>
          </w:p>
        </w:tc>
        <w:tc>
          <w:tcPr>
            <w:tcW w:w="1298" w:type="dxa"/>
            <w:shd w:val="clear" w:color="auto" w:fill="auto"/>
            <w:vAlign w:val="center"/>
          </w:tcPr>
          <w:p w14:paraId="4BEF7A57">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覆盖率全面提升</w:t>
            </w:r>
          </w:p>
        </w:tc>
        <w:tc>
          <w:tcPr>
            <w:tcW w:w="1269" w:type="dxa"/>
            <w:shd w:val="clear" w:color="auto" w:fill="auto"/>
            <w:vAlign w:val="center"/>
          </w:tcPr>
          <w:p w14:paraId="6D16278B">
            <w:pPr>
              <w:spacing w:line="240" w:lineRule="auto"/>
              <w:jc w:val="both"/>
              <w:rPr>
                <w:rFonts w:hint="default"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覆盖率全面提升</w:t>
            </w:r>
          </w:p>
        </w:tc>
        <w:tc>
          <w:tcPr>
            <w:tcW w:w="699" w:type="dxa"/>
            <w:shd w:val="clear" w:color="auto" w:fill="auto"/>
            <w:vAlign w:val="center"/>
          </w:tcPr>
          <w:p w14:paraId="2218B4E0">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869" w:type="dxa"/>
            <w:shd w:val="clear" w:color="auto" w:fill="auto"/>
            <w:vAlign w:val="center"/>
          </w:tcPr>
          <w:p w14:paraId="0E9F705B">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1423" w:type="dxa"/>
            <w:vAlign w:val="center"/>
          </w:tcPr>
          <w:p w14:paraId="60404B2D">
            <w:pPr>
              <w:spacing w:line="240" w:lineRule="auto"/>
              <w:ind w:firstLine="420"/>
              <w:jc w:val="center"/>
              <w:rPr>
                <w:rFonts w:ascii="仿宋_GB2312" w:eastAsia="仿宋_GB2312"/>
                <w:kern w:val="0"/>
              </w:rPr>
            </w:pPr>
          </w:p>
        </w:tc>
      </w:tr>
      <w:tr w14:paraId="3CE75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557DA5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10B68DF">
            <w:pPr>
              <w:spacing w:line="240" w:lineRule="auto"/>
              <w:ind w:firstLine="420"/>
              <w:jc w:val="center"/>
              <w:rPr>
                <w:rFonts w:ascii="仿宋_GB2312" w:eastAsia="仿宋_GB2312"/>
                <w:kern w:val="0"/>
              </w:rPr>
            </w:pPr>
          </w:p>
        </w:tc>
        <w:tc>
          <w:tcPr>
            <w:tcW w:w="1029" w:type="dxa"/>
            <w:vMerge w:val="continue"/>
            <w:vAlign w:val="center"/>
          </w:tcPr>
          <w:p w14:paraId="16D024B2">
            <w:pPr>
              <w:spacing w:line="240" w:lineRule="auto"/>
              <w:jc w:val="center"/>
              <w:rPr>
                <w:rFonts w:hint="eastAsia" w:ascii="仿宋_GB2312" w:hAnsi="宋体" w:eastAsia="仿宋_GB2312" w:cs="宋体"/>
                <w:kern w:val="0"/>
              </w:rPr>
            </w:pPr>
          </w:p>
        </w:tc>
        <w:tc>
          <w:tcPr>
            <w:tcW w:w="1249" w:type="dxa"/>
            <w:shd w:val="clear" w:color="auto" w:fill="auto"/>
            <w:vAlign w:val="center"/>
          </w:tcPr>
          <w:p w14:paraId="10E802A3">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房屋质量</w:t>
            </w:r>
          </w:p>
        </w:tc>
        <w:tc>
          <w:tcPr>
            <w:tcW w:w="1298" w:type="dxa"/>
            <w:shd w:val="clear" w:color="auto" w:fill="auto"/>
            <w:vAlign w:val="center"/>
          </w:tcPr>
          <w:p w14:paraId="68F24C3D">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无较重大及以上质量安全事故</w:t>
            </w:r>
          </w:p>
        </w:tc>
        <w:tc>
          <w:tcPr>
            <w:tcW w:w="1269" w:type="dxa"/>
            <w:shd w:val="clear" w:color="auto" w:fill="auto"/>
            <w:vAlign w:val="center"/>
          </w:tcPr>
          <w:p w14:paraId="1CF936D0">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无较重大及以上质量安全事故</w:t>
            </w:r>
          </w:p>
        </w:tc>
        <w:tc>
          <w:tcPr>
            <w:tcW w:w="699" w:type="dxa"/>
            <w:shd w:val="clear" w:color="auto" w:fill="auto"/>
            <w:vAlign w:val="center"/>
          </w:tcPr>
          <w:p w14:paraId="2BA3B132">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869" w:type="dxa"/>
            <w:shd w:val="clear" w:color="auto" w:fill="auto"/>
            <w:vAlign w:val="center"/>
          </w:tcPr>
          <w:p w14:paraId="6B2725EF">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1423" w:type="dxa"/>
            <w:vAlign w:val="center"/>
          </w:tcPr>
          <w:p w14:paraId="24419D89">
            <w:pPr>
              <w:spacing w:line="240" w:lineRule="auto"/>
              <w:ind w:firstLine="420"/>
              <w:jc w:val="center"/>
              <w:rPr>
                <w:rFonts w:ascii="仿宋_GB2312" w:eastAsia="仿宋_GB2312"/>
                <w:kern w:val="0"/>
              </w:rPr>
            </w:pPr>
          </w:p>
        </w:tc>
      </w:tr>
      <w:tr w14:paraId="359A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407374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5D49AC1">
            <w:pPr>
              <w:spacing w:line="240" w:lineRule="auto"/>
              <w:ind w:firstLine="420"/>
              <w:jc w:val="center"/>
              <w:rPr>
                <w:rFonts w:ascii="仿宋_GB2312" w:eastAsia="仿宋_GB2312"/>
                <w:kern w:val="0"/>
              </w:rPr>
            </w:pPr>
          </w:p>
        </w:tc>
        <w:tc>
          <w:tcPr>
            <w:tcW w:w="1029" w:type="dxa"/>
            <w:vMerge w:val="continue"/>
            <w:vAlign w:val="center"/>
          </w:tcPr>
          <w:p w14:paraId="1F6E1C7D">
            <w:pPr>
              <w:spacing w:line="240" w:lineRule="auto"/>
              <w:jc w:val="center"/>
              <w:rPr>
                <w:rFonts w:hint="eastAsia" w:ascii="仿宋_GB2312" w:hAnsi="宋体" w:eastAsia="仿宋_GB2312" w:cs="宋体"/>
                <w:kern w:val="0"/>
              </w:rPr>
            </w:pPr>
          </w:p>
        </w:tc>
        <w:tc>
          <w:tcPr>
            <w:tcW w:w="1249" w:type="dxa"/>
            <w:shd w:val="clear" w:color="auto" w:fill="auto"/>
            <w:vAlign w:val="center"/>
          </w:tcPr>
          <w:p w14:paraId="4810A8C0">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工程建设消防安全</w:t>
            </w:r>
          </w:p>
        </w:tc>
        <w:tc>
          <w:tcPr>
            <w:tcW w:w="1298" w:type="dxa"/>
            <w:shd w:val="clear" w:color="auto" w:fill="auto"/>
            <w:vAlign w:val="center"/>
          </w:tcPr>
          <w:p w14:paraId="59027AD5">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不发生较大消防安全事故</w:t>
            </w:r>
          </w:p>
        </w:tc>
        <w:tc>
          <w:tcPr>
            <w:tcW w:w="1269" w:type="dxa"/>
            <w:shd w:val="clear" w:color="auto" w:fill="auto"/>
            <w:vAlign w:val="center"/>
          </w:tcPr>
          <w:p w14:paraId="588BB151">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不发生较大消防安全事故</w:t>
            </w:r>
          </w:p>
        </w:tc>
        <w:tc>
          <w:tcPr>
            <w:tcW w:w="699" w:type="dxa"/>
            <w:shd w:val="clear" w:color="auto" w:fill="auto"/>
            <w:vAlign w:val="center"/>
          </w:tcPr>
          <w:p w14:paraId="14E09B2E">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869" w:type="dxa"/>
            <w:shd w:val="clear" w:color="auto" w:fill="auto"/>
            <w:vAlign w:val="center"/>
          </w:tcPr>
          <w:p w14:paraId="3722A31D">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1423" w:type="dxa"/>
            <w:vAlign w:val="center"/>
          </w:tcPr>
          <w:p w14:paraId="4DEDCFD2">
            <w:pPr>
              <w:spacing w:line="240" w:lineRule="auto"/>
              <w:ind w:firstLine="420"/>
              <w:jc w:val="center"/>
              <w:rPr>
                <w:rFonts w:ascii="仿宋_GB2312" w:eastAsia="仿宋_GB2312"/>
                <w:kern w:val="0"/>
              </w:rPr>
            </w:pPr>
          </w:p>
        </w:tc>
      </w:tr>
      <w:tr w14:paraId="69128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5C4E09F">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03ECA19">
            <w:pPr>
              <w:spacing w:line="240" w:lineRule="auto"/>
              <w:ind w:firstLine="420"/>
              <w:jc w:val="center"/>
              <w:rPr>
                <w:rFonts w:ascii="仿宋_GB2312" w:eastAsia="仿宋_GB2312"/>
                <w:kern w:val="0"/>
              </w:rPr>
            </w:pPr>
          </w:p>
        </w:tc>
        <w:tc>
          <w:tcPr>
            <w:tcW w:w="1029" w:type="dxa"/>
            <w:vMerge w:val="continue"/>
            <w:vAlign w:val="center"/>
          </w:tcPr>
          <w:p w14:paraId="6C5A55F0">
            <w:pPr>
              <w:spacing w:line="240" w:lineRule="auto"/>
              <w:jc w:val="center"/>
              <w:rPr>
                <w:rFonts w:hint="eastAsia" w:ascii="仿宋_GB2312" w:hAnsi="宋体" w:eastAsia="仿宋_GB2312" w:cs="宋体"/>
                <w:kern w:val="0"/>
              </w:rPr>
            </w:pPr>
          </w:p>
        </w:tc>
        <w:tc>
          <w:tcPr>
            <w:tcW w:w="1249" w:type="dxa"/>
            <w:shd w:val="clear" w:color="auto" w:fill="auto"/>
            <w:vAlign w:val="center"/>
          </w:tcPr>
          <w:p w14:paraId="10B83C0E">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在建项目劳务实名制</w:t>
            </w:r>
          </w:p>
        </w:tc>
        <w:tc>
          <w:tcPr>
            <w:tcW w:w="1298" w:type="dxa"/>
            <w:shd w:val="clear" w:color="auto" w:fill="auto"/>
            <w:vAlign w:val="center"/>
          </w:tcPr>
          <w:p w14:paraId="61556412">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全覆盖</w:t>
            </w:r>
          </w:p>
        </w:tc>
        <w:tc>
          <w:tcPr>
            <w:tcW w:w="1269" w:type="dxa"/>
            <w:shd w:val="clear" w:color="auto" w:fill="auto"/>
            <w:vAlign w:val="center"/>
          </w:tcPr>
          <w:p w14:paraId="2C2D6362">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全覆盖</w:t>
            </w:r>
          </w:p>
        </w:tc>
        <w:tc>
          <w:tcPr>
            <w:tcW w:w="699" w:type="dxa"/>
            <w:shd w:val="clear" w:color="auto" w:fill="auto"/>
            <w:vAlign w:val="center"/>
          </w:tcPr>
          <w:p w14:paraId="7A8882F0">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869" w:type="dxa"/>
            <w:shd w:val="clear" w:color="auto" w:fill="auto"/>
            <w:vAlign w:val="center"/>
          </w:tcPr>
          <w:p w14:paraId="6FEDBCE0">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1423" w:type="dxa"/>
            <w:vAlign w:val="center"/>
          </w:tcPr>
          <w:p w14:paraId="5BD56318">
            <w:pPr>
              <w:spacing w:line="240" w:lineRule="auto"/>
              <w:ind w:firstLine="420"/>
              <w:jc w:val="center"/>
              <w:rPr>
                <w:rFonts w:ascii="仿宋_GB2312" w:eastAsia="仿宋_GB2312"/>
                <w:kern w:val="0"/>
              </w:rPr>
            </w:pPr>
          </w:p>
        </w:tc>
      </w:tr>
      <w:tr w14:paraId="63309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7649FC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C2AA41F">
            <w:pPr>
              <w:spacing w:line="240" w:lineRule="auto"/>
              <w:ind w:firstLine="420"/>
              <w:jc w:val="center"/>
              <w:rPr>
                <w:rFonts w:ascii="仿宋_GB2312" w:eastAsia="仿宋_GB2312"/>
                <w:kern w:val="0"/>
              </w:rPr>
            </w:pPr>
          </w:p>
        </w:tc>
        <w:tc>
          <w:tcPr>
            <w:tcW w:w="1029" w:type="dxa"/>
            <w:vMerge w:val="continue"/>
            <w:vAlign w:val="center"/>
          </w:tcPr>
          <w:p w14:paraId="3E566AD0">
            <w:pPr>
              <w:spacing w:line="240" w:lineRule="auto"/>
              <w:jc w:val="center"/>
              <w:rPr>
                <w:rFonts w:hint="eastAsia" w:ascii="仿宋_GB2312" w:hAnsi="宋体" w:eastAsia="仿宋_GB2312" w:cs="宋体"/>
                <w:kern w:val="0"/>
              </w:rPr>
            </w:pPr>
          </w:p>
        </w:tc>
        <w:tc>
          <w:tcPr>
            <w:tcW w:w="1249" w:type="dxa"/>
            <w:shd w:val="clear" w:color="auto" w:fill="auto"/>
            <w:vAlign w:val="center"/>
          </w:tcPr>
          <w:p w14:paraId="756634DA">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建筑工程质量安全</w:t>
            </w:r>
          </w:p>
        </w:tc>
        <w:tc>
          <w:tcPr>
            <w:tcW w:w="1298" w:type="dxa"/>
            <w:shd w:val="clear" w:color="auto" w:fill="auto"/>
            <w:vAlign w:val="center"/>
          </w:tcPr>
          <w:p w14:paraId="599DAACA">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不发生较大安全生产事故</w:t>
            </w:r>
          </w:p>
        </w:tc>
        <w:tc>
          <w:tcPr>
            <w:tcW w:w="1269" w:type="dxa"/>
            <w:shd w:val="clear" w:color="auto" w:fill="auto"/>
            <w:vAlign w:val="center"/>
          </w:tcPr>
          <w:p w14:paraId="1CCED82B">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不发生较大安全生产事故</w:t>
            </w:r>
          </w:p>
        </w:tc>
        <w:tc>
          <w:tcPr>
            <w:tcW w:w="699" w:type="dxa"/>
            <w:shd w:val="clear" w:color="auto" w:fill="auto"/>
            <w:vAlign w:val="center"/>
          </w:tcPr>
          <w:p w14:paraId="75BAC722">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869" w:type="dxa"/>
            <w:shd w:val="clear" w:color="auto" w:fill="auto"/>
            <w:vAlign w:val="center"/>
          </w:tcPr>
          <w:p w14:paraId="35447212">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1423" w:type="dxa"/>
            <w:vAlign w:val="center"/>
          </w:tcPr>
          <w:p w14:paraId="7F73DC31">
            <w:pPr>
              <w:spacing w:line="240" w:lineRule="auto"/>
              <w:ind w:firstLine="420"/>
              <w:jc w:val="center"/>
              <w:rPr>
                <w:rFonts w:ascii="仿宋_GB2312" w:eastAsia="仿宋_GB2312"/>
                <w:kern w:val="0"/>
              </w:rPr>
            </w:pPr>
          </w:p>
        </w:tc>
      </w:tr>
      <w:tr w14:paraId="14D7B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C0DF8F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C71C01">
            <w:pPr>
              <w:spacing w:line="240" w:lineRule="auto"/>
              <w:ind w:firstLine="420"/>
              <w:jc w:val="center"/>
              <w:rPr>
                <w:rFonts w:ascii="仿宋_GB2312" w:eastAsia="仿宋_GB2312"/>
                <w:kern w:val="0"/>
              </w:rPr>
            </w:pPr>
          </w:p>
        </w:tc>
        <w:tc>
          <w:tcPr>
            <w:tcW w:w="1029" w:type="dxa"/>
            <w:vMerge w:val="continue"/>
            <w:vAlign w:val="center"/>
          </w:tcPr>
          <w:p w14:paraId="0815CD95">
            <w:pPr>
              <w:spacing w:line="240" w:lineRule="auto"/>
              <w:jc w:val="center"/>
              <w:rPr>
                <w:rFonts w:hint="eastAsia" w:ascii="仿宋_GB2312" w:hAnsi="宋体" w:eastAsia="仿宋_GB2312" w:cs="宋体"/>
                <w:kern w:val="0"/>
              </w:rPr>
            </w:pPr>
          </w:p>
        </w:tc>
        <w:tc>
          <w:tcPr>
            <w:tcW w:w="1249" w:type="dxa"/>
            <w:shd w:val="clear" w:color="auto" w:fill="auto"/>
            <w:vAlign w:val="center"/>
          </w:tcPr>
          <w:p w14:paraId="69A0342B">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现场质量安全巡查</w:t>
            </w:r>
          </w:p>
        </w:tc>
        <w:tc>
          <w:tcPr>
            <w:tcW w:w="1298" w:type="dxa"/>
            <w:shd w:val="clear" w:color="auto" w:fill="auto"/>
            <w:vAlign w:val="center"/>
          </w:tcPr>
          <w:p w14:paraId="3CD6B470">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每月一次以上</w:t>
            </w:r>
          </w:p>
        </w:tc>
        <w:tc>
          <w:tcPr>
            <w:tcW w:w="1269" w:type="dxa"/>
            <w:shd w:val="clear" w:color="auto" w:fill="auto"/>
            <w:vAlign w:val="center"/>
          </w:tcPr>
          <w:p w14:paraId="3CBD1021">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每月一次以上</w:t>
            </w:r>
          </w:p>
        </w:tc>
        <w:tc>
          <w:tcPr>
            <w:tcW w:w="699" w:type="dxa"/>
            <w:shd w:val="clear" w:color="auto" w:fill="auto"/>
            <w:vAlign w:val="center"/>
          </w:tcPr>
          <w:p w14:paraId="4B5983CC">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869" w:type="dxa"/>
            <w:shd w:val="clear" w:color="auto" w:fill="auto"/>
            <w:vAlign w:val="center"/>
          </w:tcPr>
          <w:p w14:paraId="697A7652">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w:t>
            </w:r>
          </w:p>
        </w:tc>
        <w:tc>
          <w:tcPr>
            <w:tcW w:w="1423" w:type="dxa"/>
            <w:vAlign w:val="center"/>
          </w:tcPr>
          <w:p w14:paraId="478E35EA">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shd w:val="clear" w:color="auto" w:fill="auto"/>
            <w:vAlign w:val="center"/>
          </w:tcPr>
          <w:p w14:paraId="5323318C">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按计划时间完成</w:t>
            </w:r>
          </w:p>
        </w:tc>
        <w:tc>
          <w:tcPr>
            <w:tcW w:w="1298" w:type="dxa"/>
            <w:shd w:val="clear" w:color="auto" w:fill="auto"/>
            <w:vAlign w:val="center"/>
          </w:tcPr>
          <w:p w14:paraId="479FA5D5">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2023年1-12月</w:t>
            </w:r>
          </w:p>
        </w:tc>
        <w:tc>
          <w:tcPr>
            <w:tcW w:w="1269" w:type="dxa"/>
            <w:shd w:val="clear" w:color="auto" w:fill="auto"/>
            <w:vAlign w:val="center"/>
          </w:tcPr>
          <w:p w14:paraId="5C1B3402">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按计划完成</w:t>
            </w:r>
          </w:p>
        </w:tc>
        <w:tc>
          <w:tcPr>
            <w:tcW w:w="699" w:type="dxa"/>
            <w:shd w:val="clear" w:color="auto" w:fill="auto"/>
            <w:vAlign w:val="center"/>
          </w:tcPr>
          <w:p w14:paraId="4C56B99F">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869" w:type="dxa"/>
            <w:shd w:val="clear" w:color="auto" w:fill="auto"/>
            <w:vAlign w:val="center"/>
          </w:tcPr>
          <w:p w14:paraId="5DA34835">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1423" w:type="dxa"/>
            <w:vAlign w:val="center"/>
          </w:tcPr>
          <w:p w14:paraId="7BF8C6A4">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shd w:val="clear" w:color="auto" w:fill="auto"/>
            <w:vAlign w:val="center"/>
          </w:tcPr>
          <w:p w14:paraId="32611957">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提高人居生活质量</w:t>
            </w:r>
          </w:p>
        </w:tc>
        <w:tc>
          <w:tcPr>
            <w:tcW w:w="1298" w:type="dxa"/>
            <w:shd w:val="clear" w:color="auto" w:fill="auto"/>
            <w:vAlign w:val="center"/>
          </w:tcPr>
          <w:p w14:paraId="078289F3">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不形成负面影响</w:t>
            </w:r>
          </w:p>
        </w:tc>
        <w:tc>
          <w:tcPr>
            <w:tcW w:w="1269" w:type="dxa"/>
            <w:shd w:val="clear" w:color="auto" w:fill="auto"/>
            <w:vAlign w:val="center"/>
          </w:tcPr>
          <w:p w14:paraId="7A453B87">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不形成负面影响</w:t>
            </w:r>
          </w:p>
        </w:tc>
        <w:tc>
          <w:tcPr>
            <w:tcW w:w="699" w:type="dxa"/>
            <w:shd w:val="clear" w:color="auto" w:fill="auto"/>
            <w:vAlign w:val="center"/>
          </w:tcPr>
          <w:p w14:paraId="415A3F60">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869" w:type="dxa"/>
            <w:shd w:val="clear" w:color="auto" w:fill="auto"/>
            <w:vAlign w:val="center"/>
          </w:tcPr>
          <w:p w14:paraId="2AC58B95">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1423" w:type="dxa"/>
            <w:vAlign w:val="center"/>
          </w:tcPr>
          <w:p w14:paraId="63D43995">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shd w:val="clear" w:color="auto" w:fill="auto"/>
            <w:vAlign w:val="center"/>
          </w:tcPr>
          <w:p w14:paraId="5D9BC272">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群众对质量安全的认识</w:t>
            </w:r>
          </w:p>
        </w:tc>
        <w:tc>
          <w:tcPr>
            <w:tcW w:w="1298" w:type="dxa"/>
            <w:shd w:val="clear" w:color="auto" w:fill="auto"/>
            <w:vAlign w:val="center"/>
          </w:tcPr>
          <w:p w14:paraId="6E8C4873">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让质量安全更深入人心</w:t>
            </w:r>
          </w:p>
        </w:tc>
        <w:tc>
          <w:tcPr>
            <w:tcW w:w="1269" w:type="dxa"/>
            <w:shd w:val="clear" w:color="auto" w:fill="auto"/>
            <w:vAlign w:val="center"/>
          </w:tcPr>
          <w:p w14:paraId="4886005B">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让质量安全更深入人心</w:t>
            </w:r>
          </w:p>
        </w:tc>
        <w:tc>
          <w:tcPr>
            <w:tcW w:w="699" w:type="dxa"/>
            <w:shd w:val="clear" w:color="auto" w:fill="auto"/>
            <w:vAlign w:val="center"/>
          </w:tcPr>
          <w:p w14:paraId="75FAE414">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4</w:t>
            </w:r>
          </w:p>
        </w:tc>
        <w:tc>
          <w:tcPr>
            <w:tcW w:w="869" w:type="dxa"/>
            <w:shd w:val="clear" w:color="auto" w:fill="auto"/>
            <w:vAlign w:val="center"/>
          </w:tcPr>
          <w:p w14:paraId="3309901E">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4</w:t>
            </w:r>
          </w:p>
        </w:tc>
        <w:tc>
          <w:tcPr>
            <w:tcW w:w="1423" w:type="dxa"/>
            <w:vAlign w:val="center"/>
          </w:tcPr>
          <w:p w14:paraId="4D65F265">
            <w:pPr>
              <w:spacing w:line="240" w:lineRule="auto"/>
              <w:ind w:firstLine="420"/>
              <w:jc w:val="center"/>
              <w:rPr>
                <w:rFonts w:ascii="仿宋_GB2312" w:eastAsia="仿宋_GB2312"/>
                <w:kern w:val="0"/>
              </w:rPr>
            </w:pPr>
          </w:p>
        </w:tc>
      </w:tr>
      <w:tr w14:paraId="4F4B8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F4D5ED">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F690B6B">
            <w:pPr>
              <w:spacing w:line="240" w:lineRule="auto"/>
              <w:ind w:firstLine="420"/>
              <w:jc w:val="center"/>
              <w:rPr>
                <w:rFonts w:ascii="仿宋_GB2312" w:eastAsia="仿宋_GB2312"/>
                <w:kern w:val="0"/>
              </w:rPr>
            </w:pPr>
          </w:p>
        </w:tc>
        <w:tc>
          <w:tcPr>
            <w:tcW w:w="1029" w:type="dxa"/>
            <w:vMerge w:val="continue"/>
            <w:vAlign w:val="center"/>
          </w:tcPr>
          <w:p w14:paraId="728E86D8">
            <w:pPr>
              <w:spacing w:line="240" w:lineRule="auto"/>
              <w:jc w:val="center"/>
              <w:rPr>
                <w:rFonts w:hint="eastAsia" w:ascii="仿宋_GB2312" w:hAnsi="宋体" w:eastAsia="仿宋_GB2312" w:cs="宋体"/>
                <w:kern w:val="0"/>
              </w:rPr>
            </w:pPr>
          </w:p>
        </w:tc>
        <w:tc>
          <w:tcPr>
            <w:tcW w:w="1249" w:type="dxa"/>
            <w:shd w:val="clear" w:color="auto" w:fill="auto"/>
            <w:vAlign w:val="center"/>
          </w:tcPr>
          <w:p w14:paraId="747CACB4">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工程质量安全形式</w:t>
            </w:r>
          </w:p>
        </w:tc>
        <w:tc>
          <w:tcPr>
            <w:tcW w:w="1298" w:type="dxa"/>
            <w:shd w:val="clear" w:color="auto" w:fill="auto"/>
            <w:vAlign w:val="center"/>
          </w:tcPr>
          <w:p w14:paraId="5A9242A9">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整体平稳</w:t>
            </w:r>
          </w:p>
        </w:tc>
        <w:tc>
          <w:tcPr>
            <w:tcW w:w="1269" w:type="dxa"/>
            <w:shd w:val="clear" w:color="auto" w:fill="auto"/>
            <w:vAlign w:val="center"/>
          </w:tcPr>
          <w:p w14:paraId="67E216B0">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整体平稳</w:t>
            </w:r>
          </w:p>
        </w:tc>
        <w:tc>
          <w:tcPr>
            <w:tcW w:w="699" w:type="dxa"/>
            <w:shd w:val="clear" w:color="auto" w:fill="auto"/>
            <w:vAlign w:val="center"/>
          </w:tcPr>
          <w:p w14:paraId="1E6E96A0">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3</w:t>
            </w:r>
          </w:p>
        </w:tc>
        <w:tc>
          <w:tcPr>
            <w:tcW w:w="869" w:type="dxa"/>
            <w:shd w:val="clear" w:color="auto" w:fill="auto"/>
            <w:vAlign w:val="center"/>
          </w:tcPr>
          <w:p w14:paraId="46B5C575">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3</w:t>
            </w:r>
          </w:p>
        </w:tc>
        <w:tc>
          <w:tcPr>
            <w:tcW w:w="1423" w:type="dxa"/>
            <w:vAlign w:val="center"/>
          </w:tcPr>
          <w:p w14:paraId="18D704B4">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293963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shd w:val="clear" w:color="auto" w:fill="auto"/>
            <w:vAlign w:val="center"/>
          </w:tcPr>
          <w:p w14:paraId="710DCE7A">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优化、简化监督注册流程</w:t>
            </w:r>
          </w:p>
        </w:tc>
        <w:tc>
          <w:tcPr>
            <w:tcW w:w="1298" w:type="dxa"/>
            <w:shd w:val="clear" w:color="auto" w:fill="auto"/>
            <w:vAlign w:val="center"/>
          </w:tcPr>
          <w:p w14:paraId="610F1A26">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让群众省心省力</w:t>
            </w:r>
          </w:p>
        </w:tc>
        <w:tc>
          <w:tcPr>
            <w:tcW w:w="1269" w:type="dxa"/>
            <w:shd w:val="clear" w:color="auto" w:fill="auto"/>
            <w:vAlign w:val="center"/>
          </w:tcPr>
          <w:p w14:paraId="4AC02997">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让群众省心省力</w:t>
            </w:r>
          </w:p>
        </w:tc>
        <w:tc>
          <w:tcPr>
            <w:tcW w:w="699" w:type="dxa"/>
            <w:shd w:val="clear" w:color="auto" w:fill="auto"/>
            <w:vAlign w:val="center"/>
          </w:tcPr>
          <w:p w14:paraId="56C66EDF">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3</w:t>
            </w:r>
          </w:p>
        </w:tc>
        <w:tc>
          <w:tcPr>
            <w:tcW w:w="869" w:type="dxa"/>
            <w:shd w:val="clear" w:color="auto" w:fill="auto"/>
            <w:vAlign w:val="center"/>
          </w:tcPr>
          <w:p w14:paraId="14AC2896">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3</w:t>
            </w: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shd w:val="clear" w:color="auto" w:fill="auto"/>
            <w:vAlign w:val="center"/>
          </w:tcPr>
          <w:p w14:paraId="4DC60689">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严格控制建筑施工扬尘，促进建筑产业绿色发展</w:t>
            </w:r>
          </w:p>
        </w:tc>
        <w:tc>
          <w:tcPr>
            <w:tcW w:w="1298" w:type="dxa"/>
            <w:shd w:val="clear" w:color="auto" w:fill="auto"/>
            <w:vAlign w:val="center"/>
          </w:tcPr>
          <w:p w14:paraId="45B96CBB">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工程项目质量绿色安全可靠</w:t>
            </w:r>
          </w:p>
        </w:tc>
        <w:tc>
          <w:tcPr>
            <w:tcW w:w="1269" w:type="dxa"/>
            <w:shd w:val="clear" w:color="auto" w:fill="auto"/>
            <w:vAlign w:val="center"/>
          </w:tcPr>
          <w:p w14:paraId="35C3564D">
            <w:pPr>
              <w:spacing w:line="240" w:lineRule="auto"/>
              <w:jc w:val="both"/>
              <w:rPr>
                <w:rFonts w:hint="default"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工程项目质量绿色安全可靠</w:t>
            </w:r>
          </w:p>
        </w:tc>
        <w:tc>
          <w:tcPr>
            <w:tcW w:w="699" w:type="dxa"/>
            <w:shd w:val="clear" w:color="auto" w:fill="auto"/>
            <w:vAlign w:val="center"/>
          </w:tcPr>
          <w:p w14:paraId="6A822248">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w:t>
            </w:r>
          </w:p>
        </w:tc>
        <w:tc>
          <w:tcPr>
            <w:tcW w:w="869" w:type="dxa"/>
            <w:shd w:val="clear" w:color="auto" w:fill="auto"/>
            <w:vAlign w:val="center"/>
          </w:tcPr>
          <w:p w14:paraId="73C931F8">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w:t>
            </w:r>
          </w:p>
        </w:tc>
        <w:tc>
          <w:tcPr>
            <w:tcW w:w="1423" w:type="dxa"/>
            <w:vAlign w:val="center"/>
          </w:tcPr>
          <w:p w14:paraId="0E6767B7">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shd w:val="clear" w:color="auto" w:fill="auto"/>
            <w:vAlign w:val="center"/>
          </w:tcPr>
          <w:p w14:paraId="1B548B4C">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建筑市场平稳有序发展</w:t>
            </w:r>
          </w:p>
        </w:tc>
        <w:tc>
          <w:tcPr>
            <w:tcW w:w="1298" w:type="dxa"/>
            <w:shd w:val="clear" w:color="auto" w:fill="auto"/>
            <w:vAlign w:val="center"/>
          </w:tcPr>
          <w:p w14:paraId="055B34ED">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95%以上</w:t>
            </w:r>
          </w:p>
        </w:tc>
        <w:tc>
          <w:tcPr>
            <w:tcW w:w="1269" w:type="dxa"/>
            <w:shd w:val="clear" w:color="auto" w:fill="auto"/>
            <w:vAlign w:val="center"/>
          </w:tcPr>
          <w:p w14:paraId="46B41467">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95%以上</w:t>
            </w:r>
          </w:p>
        </w:tc>
        <w:tc>
          <w:tcPr>
            <w:tcW w:w="699" w:type="dxa"/>
            <w:shd w:val="clear" w:color="auto" w:fill="auto"/>
            <w:vAlign w:val="center"/>
          </w:tcPr>
          <w:p w14:paraId="447C4D99">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w:t>
            </w:r>
          </w:p>
        </w:tc>
        <w:tc>
          <w:tcPr>
            <w:tcW w:w="869" w:type="dxa"/>
            <w:shd w:val="clear" w:color="auto" w:fill="auto"/>
            <w:vAlign w:val="center"/>
          </w:tcPr>
          <w:p w14:paraId="71C7C72F">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w:t>
            </w:r>
          </w:p>
        </w:tc>
        <w:tc>
          <w:tcPr>
            <w:tcW w:w="1423" w:type="dxa"/>
            <w:vAlign w:val="center"/>
          </w:tcPr>
          <w:p w14:paraId="04D49FFC">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shd w:val="clear" w:color="auto" w:fill="auto"/>
            <w:vAlign w:val="center"/>
          </w:tcPr>
          <w:p w14:paraId="4F2AFDD1">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施工企业、业主、群众满意度非常高</w:t>
            </w:r>
          </w:p>
        </w:tc>
        <w:tc>
          <w:tcPr>
            <w:tcW w:w="1298" w:type="dxa"/>
            <w:shd w:val="clear" w:color="auto" w:fill="auto"/>
            <w:vAlign w:val="center"/>
          </w:tcPr>
          <w:p w14:paraId="6ABEB3E2">
            <w:pPr>
              <w:spacing w:line="240" w:lineRule="auto"/>
              <w:jc w:val="both"/>
              <w:rPr>
                <w:rFonts w:hint="default"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98%</w:t>
            </w:r>
          </w:p>
        </w:tc>
        <w:tc>
          <w:tcPr>
            <w:tcW w:w="1269" w:type="dxa"/>
            <w:shd w:val="clear" w:color="auto" w:fill="auto"/>
            <w:vAlign w:val="center"/>
          </w:tcPr>
          <w:p w14:paraId="31B5B329">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98%</w:t>
            </w:r>
          </w:p>
        </w:tc>
        <w:tc>
          <w:tcPr>
            <w:tcW w:w="699" w:type="dxa"/>
            <w:shd w:val="clear" w:color="auto" w:fill="auto"/>
            <w:vAlign w:val="center"/>
          </w:tcPr>
          <w:p w14:paraId="41D3F37B">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69" w:type="dxa"/>
            <w:shd w:val="clear" w:color="auto" w:fill="auto"/>
            <w:vAlign w:val="center"/>
          </w:tcPr>
          <w:p w14:paraId="19FFC8CC">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423" w:type="dxa"/>
            <w:vAlign w:val="center"/>
          </w:tcPr>
          <w:p w14:paraId="0412303D">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shd w:val="clear" w:color="auto" w:fill="auto"/>
            <w:vAlign w:val="center"/>
          </w:tcPr>
          <w:p w14:paraId="63B7EC90">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控制在财政预算内</w:t>
            </w:r>
          </w:p>
        </w:tc>
        <w:tc>
          <w:tcPr>
            <w:tcW w:w="1298" w:type="dxa"/>
            <w:shd w:val="clear" w:color="auto" w:fill="auto"/>
            <w:vAlign w:val="center"/>
          </w:tcPr>
          <w:p w14:paraId="15ECA8D3">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控制在财政预算内</w:t>
            </w:r>
          </w:p>
        </w:tc>
        <w:tc>
          <w:tcPr>
            <w:tcW w:w="1269" w:type="dxa"/>
            <w:shd w:val="clear" w:color="auto" w:fill="auto"/>
            <w:vAlign w:val="center"/>
          </w:tcPr>
          <w:p w14:paraId="3C328246">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控制在财政预算内</w:t>
            </w:r>
          </w:p>
        </w:tc>
        <w:tc>
          <w:tcPr>
            <w:tcW w:w="699" w:type="dxa"/>
            <w:shd w:val="clear" w:color="auto" w:fill="auto"/>
            <w:vAlign w:val="center"/>
          </w:tcPr>
          <w:p w14:paraId="42BD2B94">
            <w:pPr>
              <w:spacing w:line="240" w:lineRule="auto"/>
              <w:ind w:firstLine="420" w:firstLineChars="0"/>
              <w:jc w:val="both"/>
              <w:rPr>
                <w:rFonts w:hint="default"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w:t>
            </w:r>
          </w:p>
        </w:tc>
        <w:tc>
          <w:tcPr>
            <w:tcW w:w="869" w:type="dxa"/>
            <w:shd w:val="clear" w:color="auto" w:fill="auto"/>
            <w:vAlign w:val="center"/>
          </w:tcPr>
          <w:p w14:paraId="786F4305">
            <w:pPr>
              <w:spacing w:line="240" w:lineRule="auto"/>
              <w:ind w:firstLine="420" w:firstLineChars="0"/>
              <w:jc w:val="both"/>
              <w:rPr>
                <w:rFonts w:hint="default"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w:t>
            </w:r>
          </w:p>
        </w:tc>
        <w:tc>
          <w:tcPr>
            <w:tcW w:w="1423" w:type="dxa"/>
            <w:vAlign w:val="center"/>
          </w:tcPr>
          <w:p w14:paraId="0F79A5E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财政追加预算</w:t>
            </w: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shd w:val="clear" w:color="auto" w:fill="auto"/>
            <w:vAlign w:val="center"/>
          </w:tcPr>
          <w:p w14:paraId="4C2510AC">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对社会发展可能造成的负面影响</w:t>
            </w:r>
          </w:p>
        </w:tc>
        <w:tc>
          <w:tcPr>
            <w:tcW w:w="1298" w:type="dxa"/>
            <w:shd w:val="clear" w:color="auto" w:fill="auto"/>
            <w:vAlign w:val="center"/>
          </w:tcPr>
          <w:p w14:paraId="09361E43">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无</w:t>
            </w:r>
          </w:p>
        </w:tc>
        <w:tc>
          <w:tcPr>
            <w:tcW w:w="1269" w:type="dxa"/>
            <w:shd w:val="clear" w:color="auto" w:fill="auto"/>
            <w:vAlign w:val="center"/>
          </w:tcPr>
          <w:p w14:paraId="32DCD303">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无</w:t>
            </w:r>
          </w:p>
        </w:tc>
        <w:tc>
          <w:tcPr>
            <w:tcW w:w="699" w:type="dxa"/>
            <w:shd w:val="clear" w:color="auto" w:fill="auto"/>
            <w:vAlign w:val="center"/>
          </w:tcPr>
          <w:p w14:paraId="765229A3">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w:t>
            </w:r>
          </w:p>
        </w:tc>
        <w:tc>
          <w:tcPr>
            <w:tcW w:w="869" w:type="dxa"/>
            <w:shd w:val="clear" w:color="auto" w:fill="auto"/>
            <w:vAlign w:val="center"/>
          </w:tcPr>
          <w:p w14:paraId="4012A71B">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shd w:val="clear" w:color="auto" w:fill="auto"/>
            <w:vAlign w:val="center"/>
          </w:tcPr>
          <w:p w14:paraId="304051C0">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对自然生态环境造成的负面影响</w:t>
            </w:r>
          </w:p>
        </w:tc>
        <w:tc>
          <w:tcPr>
            <w:tcW w:w="1298" w:type="dxa"/>
            <w:shd w:val="clear" w:color="auto" w:fill="auto"/>
            <w:vAlign w:val="center"/>
          </w:tcPr>
          <w:p w14:paraId="789CDCB9">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无</w:t>
            </w:r>
          </w:p>
        </w:tc>
        <w:tc>
          <w:tcPr>
            <w:tcW w:w="1269" w:type="dxa"/>
            <w:shd w:val="clear" w:color="auto" w:fill="auto"/>
            <w:vAlign w:val="center"/>
          </w:tcPr>
          <w:p w14:paraId="4E354EE6">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无</w:t>
            </w:r>
          </w:p>
        </w:tc>
        <w:tc>
          <w:tcPr>
            <w:tcW w:w="699" w:type="dxa"/>
            <w:shd w:val="clear" w:color="auto" w:fill="auto"/>
            <w:vAlign w:val="center"/>
          </w:tcPr>
          <w:p w14:paraId="6C36DE67">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w:t>
            </w:r>
          </w:p>
        </w:tc>
        <w:tc>
          <w:tcPr>
            <w:tcW w:w="869" w:type="dxa"/>
            <w:shd w:val="clear" w:color="auto" w:fill="auto"/>
            <w:vAlign w:val="center"/>
          </w:tcPr>
          <w:p w14:paraId="6B31F2AB">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w:t>
            </w: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99.5</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hint="default"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柳灿</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15292005668</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葛思卉</w:t>
      </w:r>
    </w:p>
    <w:p w14:paraId="7E10F7E0">
      <w:pPr>
        <w:spacing w:before="91" w:line="219" w:lineRule="auto"/>
        <w:ind w:firstLine="896"/>
        <w:jc w:val="center"/>
        <w:rPr>
          <w:rFonts w:ascii="方正小标宋简体" w:hAnsi="宋体" w:eastAsia="方正小标宋简体" w:cs="宋体"/>
          <w:bCs/>
          <w:spacing w:val="8"/>
          <w:kern w:val="0"/>
          <w:sz w:val="44"/>
          <w:szCs w:val="44"/>
          <w:lang w:eastAsia="zh-CN"/>
        </w:rPr>
      </w:pPr>
    </w:p>
    <w:p w14:paraId="68BA52B2">
      <w:pPr>
        <w:spacing w:before="91" w:line="219" w:lineRule="auto"/>
        <w:ind w:firstLine="896"/>
        <w:jc w:val="center"/>
        <w:rPr>
          <w:rFonts w:ascii="方正小标宋简体" w:hAnsi="宋体" w:eastAsia="方正小标宋简体" w:cs="宋体"/>
          <w:bCs/>
          <w:spacing w:val="8"/>
          <w:kern w:val="0"/>
          <w:sz w:val="44"/>
          <w:szCs w:val="44"/>
          <w:lang w:eastAsia="zh-CN"/>
        </w:rPr>
      </w:pPr>
    </w:p>
    <w:p w14:paraId="744FBAA8">
      <w:pPr>
        <w:spacing w:before="91" w:line="219" w:lineRule="auto"/>
        <w:ind w:firstLine="896"/>
        <w:jc w:val="center"/>
        <w:rPr>
          <w:rFonts w:ascii="方正小标宋简体" w:hAnsi="宋体" w:eastAsia="方正小标宋简体" w:cs="宋体"/>
          <w:bCs/>
          <w:spacing w:val="8"/>
          <w:kern w:val="0"/>
          <w:sz w:val="44"/>
          <w:szCs w:val="44"/>
          <w:lang w:eastAsia="zh-CN"/>
        </w:rPr>
      </w:pPr>
    </w:p>
    <w:p w14:paraId="024488A5">
      <w:pPr>
        <w:spacing w:before="91" w:line="219" w:lineRule="auto"/>
        <w:ind w:firstLine="896"/>
        <w:jc w:val="center"/>
        <w:rPr>
          <w:rFonts w:ascii="方正小标宋简体" w:hAnsi="宋体" w:eastAsia="方正小标宋简体" w:cs="宋体"/>
          <w:bCs/>
          <w:spacing w:val="8"/>
          <w:kern w:val="0"/>
          <w:sz w:val="44"/>
          <w:szCs w:val="44"/>
          <w:lang w:eastAsia="zh-CN"/>
        </w:rPr>
      </w:pPr>
    </w:p>
    <w:p w14:paraId="4BAF69A9">
      <w:pPr>
        <w:spacing w:before="91" w:line="219" w:lineRule="auto"/>
        <w:ind w:firstLine="896"/>
        <w:jc w:val="center"/>
        <w:rPr>
          <w:rFonts w:ascii="方正小标宋简体" w:hAnsi="宋体" w:eastAsia="方正小标宋简体" w:cs="宋体"/>
          <w:bCs/>
          <w:spacing w:val="8"/>
          <w:kern w:val="0"/>
          <w:sz w:val="44"/>
          <w:szCs w:val="44"/>
          <w:lang w:eastAsia="zh-CN"/>
        </w:rPr>
      </w:pPr>
    </w:p>
    <w:p w14:paraId="70FABE2E">
      <w:pPr>
        <w:spacing w:before="91" w:line="219" w:lineRule="auto"/>
        <w:ind w:firstLine="896"/>
        <w:jc w:val="center"/>
        <w:rPr>
          <w:rFonts w:ascii="方正小标宋简体" w:hAnsi="宋体" w:eastAsia="方正小标宋简体" w:cs="宋体"/>
          <w:bCs/>
          <w:spacing w:val="8"/>
          <w:kern w:val="0"/>
          <w:sz w:val="44"/>
          <w:szCs w:val="44"/>
          <w:lang w:eastAsia="zh-CN"/>
        </w:rPr>
      </w:pPr>
    </w:p>
    <w:p w14:paraId="41C9C73E">
      <w:pPr>
        <w:spacing w:before="91" w:line="219" w:lineRule="auto"/>
        <w:ind w:firstLine="896"/>
        <w:jc w:val="center"/>
        <w:rPr>
          <w:rFonts w:ascii="方正小标宋简体" w:hAnsi="宋体" w:eastAsia="方正小标宋简体" w:cs="宋体"/>
          <w:bCs/>
          <w:spacing w:val="8"/>
          <w:kern w:val="0"/>
          <w:sz w:val="44"/>
          <w:szCs w:val="44"/>
          <w:lang w:eastAsia="zh-CN"/>
        </w:rPr>
      </w:pPr>
    </w:p>
    <w:p w14:paraId="3243C45A">
      <w:pPr>
        <w:spacing w:before="91" w:line="219" w:lineRule="auto"/>
        <w:ind w:firstLine="896"/>
        <w:jc w:val="center"/>
        <w:rPr>
          <w:rFonts w:ascii="方正小标宋简体" w:hAnsi="宋体" w:eastAsia="方正小标宋简体" w:cs="宋体"/>
          <w:bCs/>
          <w:spacing w:val="8"/>
          <w:kern w:val="0"/>
          <w:sz w:val="44"/>
          <w:szCs w:val="44"/>
          <w:lang w:eastAsia="zh-CN"/>
        </w:rPr>
      </w:pPr>
    </w:p>
    <w:p w14:paraId="52411B3E">
      <w:pPr>
        <w:spacing w:before="91" w:line="219" w:lineRule="auto"/>
        <w:ind w:firstLine="896"/>
        <w:jc w:val="center"/>
        <w:rPr>
          <w:rFonts w:ascii="方正小标宋简体" w:hAnsi="宋体" w:eastAsia="方正小标宋简体" w:cs="宋体"/>
          <w:bCs/>
          <w:spacing w:val="8"/>
          <w:kern w:val="0"/>
          <w:sz w:val="44"/>
          <w:szCs w:val="44"/>
          <w:lang w:eastAsia="zh-CN"/>
        </w:rPr>
      </w:pPr>
    </w:p>
    <w:p w14:paraId="458A8556">
      <w:pPr>
        <w:spacing w:before="91" w:line="219" w:lineRule="auto"/>
        <w:ind w:firstLine="896"/>
        <w:jc w:val="center"/>
        <w:rPr>
          <w:rFonts w:ascii="方正小标宋简体" w:hAnsi="宋体" w:eastAsia="方正小标宋简体" w:cs="宋体"/>
          <w:bCs/>
          <w:spacing w:val="8"/>
          <w:kern w:val="0"/>
          <w:sz w:val="44"/>
          <w:szCs w:val="44"/>
          <w:lang w:eastAsia="zh-CN"/>
        </w:rPr>
      </w:pPr>
    </w:p>
    <w:p w14:paraId="2D232478">
      <w:pPr>
        <w:spacing w:before="91" w:line="219" w:lineRule="auto"/>
        <w:ind w:firstLine="896"/>
        <w:jc w:val="center"/>
        <w:rPr>
          <w:rFonts w:ascii="方正小标宋简体" w:hAnsi="宋体" w:eastAsia="方正小标宋简体" w:cs="宋体"/>
          <w:bCs/>
          <w:spacing w:val="8"/>
          <w:kern w:val="0"/>
          <w:sz w:val="44"/>
          <w:szCs w:val="44"/>
          <w:lang w:eastAsia="zh-CN"/>
        </w:rPr>
      </w:pPr>
    </w:p>
    <w:p w14:paraId="254F31F2">
      <w:pPr>
        <w:spacing w:before="91" w:line="219" w:lineRule="auto"/>
        <w:ind w:firstLine="896"/>
        <w:jc w:val="center"/>
        <w:rPr>
          <w:rFonts w:ascii="方正小标宋简体" w:hAnsi="宋体" w:eastAsia="方正小标宋简体" w:cs="宋体"/>
          <w:bCs/>
          <w:spacing w:val="8"/>
          <w:kern w:val="0"/>
          <w:sz w:val="44"/>
          <w:szCs w:val="44"/>
          <w:lang w:eastAsia="zh-CN"/>
        </w:rPr>
      </w:pPr>
    </w:p>
    <w:p w14:paraId="6DAA8400">
      <w:pPr>
        <w:spacing w:before="91" w:line="219" w:lineRule="auto"/>
        <w:ind w:firstLine="896"/>
        <w:jc w:val="center"/>
        <w:rPr>
          <w:rFonts w:ascii="方正小标宋简体" w:hAnsi="宋体" w:eastAsia="方正小标宋简体" w:cs="宋体"/>
          <w:bCs/>
          <w:spacing w:val="8"/>
          <w:kern w:val="0"/>
          <w:sz w:val="44"/>
          <w:szCs w:val="44"/>
          <w:lang w:eastAsia="zh-CN"/>
        </w:rPr>
      </w:pPr>
    </w:p>
    <w:p w14:paraId="2212373D">
      <w:pPr>
        <w:spacing w:before="91" w:line="219" w:lineRule="auto"/>
        <w:ind w:firstLine="896"/>
        <w:jc w:val="center"/>
        <w:rPr>
          <w:rFonts w:ascii="方正小标宋简体" w:hAnsi="宋体" w:eastAsia="方正小标宋简体" w:cs="宋体"/>
          <w:bCs/>
          <w:spacing w:val="8"/>
          <w:kern w:val="0"/>
          <w:sz w:val="44"/>
          <w:szCs w:val="44"/>
          <w:lang w:eastAsia="zh-CN"/>
        </w:rPr>
      </w:pP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11"/>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质量安全监督管专项</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汨罗市住房和城乡建设局</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汨罗市建筑工程服务中心</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14:paraId="5536407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14:paraId="0401DF6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3E136F3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7EF1A3E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03D3AC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186F5ED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严格把控在建项目质量安全，确保住建领域不发生较大及以上质量安全事故</w:t>
            </w:r>
          </w:p>
        </w:tc>
        <w:tc>
          <w:tcPr>
            <w:tcW w:w="4140" w:type="dxa"/>
            <w:gridSpan w:val="4"/>
            <w:vAlign w:val="center"/>
          </w:tcPr>
          <w:p w14:paraId="309F776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严格把控在建项目质量安全，住建领域没发生较大及以上质量安全事故</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工程建设监管执法率</w:t>
            </w:r>
          </w:p>
        </w:tc>
        <w:tc>
          <w:tcPr>
            <w:tcW w:w="1099" w:type="dxa"/>
            <w:vAlign w:val="center"/>
          </w:tcPr>
          <w:p w14:paraId="54B9394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7F49710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450DEC1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849" w:type="dxa"/>
            <w:vAlign w:val="center"/>
          </w:tcPr>
          <w:p w14:paraId="5F7B7A4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C034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5EAAFF4">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36F8F156">
            <w:pPr>
              <w:spacing w:line="240" w:lineRule="auto"/>
              <w:jc w:val="center"/>
              <w:rPr>
                <w:rFonts w:ascii="仿宋_GB2312" w:hAnsi="宋体" w:eastAsia="仿宋_GB2312" w:cs="宋体"/>
                <w:kern w:val="0"/>
              </w:rPr>
            </w:pPr>
          </w:p>
        </w:tc>
        <w:tc>
          <w:tcPr>
            <w:tcW w:w="1218" w:type="dxa"/>
            <w:vMerge w:val="continue"/>
            <w:vAlign w:val="center"/>
          </w:tcPr>
          <w:p w14:paraId="0D1D5791">
            <w:pPr>
              <w:spacing w:line="240" w:lineRule="auto"/>
              <w:jc w:val="center"/>
              <w:rPr>
                <w:rFonts w:hint="eastAsia" w:ascii="仿宋_GB2312" w:hAnsi="宋体" w:eastAsia="仿宋_GB2312" w:cs="宋体"/>
                <w:kern w:val="0"/>
              </w:rPr>
            </w:pPr>
          </w:p>
        </w:tc>
        <w:tc>
          <w:tcPr>
            <w:tcW w:w="1020" w:type="dxa"/>
            <w:vAlign w:val="center"/>
          </w:tcPr>
          <w:p w14:paraId="6512B123">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质量安全标准化考评率</w:t>
            </w:r>
          </w:p>
        </w:tc>
        <w:tc>
          <w:tcPr>
            <w:tcW w:w="1099" w:type="dxa"/>
            <w:vAlign w:val="center"/>
          </w:tcPr>
          <w:p w14:paraId="1044C52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2AB5790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59D92BD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14:paraId="385E9CA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14:paraId="5370DDCB">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5DC148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质量投诉回复处理率</w:t>
            </w:r>
          </w:p>
        </w:tc>
        <w:tc>
          <w:tcPr>
            <w:tcW w:w="1099" w:type="dxa"/>
            <w:vAlign w:val="center"/>
          </w:tcPr>
          <w:p w14:paraId="29CCEED8">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群众满意度100%</w:t>
            </w:r>
          </w:p>
        </w:tc>
        <w:tc>
          <w:tcPr>
            <w:tcW w:w="1099" w:type="dxa"/>
            <w:vAlign w:val="center"/>
          </w:tcPr>
          <w:p w14:paraId="70F41D21">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群众满意度100%</w:t>
            </w:r>
          </w:p>
        </w:tc>
        <w:tc>
          <w:tcPr>
            <w:tcW w:w="809" w:type="dxa"/>
            <w:vAlign w:val="center"/>
          </w:tcPr>
          <w:p w14:paraId="662F704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shd w:val="clear" w:color="auto" w:fill="auto"/>
            <w:vAlign w:val="center"/>
          </w:tcPr>
          <w:p w14:paraId="676686A6">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w:t>
            </w: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建筑工程质量安全</w:t>
            </w:r>
          </w:p>
        </w:tc>
        <w:tc>
          <w:tcPr>
            <w:tcW w:w="1099" w:type="dxa"/>
            <w:vAlign w:val="center"/>
          </w:tcPr>
          <w:p w14:paraId="2D69FB32">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不发生较大安全生产事故</w:t>
            </w:r>
          </w:p>
        </w:tc>
        <w:tc>
          <w:tcPr>
            <w:tcW w:w="1099" w:type="dxa"/>
            <w:vAlign w:val="center"/>
          </w:tcPr>
          <w:p w14:paraId="03BC31E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不发生较大安全生产事故</w:t>
            </w:r>
          </w:p>
        </w:tc>
        <w:tc>
          <w:tcPr>
            <w:tcW w:w="809" w:type="dxa"/>
            <w:vAlign w:val="center"/>
          </w:tcPr>
          <w:p w14:paraId="5DC8615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center"/>
          </w:tcPr>
          <w:p w14:paraId="25177C64">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智慧工地视频监控等智慧板块覆盖率</w:t>
            </w:r>
          </w:p>
        </w:tc>
        <w:tc>
          <w:tcPr>
            <w:tcW w:w="1099" w:type="dxa"/>
            <w:vAlign w:val="center"/>
          </w:tcPr>
          <w:p w14:paraId="29C293E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1099" w:type="dxa"/>
            <w:vAlign w:val="center"/>
          </w:tcPr>
          <w:p w14:paraId="1620D8F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809" w:type="dxa"/>
            <w:vAlign w:val="center"/>
          </w:tcPr>
          <w:p w14:paraId="1CFE771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center"/>
          </w:tcPr>
          <w:p w14:paraId="182C2D11">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按计划时间完成</w:t>
            </w:r>
          </w:p>
        </w:tc>
        <w:tc>
          <w:tcPr>
            <w:tcW w:w="1099" w:type="dxa"/>
            <w:vAlign w:val="center"/>
          </w:tcPr>
          <w:p w14:paraId="015D039B">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2023年1-12月</w:t>
            </w:r>
          </w:p>
        </w:tc>
        <w:tc>
          <w:tcPr>
            <w:tcW w:w="1099" w:type="dxa"/>
            <w:vAlign w:val="center"/>
          </w:tcPr>
          <w:p w14:paraId="5C21687F">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已按计划时间完成</w:t>
            </w:r>
          </w:p>
        </w:tc>
        <w:tc>
          <w:tcPr>
            <w:tcW w:w="809" w:type="dxa"/>
            <w:vAlign w:val="center"/>
          </w:tcPr>
          <w:p w14:paraId="0D16C33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094C7D5E">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提高人居生活质量</w:t>
            </w:r>
          </w:p>
        </w:tc>
        <w:tc>
          <w:tcPr>
            <w:tcW w:w="1099" w:type="dxa"/>
            <w:vAlign w:val="center"/>
          </w:tcPr>
          <w:p w14:paraId="53928C3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不形成负面影响</w:t>
            </w:r>
          </w:p>
        </w:tc>
        <w:tc>
          <w:tcPr>
            <w:tcW w:w="1099" w:type="dxa"/>
            <w:vAlign w:val="center"/>
          </w:tcPr>
          <w:p w14:paraId="6D883DDF">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没形成负面影响</w:t>
            </w:r>
          </w:p>
        </w:tc>
        <w:tc>
          <w:tcPr>
            <w:tcW w:w="809" w:type="dxa"/>
            <w:vAlign w:val="center"/>
          </w:tcPr>
          <w:p w14:paraId="2958485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41D412C8">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服务工程建设领域</w:t>
            </w:r>
          </w:p>
        </w:tc>
        <w:tc>
          <w:tcPr>
            <w:tcW w:w="1099" w:type="dxa"/>
            <w:vAlign w:val="center"/>
          </w:tcPr>
          <w:p w14:paraId="01875392">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促进建筑行业规范运行，提升质效</w:t>
            </w:r>
          </w:p>
        </w:tc>
        <w:tc>
          <w:tcPr>
            <w:tcW w:w="1099" w:type="dxa"/>
            <w:vAlign w:val="center"/>
          </w:tcPr>
          <w:p w14:paraId="4101F8DE">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促进建筑行业规范运行，提升质效</w:t>
            </w:r>
          </w:p>
        </w:tc>
        <w:tc>
          <w:tcPr>
            <w:tcW w:w="809" w:type="dxa"/>
            <w:vAlign w:val="center"/>
          </w:tcPr>
          <w:p w14:paraId="699C14A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0665EFF4">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严格控制建筑施工扬尘、促进建筑产业绿色发展</w:t>
            </w:r>
          </w:p>
        </w:tc>
        <w:tc>
          <w:tcPr>
            <w:tcW w:w="1099" w:type="dxa"/>
            <w:vAlign w:val="center"/>
          </w:tcPr>
          <w:p w14:paraId="286C2197">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工程项目质量绿色安全可靠</w:t>
            </w:r>
          </w:p>
        </w:tc>
        <w:tc>
          <w:tcPr>
            <w:tcW w:w="1099" w:type="dxa"/>
            <w:vAlign w:val="center"/>
          </w:tcPr>
          <w:p w14:paraId="4CA75DEB">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工程项目质量绿色安全可靠</w:t>
            </w:r>
          </w:p>
        </w:tc>
        <w:tc>
          <w:tcPr>
            <w:tcW w:w="809" w:type="dxa"/>
            <w:vAlign w:val="center"/>
          </w:tcPr>
          <w:p w14:paraId="491BA99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center"/>
          </w:tcPr>
          <w:p w14:paraId="1BF7EB9C">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建筑市场平稳有序发展</w:t>
            </w:r>
          </w:p>
        </w:tc>
        <w:tc>
          <w:tcPr>
            <w:tcW w:w="1099" w:type="dxa"/>
            <w:vAlign w:val="center"/>
          </w:tcPr>
          <w:p w14:paraId="48F3A1C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95%以上</w:t>
            </w:r>
          </w:p>
        </w:tc>
        <w:tc>
          <w:tcPr>
            <w:tcW w:w="1099" w:type="dxa"/>
            <w:vAlign w:val="center"/>
          </w:tcPr>
          <w:p w14:paraId="596F13D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95%以上</w:t>
            </w:r>
          </w:p>
        </w:tc>
        <w:tc>
          <w:tcPr>
            <w:tcW w:w="809" w:type="dxa"/>
            <w:vAlign w:val="center"/>
          </w:tcPr>
          <w:p w14:paraId="49A57C7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center"/>
          </w:tcPr>
          <w:p w14:paraId="044D5C88">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施工企业、业主、群众满意度非常高</w:t>
            </w:r>
          </w:p>
        </w:tc>
        <w:tc>
          <w:tcPr>
            <w:tcW w:w="1099" w:type="dxa"/>
            <w:vAlign w:val="center"/>
          </w:tcPr>
          <w:p w14:paraId="10DB725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099" w:type="dxa"/>
            <w:vAlign w:val="center"/>
          </w:tcPr>
          <w:p w14:paraId="65FCC67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98%</w:t>
            </w:r>
          </w:p>
        </w:tc>
        <w:tc>
          <w:tcPr>
            <w:tcW w:w="809" w:type="dxa"/>
            <w:vAlign w:val="center"/>
          </w:tcPr>
          <w:p w14:paraId="29FD5B5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57CE9A58">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控制成本，多干实事</w:t>
            </w:r>
          </w:p>
        </w:tc>
        <w:tc>
          <w:tcPr>
            <w:tcW w:w="1099" w:type="dxa"/>
            <w:vAlign w:val="center"/>
          </w:tcPr>
          <w:p w14:paraId="7D8FEFD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20万元</w:t>
            </w:r>
          </w:p>
        </w:tc>
        <w:tc>
          <w:tcPr>
            <w:tcW w:w="1099" w:type="dxa"/>
            <w:vAlign w:val="center"/>
          </w:tcPr>
          <w:p w14:paraId="729BFD57">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没超预算</w:t>
            </w:r>
          </w:p>
        </w:tc>
        <w:tc>
          <w:tcPr>
            <w:tcW w:w="809" w:type="dxa"/>
            <w:vAlign w:val="center"/>
          </w:tcPr>
          <w:p w14:paraId="43443E1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shd w:val="clear" w:color="auto" w:fill="auto"/>
            <w:vAlign w:val="center"/>
          </w:tcPr>
          <w:p w14:paraId="1005FDF9">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对社会发展可能造成的负面影响</w:t>
            </w:r>
          </w:p>
        </w:tc>
        <w:tc>
          <w:tcPr>
            <w:tcW w:w="1099" w:type="dxa"/>
            <w:vAlign w:val="center"/>
          </w:tcPr>
          <w:p w14:paraId="515A677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1099" w:type="dxa"/>
            <w:vAlign w:val="center"/>
          </w:tcPr>
          <w:p w14:paraId="79BCBEC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809" w:type="dxa"/>
            <w:vAlign w:val="center"/>
          </w:tcPr>
          <w:p w14:paraId="7CB491C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center"/>
          </w:tcPr>
          <w:p w14:paraId="7D797644">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对自然生态环境造成的负面影响</w:t>
            </w:r>
          </w:p>
        </w:tc>
        <w:tc>
          <w:tcPr>
            <w:tcW w:w="1099" w:type="dxa"/>
            <w:vAlign w:val="center"/>
          </w:tcPr>
          <w:p w14:paraId="52AC4F9E">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1099" w:type="dxa"/>
            <w:vAlign w:val="center"/>
          </w:tcPr>
          <w:p w14:paraId="0867BB9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809" w:type="dxa"/>
            <w:vAlign w:val="center"/>
          </w:tcPr>
          <w:p w14:paraId="640DCB8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shd w:val="clear" w:color="auto" w:fill="auto"/>
            <w:vAlign w:val="center"/>
          </w:tcPr>
          <w:p w14:paraId="03C9828A">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49ABD6AC">
      <w:pPr>
        <w:rPr>
          <w:rFonts w:hint="eastAsia" w:ascii="仿宋_GB2312" w:hAnsi="宋体" w:eastAsia="仿宋_GB2312" w:cs="宋体"/>
          <w:kern w:val="0"/>
          <w:lang w:eastAsia="zh-CN"/>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柳灿</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15292005668</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葛思卉</w:t>
      </w:r>
    </w:p>
    <w:p w14:paraId="683F07B0">
      <w:pPr>
        <w:spacing w:before="91" w:line="219" w:lineRule="auto"/>
        <w:ind w:firstLine="896"/>
        <w:jc w:val="center"/>
        <w:rPr>
          <w:rFonts w:ascii="方正小标宋简体" w:hAnsi="宋体" w:eastAsia="方正小标宋简体" w:cs="宋体"/>
          <w:bCs/>
          <w:spacing w:val="8"/>
          <w:kern w:val="0"/>
          <w:sz w:val="44"/>
          <w:szCs w:val="44"/>
          <w:lang w:eastAsia="zh-CN"/>
        </w:rPr>
      </w:pPr>
    </w:p>
    <w:p w14:paraId="1217BD2A">
      <w:pPr>
        <w:spacing w:before="91" w:line="219" w:lineRule="auto"/>
        <w:ind w:firstLine="896"/>
        <w:jc w:val="center"/>
        <w:rPr>
          <w:rFonts w:ascii="方正小标宋简体" w:hAnsi="宋体" w:eastAsia="方正小标宋简体" w:cs="宋体"/>
          <w:bCs/>
          <w:spacing w:val="8"/>
          <w:kern w:val="0"/>
          <w:sz w:val="44"/>
          <w:szCs w:val="44"/>
          <w:lang w:eastAsia="zh-CN"/>
        </w:rPr>
      </w:pPr>
    </w:p>
    <w:p w14:paraId="2EDC1E31">
      <w:pPr>
        <w:spacing w:before="91" w:line="219" w:lineRule="auto"/>
        <w:ind w:firstLine="896"/>
        <w:jc w:val="center"/>
        <w:rPr>
          <w:rFonts w:ascii="方正小标宋简体" w:hAnsi="宋体" w:eastAsia="方正小标宋简体" w:cs="宋体"/>
          <w:bCs/>
          <w:spacing w:val="8"/>
          <w:kern w:val="0"/>
          <w:sz w:val="44"/>
          <w:szCs w:val="44"/>
          <w:lang w:eastAsia="zh-CN"/>
        </w:rPr>
      </w:pPr>
    </w:p>
    <w:p w14:paraId="379BFD42">
      <w:pPr>
        <w:spacing w:before="91" w:line="219" w:lineRule="auto"/>
        <w:ind w:firstLine="896"/>
        <w:jc w:val="center"/>
        <w:rPr>
          <w:rFonts w:ascii="方正小标宋简体" w:hAnsi="宋体" w:eastAsia="方正小标宋简体" w:cs="宋体"/>
          <w:bCs/>
          <w:spacing w:val="8"/>
          <w:kern w:val="0"/>
          <w:sz w:val="44"/>
          <w:szCs w:val="44"/>
          <w:lang w:eastAsia="zh-CN"/>
        </w:rPr>
      </w:pPr>
    </w:p>
    <w:p w14:paraId="26F51774">
      <w:pPr>
        <w:spacing w:before="91" w:line="219" w:lineRule="auto"/>
        <w:ind w:firstLine="896"/>
        <w:jc w:val="center"/>
        <w:rPr>
          <w:rFonts w:ascii="方正小标宋简体" w:hAnsi="宋体" w:eastAsia="方正小标宋简体" w:cs="宋体"/>
          <w:bCs/>
          <w:spacing w:val="8"/>
          <w:kern w:val="0"/>
          <w:sz w:val="44"/>
          <w:szCs w:val="44"/>
          <w:lang w:eastAsia="zh-CN"/>
        </w:rPr>
      </w:pPr>
    </w:p>
    <w:p w14:paraId="02C073FD">
      <w:pPr>
        <w:spacing w:before="91" w:line="219" w:lineRule="auto"/>
        <w:ind w:firstLine="896"/>
        <w:jc w:val="center"/>
        <w:rPr>
          <w:rFonts w:ascii="方正小标宋简体" w:hAnsi="宋体" w:eastAsia="方正小标宋简体" w:cs="宋体"/>
          <w:bCs/>
          <w:spacing w:val="8"/>
          <w:kern w:val="0"/>
          <w:sz w:val="44"/>
          <w:szCs w:val="44"/>
          <w:lang w:eastAsia="zh-CN"/>
        </w:rPr>
      </w:pPr>
    </w:p>
    <w:p w14:paraId="591009A2">
      <w:pPr>
        <w:spacing w:before="91" w:line="219" w:lineRule="auto"/>
        <w:ind w:firstLine="896"/>
        <w:jc w:val="center"/>
        <w:rPr>
          <w:rFonts w:ascii="方正小标宋简体" w:hAnsi="宋体" w:eastAsia="方正小标宋简体" w:cs="宋体"/>
          <w:bCs/>
          <w:spacing w:val="8"/>
          <w:kern w:val="0"/>
          <w:sz w:val="44"/>
          <w:szCs w:val="44"/>
          <w:lang w:eastAsia="zh-CN"/>
        </w:rPr>
      </w:pPr>
    </w:p>
    <w:p w14:paraId="2D9A7233">
      <w:pPr>
        <w:spacing w:before="91" w:line="219" w:lineRule="auto"/>
        <w:ind w:firstLine="896"/>
        <w:jc w:val="center"/>
        <w:rPr>
          <w:rFonts w:ascii="方正小标宋简体" w:hAnsi="宋体" w:eastAsia="方正小标宋简体" w:cs="宋体"/>
          <w:bCs/>
          <w:spacing w:val="8"/>
          <w:kern w:val="0"/>
          <w:sz w:val="44"/>
          <w:szCs w:val="44"/>
          <w:lang w:eastAsia="zh-CN"/>
        </w:rPr>
      </w:pPr>
    </w:p>
    <w:p w14:paraId="290195DE">
      <w:pPr>
        <w:spacing w:before="91" w:line="219" w:lineRule="auto"/>
        <w:ind w:firstLine="896"/>
        <w:jc w:val="center"/>
        <w:rPr>
          <w:rFonts w:ascii="方正小标宋简体" w:hAnsi="宋体" w:eastAsia="方正小标宋简体" w:cs="宋体"/>
          <w:bCs/>
          <w:spacing w:val="8"/>
          <w:kern w:val="0"/>
          <w:sz w:val="44"/>
          <w:szCs w:val="44"/>
          <w:lang w:eastAsia="zh-CN"/>
        </w:rPr>
      </w:pPr>
    </w:p>
    <w:p w14:paraId="5CCFCC80">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42B102B">
      <w:pPr>
        <w:spacing w:line="95" w:lineRule="exact"/>
        <w:ind w:firstLine="420"/>
        <w:jc w:val="left"/>
        <w:rPr>
          <w:kern w:val="0"/>
          <w:lang w:eastAsia="zh-CN"/>
        </w:rPr>
      </w:pPr>
    </w:p>
    <w:tbl>
      <w:tblPr>
        <w:tblStyle w:val="11"/>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46FA0A35">
        <w:trPr>
          <w:trHeight w:val="514" w:hRule="atLeast"/>
          <w:jc w:val="center"/>
        </w:trPr>
        <w:tc>
          <w:tcPr>
            <w:tcW w:w="1054" w:type="dxa"/>
            <w:vAlign w:val="center"/>
          </w:tcPr>
          <w:p w14:paraId="44607C2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6A34A17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招投标监督管理专项</w:t>
            </w:r>
          </w:p>
        </w:tc>
      </w:tr>
      <w:tr w14:paraId="22042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654F45D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3AA2E87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汨罗市住房和城乡建设</w:t>
            </w:r>
          </w:p>
        </w:tc>
        <w:tc>
          <w:tcPr>
            <w:tcW w:w="1099" w:type="dxa"/>
            <w:vAlign w:val="center"/>
          </w:tcPr>
          <w:p w14:paraId="15B79A6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0DFFFD1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FBE595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汨罗市建筑工程服务中心</w:t>
            </w:r>
          </w:p>
        </w:tc>
      </w:tr>
      <w:tr w14:paraId="554B2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7FB2A9E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3A76436">
            <w:pPr>
              <w:spacing w:line="240" w:lineRule="auto"/>
              <w:ind w:firstLine="420"/>
              <w:jc w:val="center"/>
              <w:rPr>
                <w:rFonts w:ascii="仿宋_GB2312" w:hAnsi="宋体" w:eastAsia="仿宋_GB2312" w:cs="宋体"/>
                <w:kern w:val="0"/>
                <w:lang w:eastAsia="zh-CN"/>
              </w:rPr>
            </w:pPr>
          </w:p>
        </w:tc>
        <w:tc>
          <w:tcPr>
            <w:tcW w:w="1020" w:type="dxa"/>
            <w:vAlign w:val="center"/>
          </w:tcPr>
          <w:p w14:paraId="05858B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32CA1F2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04A46C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65B458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195115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0C2CF1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351EBF8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B84474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1E6EB630">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61BF4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1E1550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389B1E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183128E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14:paraId="37CBD54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14:paraId="37C44D3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14:paraId="7EEFDC81">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23E07A54">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0B14C70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7FAC9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9E2C4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FAF9EB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0A89058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14:paraId="51B6B14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14:paraId="48183EE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14:paraId="02338942">
            <w:pPr>
              <w:spacing w:line="240" w:lineRule="auto"/>
              <w:ind w:firstLine="420"/>
              <w:jc w:val="center"/>
              <w:rPr>
                <w:rFonts w:ascii="仿宋_GB2312" w:hAnsi="宋体" w:eastAsia="仿宋_GB2312" w:cs="宋体"/>
                <w:kern w:val="0"/>
                <w:lang w:eastAsia="zh-CN"/>
              </w:rPr>
            </w:pPr>
          </w:p>
        </w:tc>
        <w:tc>
          <w:tcPr>
            <w:tcW w:w="849" w:type="dxa"/>
            <w:vAlign w:val="center"/>
          </w:tcPr>
          <w:p w14:paraId="53F3C66A">
            <w:pPr>
              <w:spacing w:line="240" w:lineRule="auto"/>
              <w:ind w:firstLine="420"/>
              <w:jc w:val="center"/>
              <w:rPr>
                <w:rFonts w:ascii="仿宋_GB2312" w:hAnsi="宋体" w:eastAsia="仿宋_GB2312" w:cs="宋体"/>
                <w:kern w:val="0"/>
                <w:lang w:eastAsia="zh-CN"/>
              </w:rPr>
            </w:pPr>
          </w:p>
        </w:tc>
        <w:tc>
          <w:tcPr>
            <w:tcW w:w="1383" w:type="dxa"/>
            <w:vAlign w:val="center"/>
          </w:tcPr>
          <w:p w14:paraId="11A7664D">
            <w:pPr>
              <w:spacing w:line="240" w:lineRule="auto"/>
              <w:ind w:firstLine="420"/>
              <w:jc w:val="center"/>
              <w:rPr>
                <w:rFonts w:ascii="仿宋_GB2312" w:hAnsi="宋体" w:eastAsia="仿宋_GB2312" w:cs="宋体"/>
                <w:kern w:val="0"/>
                <w:lang w:eastAsia="zh-CN"/>
              </w:rPr>
            </w:pPr>
          </w:p>
        </w:tc>
      </w:tr>
      <w:tr w14:paraId="1AF4E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BC1523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C4A04E0">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EC800B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1972972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4F8D061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325FBE0F">
            <w:pPr>
              <w:spacing w:line="240" w:lineRule="auto"/>
              <w:ind w:firstLine="420"/>
              <w:jc w:val="center"/>
              <w:rPr>
                <w:rFonts w:ascii="仿宋_GB2312" w:hAnsi="宋体" w:eastAsia="仿宋_GB2312" w:cs="宋体"/>
                <w:kern w:val="0"/>
                <w:lang w:eastAsia="zh-CN"/>
              </w:rPr>
            </w:pPr>
          </w:p>
        </w:tc>
        <w:tc>
          <w:tcPr>
            <w:tcW w:w="849" w:type="dxa"/>
            <w:vAlign w:val="center"/>
          </w:tcPr>
          <w:p w14:paraId="60CFBAAA">
            <w:pPr>
              <w:spacing w:line="240" w:lineRule="auto"/>
              <w:ind w:firstLine="420"/>
              <w:jc w:val="center"/>
              <w:rPr>
                <w:rFonts w:ascii="仿宋_GB2312" w:hAnsi="宋体" w:eastAsia="仿宋_GB2312" w:cs="宋体"/>
                <w:kern w:val="0"/>
                <w:lang w:eastAsia="zh-CN"/>
              </w:rPr>
            </w:pPr>
          </w:p>
        </w:tc>
        <w:tc>
          <w:tcPr>
            <w:tcW w:w="1383" w:type="dxa"/>
            <w:vAlign w:val="center"/>
          </w:tcPr>
          <w:p w14:paraId="62506EBF">
            <w:pPr>
              <w:spacing w:line="240" w:lineRule="auto"/>
              <w:ind w:firstLine="420"/>
              <w:jc w:val="center"/>
              <w:rPr>
                <w:rFonts w:ascii="仿宋_GB2312" w:hAnsi="宋体" w:eastAsia="仿宋_GB2312" w:cs="宋体"/>
                <w:kern w:val="0"/>
                <w:lang w:eastAsia="zh-CN"/>
              </w:rPr>
            </w:pPr>
          </w:p>
        </w:tc>
      </w:tr>
      <w:tr w14:paraId="75D6C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5FEE3A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6571D4C">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E6580A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25CBC85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0324B39E">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6109192C">
            <w:pPr>
              <w:spacing w:line="240" w:lineRule="auto"/>
              <w:ind w:firstLine="420"/>
              <w:jc w:val="center"/>
              <w:rPr>
                <w:rFonts w:ascii="仿宋_GB2312" w:hAnsi="宋体" w:eastAsia="仿宋_GB2312" w:cs="宋体"/>
                <w:kern w:val="0"/>
              </w:rPr>
            </w:pPr>
          </w:p>
        </w:tc>
        <w:tc>
          <w:tcPr>
            <w:tcW w:w="849" w:type="dxa"/>
            <w:vAlign w:val="center"/>
          </w:tcPr>
          <w:p w14:paraId="01B0D6A2">
            <w:pPr>
              <w:spacing w:line="240" w:lineRule="auto"/>
              <w:ind w:firstLine="420"/>
              <w:jc w:val="center"/>
              <w:rPr>
                <w:rFonts w:ascii="仿宋_GB2312" w:hAnsi="宋体" w:eastAsia="仿宋_GB2312" w:cs="宋体"/>
                <w:kern w:val="0"/>
              </w:rPr>
            </w:pPr>
          </w:p>
        </w:tc>
        <w:tc>
          <w:tcPr>
            <w:tcW w:w="1383" w:type="dxa"/>
            <w:vAlign w:val="center"/>
          </w:tcPr>
          <w:p w14:paraId="453178C7">
            <w:pPr>
              <w:spacing w:line="240" w:lineRule="auto"/>
              <w:ind w:firstLine="420"/>
              <w:jc w:val="center"/>
              <w:rPr>
                <w:rFonts w:ascii="仿宋_GB2312" w:hAnsi="宋体" w:eastAsia="仿宋_GB2312" w:cs="宋体"/>
                <w:kern w:val="0"/>
              </w:rPr>
            </w:pPr>
          </w:p>
        </w:tc>
      </w:tr>
      <w:tr w14:paraId="7CB29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92F88B3">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3307E74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4CA062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1650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0A0A239">
            <w:pPr>
              <w:spacing w:line="240" w:lineRule="auto"/>
              <w:ind w:firstLine="420"/>
              <w:jc w:val="center"/>
              <w:rPr>
                <w:rFonts w:ascii="仿宋_GB2312" w:hAnsi="宋体" w:eastAsia="仿宋_GB2312" w:cs="宋体"/>
                <w:kern w:val="0"/>
              </w:rPr>
            </w:pPr>
          </w:p>
        </w:tc>
        <w:tc>
          <w:tcPr>
            <w:tcW w:w="4396" w:type="dxa"/>
            <w:gridSpan w:val="4"/>
            <w:vAlign w:val="center"/>
          </w:tcPr>
          <w:p w14:paraId="70EAC28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通过专项整治，维护公平公正的招投标市场秩序，优化营商环境，实现招投标监管工作再上新台阶，不断推进我市住建事业高质量发展。</w:t>
            </w:r>
          </w:p>
        </w:tc>
        <w:tc>
          <w:tcPr>
            <w:tcW w:w="4140" w:type="dxa"/>
            <w:gridSpan w:val="4"/>
            <w:vAlign w:val="center"/>
          </w:tcPr>
          <w:p w14:paraId="405C550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工作已基本完成</w:t>
            </w:r>
          </w:p>
        </w:tc>
      </w:tr>
      <w:tr w14:paraId="6BA51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49C4814A">
            <w:pPr>
              <w:spacing w:line="240" w:lineRule="auto"/>
              <w:ind w:firstLine="420"/>
              <w:jc w:val="center"/>
              <w:rPr>
                <w:rFonts w:ascii="仿宋_GB2312" w:hAnsi="宋体" w:eastAsia="仿宋_GB2312" w:cs="宋体"/>
                <w:kern w:val="0"/>
              </w:rPr>
            </w:pPr>
          </w:p>
          <w:p w14:paraId="5A219B3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52CCBA0B">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BF36175">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614A0497">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0A62D1A5">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0C1717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1ADE915D">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54F68171">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779ADC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7CCC1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E107849">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062A20D7">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2DE34CB2">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97A42D2">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51DADB12">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做好公开招投标项目监管</w:t>
            </w:r>
          </w:p>
        </w:tc>
        <w:tc>
          <w:tcPr>
            <w:tcW w:w="1099" w:type="dxa"/>
            <w:vAlign w:val="center"/>
          </w:tcPr>
          <w:p w14:paraId="03104608">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16个</w:t>
            </w:r>
          </w:p>
        </w:tc>
        <w:tc>
          <w:tcPr>
            <w:tcW w:w="1099" w:type="dxa"/>
            <w:vAlign w:val="center"/>
          </w:tcPr>
          <w:p w14:paraId="6A62D8F4">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15个</w:t>
            </w:r>
          </w:p>
        </w:tc>
        <w:tc>
          <w:tcPr>
            <w:tcW w:w="809" w:type="dxa"/>
            <w:vAlign w:val="center"/>
          </w:tcPr>
          <w:p w14:paraId="53C3D9C7">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E46315E">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9A63BAA">
            <w:pPr>
              <w:spacing w:line="240" w:lineRule="auto"/>
              <w:ind w:firstLine="420"/>
              <w:jc w:val="left"/>
              <w:rPr>
                <w:rFonts w:ascii="仿宋_GB2312" w:hAnsi="宋体" w:eastAsia="仿宋_GB2312" w:cs="宋体"/>
                <w:kern w:val="0"/>
              </w:rPr>
            </w:pPr>
          </w:p>
        </w:tc>
      </w:tr>
      <w:tr w14:paraId="58895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08D7E3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C19EA9E">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7A3FF1A">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091CDE82">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公开招投标项目监管服务满意度</w:t>
            </w:r>
          </w:p>
        </w:tc>
        <w:tc>
          <w:tcPr>
            <w:tcW w:w="1099" w:type="dxa"/>
            <w:vAlign w:val="center"/>
          </w:tcPr>
          <w:p w14:paraId="05ADB7A3">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95%以上</w:t>
            </w:r>
          </w:p>
        </w:tc>
        <w:tc>
          <w:tcPr>
            <w:tcW w:w="1099" w:type="dxa"/>
            <w:vAlign w:val="center"/>
          </w:tcPr>
          <w:p w14:paraId="3DBDEABF">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95%以上</w:t>
            </w:r>
          </w:p>
        </w:tc>
        <w:tc>
          <w:tcPr>
            <w:tcW w:w="809" w:type="dxa"/>
            <w:vAlign w:val="center"/>
          </w:tcPr>
          <w:p w14:paraId="7707B6B4">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3A08F46">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C3B0F4A">
            <w:pPr>
              <w:spacing w:line="240" w:lineRule="auto"/>
              <w:ind w:firstLine="420"/>
              <w:jc w:val="left"/>
              <w:rPr>
                <w:rFonts w:ascii="仿宋_GB2312" w:hAnsi="宋体" w:eastAsia="仿宋_GB2312" w:cs="宋体"/>
                <w:kern w:val="0"/>
              </w:rPr>
            </w:pPr>
          </w:p>
        </w:tc>
      </w:tr>
      <w:tr w14:paraId="759FD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556B7D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445BAE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A5855CB">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0B0E1A98">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按计划时间完成</w:t>
            </w:r>
          </w:p>
        </w:tc>
        <w:tc>
          <w:tcPr>
            <w:tcW w:w="1099" w:type="dxa"/>
            <w:vAlign w:val="center"/>
          </w:tcPr>
          <w:p w14:paraId="40847B98">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不超预算</w:t>
            </w:r>
          </w:p>
        </w:tc>
        <w:tc>
          <w:tcPr>
            <w:tcW w:w="1099" w:type="dxa"/>
            <w:vAlign w:val="center"/>
          </w:tcPr>
          <w:p w14:paraId="319EB967">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没超预算</w:t>
            </w:r>
          </w:p>
        </w:tc>
        <w:tc>
          <w:tcPr>
            <w:tcW w:w="809" w:type="dxa"/>
            <w:vAlign w:val="center"/>
          </w:tcPr>
          <w:p w14:paraId="16C3DEE8">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FFA50D7">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4748D1B">
            <w:pPr>
              <w:spacing w:line="240" w:lineRule="auto"/>
              <w:ind w:firstLine="420"/>
              <w:jc w:val="left"/>
              <w:rPr>
                <w:rFonts w:ascii="仿宋_GB2312" w:hAnsi="宋体" w:eastAsia="仿宋_GB2312" w:cs="宋体"/>
                <w:kern w:val="0"/>
              </w:rPr>
            </w:pPr>
          </w:p>
        </w:tc>
      </w:tr>
      <w:tr w14:paraId="224D7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0942564">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E30385C">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69A60B2C">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501E74F8">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076E97B5">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提高人居生活质量</w:t>
            </w:r>
          </w:p>
        </w:tc>
        <w:tc>
          <w:tcPr>
            <w:tcW w:w="1099" w:type="dxa"/>
            <w:vAlign w:val="center"/>
          </w:tcPr>
          <w:p w14:paraId="190BCAED">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不形成负面影响</w:t>
            </w:r>
          </w:p>
        </w:tc>
        <w:tc>
          <w:tcPr>
            <w:tcW w:w="1099" w:type="dxa"/>
            <w:vAlign w:val="center"/>
          </w:tcPr>
          <w:p w14:paraId="7CCCEAA5">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没有形成负面影响</w:t>
            </w:r>
          </w:p>
        </w:tc>
        <w:tc>
          <w:tcPr>
            <w:tcW w:w="809" w:type="dxa"/>
            <w:vAlign w:val="center"/>
          </w:tcPr>
          <w:p w14:paraId="40B6607E">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4916F02">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86FA398">
            <w:pPr>
              <w:spacing w:line="240" w:lineRule="auto"/>
              <w:ind w:firstLine="420"/>
              <w:jc w:val="left"/>
              <w:rPr>
                <w:rFonts w:ascii="仿宋_GB2312" w:hAnsi="宋体" w:eastAsia="仿宋_GB2312" w:cs="宋体"/>
                <w:kern w:val="0"/>
              </w:rPr>
            </w:pPr>
          </w:p>
        </w:tc>
      </w:tr>
      <w:tr w14:paraId="378AE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767A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CD44842">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F2A1898">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B04AD4B">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服务工程建设领域</w:t>
            </w:r>
          </w:p>
        </w:tc>
        <w:tc>
          <w:tcPr>
            <w:tcW w:w="1099" w:type="dxa"/>
            <w:vAlign w:val="center"/>
          </w:tcPr>
          <w:p w14:paraId="7B483265">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促进建筑行业规范运行，提升质效</w:t>
            </w:r>
          </w:p>
        </w:tc>
        <w:tc>
          <w:tcPr>
            <w:tcW w:w="1099" w:type="dxa"/>
            <w:vAlign w:val="center"/>
          </w:tcPr>
          <w:p w14:paraId="4C8E1897">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促进建筑行业规范运行，提升质效</w:t>
            </w:r>
          </w:p>
        </w:tc>
        <w:tc>
          <w:tcPr>
            <w:tcW w:w="809" w:type="dxa"/>
            <w:vAlign w:val="center"/>
          </w:tcPr>
          <w:p w14:paraId="3BF220E1">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108C3C9">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2A27DC4">
            <w:pPr>
              <w:spacing w:line="240" w:lineRule="auto"/>
              <w:ind w:firstLine="420"/>
              <w:jc w:val="left"/>
              <w:rPr>
                <w:rFonts w:ascii="仿宋_GB2312" w:hAnsi="宋体" w:eastAsia="仿宋_GB2312" w:cs="宋体"/>
                <w:kern w:val="0"/>
              </w:rPr>
            </w:pPr>
          </w:p>
        </w:tc>
      </w:tr>
      <w:tr w14:paraId="5A15D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05E230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48D914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AE9BA86">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3AC31DA0">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严格控制建筑施工扬尘、促进建筑产业绿色发展</w:t>
            </w:r>
          </w:p>
        </w:tc>
        <w:tc>
          <w:tcPr>
            <w:tcW w:w="1099" w:type="dxa"/>
            <w:vAlign w:val="center"/>
          </w:tcPr>
          <w:p w14:paraId="5609B3B3">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工程项目质量绿色安全可靠</w:t>
            </w:r>
          </w:p>
        </w:tc>
        <w:tc>
          <w:tcPr>
            <w:tcW w:w="1099" w:type="dxa"/>
            <w:vAlign w:val="center"/>
          </w:tcPr>
          <w:p w14:paraId="1FABF0C4">
            <w:pPr>
              <w:spacing w:line="240" w:lineRule="auto"/>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工程项目质量绿色安全可靠</w:t>
            </w:r>
          </w:p>
        </w:tc>
        <w:tc>
          <w:tcPr>
            <w:tcW w:w="809" w:type="dxa"/>
            <w:vAlign w:val="center"/>
          </w:tcPr>
          <w:p w14:paraId="719D7B64">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850F1A3">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57AE10D7">
            <w:pPr>
              <w:spacing w:line="240" w:lineRule="auto"/>
              <w:ind w:firstLine="420"/>
              <w:jc w:val="left"/>
              <w:rPr>
                <w:rFonts w:ascii="仿宋_GB2312" w:hAnsi="宋体" w:eastAsia="仿宋_GB2312" w:cs="宋体"/>
                <w:kern w:val="0"/>
              </w:rPr>
            </w:pPr>
          </w:p>
        </w:tc>
      </w:tr>
      <w:tr w14:paraId="3C1BE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1054" w:type="dxa"/>
            <w:vMerge w:val="continue"/>
            <w:textDirection w:val="tbRlV"/>
            <w:vAlign w:val="center"/>
          </w:tcPr>
          <w:p w14:paraId="2F55951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1E82BF4">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A7DDB6B">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5C5D15B3">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建筑市场平稳有序发展</w:t>
            </w:r>
          </w:p>
        </w:tc>
        <w:tc>
          <w:tcPr>
            <w:tcW w:w="1099" w:type="dxa"/>
            <w:vAlign w:val="center"/>
          </w:tcPr>
          <w:p w14:paraId="0171D27B">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95%以上</w:t>
            </w:r>
          </w:p>
        </w:tc>
        <w:tc>
          <w:tcPr>
            <w:tcW w:w="1099" w:type="dxa"/>
            <w:vAlign w:val="center"/>
          </w:tcPr>
          <w:p w14:paraId="0632AFAB">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95%以上</w:t>
            </w:r>
          </w:p>
        </w:tc>
        <w:tc>
          <w:tcPr>
            <w:tcW w:w="809" w:type="dxa"/>
            <w:vAlign w:val="center"/>
          </w:tcPr>
          <w:p w14:paraId="4B36AC66">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12C2C73">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6F6D95C3">
            <w:pPr>
              <w:spacing w:line="240" w:lineRule="auto"/>
              <w:ind w:firstLine="420"/>
              <w:jc w:val="left"/>
              <w:rPr>
                <w:rFonts w:ascii="仿宋_GB2312" w:hAnsi="宋体" w:eastAsia="仿宋_GB2312" w:cs="宋体"/>
                <w:kern w:val="0"/>
              </w:rPr>
            </w:pPr>
          </w:p>
        </w:tc>
      </w:tr>
      <w:tr w14:paraId="6AD7A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9B35B08">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4C358B4A">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6427B07D">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12405DA7">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群众满意度非常高</w:t>
            </w:r>
          </w:p>
        </w:tc>
        <w:tc>
          <w:tcPr>
            <w:tcW w:w="1099" w:type="dxa"/>
            <w:vAlign w:val="center"/>
          </w:tcPr>
          <w:p w14:paraId="51E7407F">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099" w:type="dxa"/>
            <w:vAlign w:val="center"/>
          </w:tcPr>
          <w:p w14:paraId="528BA85E">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lang w:val="en-US" w:eastAsia="zh-CN"/>
              </w:rPr>
              <w:t>98%</w:t>
            </w:r>
          </w:p>
        </w:tc>
        <w:tc>
          <w:tcPr>
            <w:tcW w:w="809" w:type="dxa"/>
            <w:vAlign w:val="center"/>
          </w:tcPr>
          <w:p w14:paraId="589E1635">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1B96F3F">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A5691D1">
            <w:pPr>
              <w:spacing w:line="240" w:lineRule="auto"/>
              <w:ind w:firstLine="420"/>
              <w:jc w:val="left"/>
              <w:rPr>
                <w:rFonts w:ascii="仿宋_GB2312" w:hAnsi="宋体" w:eastAsia="仿宋_GB2312" w:cs="宋体"/>
                <w:kern w:val="0"/>
              </w:rPr>
            </w:pPr>
          </w:p>
        </w:tc>
      </w:tr>
      <w:tr w14:paraId="2F400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A5CDA10">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268A1638">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92A6556">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6CFA778E">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312ABFF">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控制成本，多干实事</w:t>
            </w:r>
          </w:p>
        </w:tc>
        <w:tc>
          <w:tcPr>
            <w:tcW w:w="1099" w:type="dxa"/>
            <w:vAlign w:val="center"/>
          </w:tcPr>
          <w:p w14:paraId="4198EC65">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5万元</w:t>
            </w:r>
          </w:p>
        </w:tc>
        <w:tc>
          <w:tcPr>
            <w:tcW w:w="1099" w:type="dxa"/>
            <w:vAlign w:val="center"/>
          </w:tcPr>
          <w:p w14:paraId="555E0992">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5万元</w:t>
            </w:r>
          </w:p>
        </w:tc>
        <w:tc>
          <w:tcPr>
            <w:tcW w:w="809" w:type="dxa"/>
            <w:vAlign w:val="center"/>
          </w:tcPr>
          <w:p w14:paraId="4B97B57E">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C178AEF">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14C7A0C">
            <w:pPr>
              <w:spacing w:line="240" w:lineRule="auto"/>
              <w:ind w:firstLine="420"/>
              <w:jc w:val="left"/>
              <w:rPr>
                <w:rFonts w:ascii="仿宋_GB2312" w:hAnsi="宋体" w:eastAsia="仿宋_GB2312" w:cs="宋体"/>
                <w:kern w:val="0"/>
              </w:rPr>
            </w:pPr>
          </w:p>
        </w:tc>
      </w:tr>
      <w:tr w14:paraId="2E52C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27AA0E3">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478D820">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0E7158A">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019C6CA8">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对社会发展可能造成的负面影响</w:t>
            </w:r>
          </w:p>
        </w:tc>
        <w:tc>
          <w:tcPr>
            <w:tcW w:w="1099" w:type="dxa"/>
            <w:vAlign w:val="center"/>
          </w:tcPr>
          <w:p w14:paraId="63D4D4A4">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1099" w:type="dxa"/>
            <w:vAlign w:val="center"/>
          </w:tcPr>
          <w:p w14:paraId="0EBDF32F">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809" w:type="dxa"/>
            <w:vAlign w:val="center"/>
          </w:tcPr>
          <w:p w14:paraId="54D1827D">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8A3082E">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4C064F6C">
            <w:pPr>
              <w:spacing w:line="240" w:lineRule="auto"/>
              <w:ind w:firstLine="420"/>
              <w:jc w:val="left"/>
              <w:rPr>
                <w:rFonts w:ascii="仿宋_GB2312" w:hAnsi="宋体" w:eastAsia="仿宋_GB2312" w:cs="宋体"/>
                <w:kern w:val="0"/>
              </w:rPr>
            </w:pPr>
          </w:p>
        </w:tc>
      </w:tr>
      <w:tr w14:paraId="729AD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3E4071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442C90D">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D272B17">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4BFEAF0">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对自然生态环境造成的负面影响</w:t>
            </w:r>
          </w:p>
        </w:tc>
        <w:tc>
          <w:tcPr>
            <w:tcW w:w="1099" w:type="dxa"/>
            <w:vAlign w:val="center"/>
          </w:tcPr>
          <w:p w14:paraId="7C62DB1A">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1099" w:type="dxa"/>
            <w:vAlign w:val="center"/>
          </w:tcPr>
          <w:p w14:paraId="44074FF7">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809" w:type="dxa"/>
            <w:vAlign w:val="center"/>
          </w:tcPr>
          <w:p w14:paraId="2138BCB1">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2270ED1">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333D33CF">
            <w:pPr>
              <w:spacing w:line="240" w:lineRule="auto"/>
              <w:ind w:firstLine="420"/>
              <w:jc w:val="left"/>
              <w:rPr>
                <w:rFonts w:ascii="仿宋_GB2312" w:hAnsi="宋体" w:eastAsia="仿宋_GB2312" w:cs="宋体"/>
                <w:kern w:val="0"/>
              </w:rPr>
            </w:pPr>
          </w:p>
        </w:tc>
      </w:tr>
      <w:tr w14:paraId="4B409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6980DE2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67636E68">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45B63C1B">
            <w:pPr>
              <w:spacing w:line="240" w:lineRule="auto"/>
              <w:ind w:firstLine="420"/>
              <w:jc w:val="center"/>
              <w:rPr>
                <w:rFonts w:ascii="仿宋_GB2312" w:hAnsi="宋体" w:eastAsia="仿宋_GB2312" w:cs="宋体"/>
                <w:kern w:val="0"/>
              </w:rPr>
            </w:pPr>
          </w:p>
        </w:tc>
        <w:tc>
          <w:tcPr>
            <w:tcW w:w="1383" w:type="dxa"/>
            <w:vAlign w:val="center"/>
          </w:tcPr>
          <w:p w14:paraId="4177A2EA">
            <w:pPr>
              <w:spacing w:line="240" w:lineRule="auto"/>
              <w:ind w:firstLine="420"/>
              <w:jc w:val="center"/>
              <w:rPr>
                <w:rFonts w:ascii="仿宋_GB2312" w:hAnsi="宋体" w:eastAsia="仿宋_GB2312" w:cs="宋体"/>
                <w:kern w:val="0"/>
              </w:rPr>
            </w:pPr>
          </w:p>
        </w:tc>
      </w:tr>
    </w:tbl>
    <w:p w14:paraId="46F71273">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02520D71">
      <w:pPr>
        <w:spacing w:line="240" w:lineRule="auto"/>
        <w:ind w:firstLine="420"/>
        <w:jc w:val="left"/>
        <w:rPr>
          <w:rFonts w:ascii="宋体" w:hAnsi="宋体" w:eastAsia="宋体" w:cs="宋体"/>
          <w:kern w:val="0"/>
          <w:lang w:eastAsia="zh-CN"/>
        </w:rPr>
      </w:pPr>
    </w:p>
    <w:p w14:paraId="597BF24D">
      <w:pPr>
        <w:rPr>
          <w:rFonts w:ascii="仿宋_GB2312" w:hAnsi="宋体" w:eastAsia="仿宋_GB2312" w:cs="宋体"/>
          <w:lang w:eastAsia="zh-CN"/>
        </w:rPr>
        <w:sectPr>
          <w:footerReference r:id="rId5" w:type="default"/>
          <w:pgSz w:w="11907" w:h="16839"/>
          <w:pgMar w:top="1531" w:right="1474" w:bottom="1531" w:left="1587" w:header="0" w:footer="1588" w:gutter="0"/>
          <w:pgNumType w:fmt="numberInDash"/>
          <w:cols w:space="720" w:num="1"/>
          <w:docGrid w:linePitch="286" w:charSpace="0"/>
        </w:sect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柳灿</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15292</w:t>
      </w:r>
      <w:bookmarkStart w:id="0" w:name="_GoBack"/>
      <w:bookmarkEnd w:id="0"/>
      <w:r>
        <w:rPr>
          <w:rFonts w:hint="eastAsia" w:ascii="仿宋_GB2312" w:hAnsi="宋体" w:eastAsia="仿宋_GB2312" w:cs="宋体"/>
          <w:snapToGrid w:val="0"/>
          <w:color w:val="000000"/>
          <w:sz w:val="21"/>
          <w:szCs w:val="21"/>
          <w:lang w:val="en-US" w:eastAsia="zh-CN" w:bidi="ar-SA"/>
        </w:rPr>
        <w:t>005668</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葛思卉</w:t>
      </w:r>
    </w:p>
    <w:p w14:paraId="163E65AA">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7B79E50">
      <w:pPr>
        <w:spacing w:line="95" w:lineRule="exact"/>
        <w:ind w:firstLine="420"/>
        <w:jc w:val="left"/>
        <w:rPr>
          <w:kern w:val="0"/>
          <w:lang w:eastAsia="zh-CN"/>
        </w:rPr>
      </w:pPr>
    </w:p>
    <w:tbl>
      <w:tblPr>
        <w:tblStyle w:val="11"/>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A895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CE5231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60768DF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工作经费</w:t>
            </w:r>
          </w:p>
        </w:tc>
      </w:tr>
      <w:tr w14:paraId="731A3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9F3E1F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5460177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汨罗市住房和城乡建设局</w:t>
            </w:r>
          </w:p>
        </w:tc>
        <w:tc>
          <w:tcPr>
            <w:tcW w:w="1099" w:type="dxa"/>
            <w:vAlign w:val="center"/>
          </w:tcPr>
          <w:p w14:paraId="3B32557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6851C9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52A9A39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汨罗市建筑工程服务中心</w:t>
            </w:r>
          </w:p>
        </w:tc>
      </w:tr>
      <w:tr w14:paraId="29498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2311CE1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4523F6C">
            <w:pPr>
              <w:spacing w:line="240" w:lineRule="auto"/>
              <w:ind w:firstLine="420"/>
              <w:jc w:val="center"/>
              <w:rPr>
                <w:rFonts w:ascii="仿宋_GB2312" w:hAnsi="宋体" w:eastAsia="仿宋_GB2312" w:cs="宋体"/>
                <w:kern w:val="0"/>
                <w:lang w:eastAsia="zh-CN"/>
              </w:rPr>
            </w:pPr>
          </w:p>
        </w:tc>
        <w:tc>
          <w:tcPr>
            <w:tcW w:w="1020" w:type="dxa"/>
            <w:vAlign w:val="center"/>
          </w:tcPr>
          <w:p w14:paraId="71B4E43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64DACF7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6EE532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31528F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2A7B1F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4CE756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D73B78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F8D77E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7C72F6C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3B781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62AD610">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15D19A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C3DDBA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325</w:t>
            </w:r>
          </w:p>
        </w:tc>
        <w:tc>
          <w:tcPr>
            <w:tcW w:w="1099" w:type="dxa"/>
            <w:vAlign w:val="center"/>
          </w:tcPr>
          <w:p w14:paraId="359860D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334.74</w:t>
            </w:r>
          </w:p>
        </w:tc>
        <w:tc>
          <w:tcPr>
            <w:tcW w:w="1099" w:type="dxa"/>
            <w:vAlign w:val="center"/>
          </w:tcPr>
          <w:p w14:paraId="1EABD55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334.74</w:t>
            </w:r>
          </w:p>
        </w:tc>
        <w:tc>
          <w:tcPr>
            <w:tcW w:w="809" w:type="dxa"/>
            <w:vAlign w:val="center"/>
          </w:tcPr>
          <w:p w14:paraId="4B4B50EA">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5E0F2CD8">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5A2A047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3EE78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97AF6F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2780DF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shd w:val="clear" w:color="auto" w:fill="auto"/>
            <w:vAlign w:val="center"/>
          </w:tcPr>
          <w:p w14:paraId="0B261A45">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325</w:t>
            </w:r>
          </w:p>
        </w:tc>
        <w:tc>
          <w:tcPr>
            <w:tcW w:w="1099" w:type="dxa"/>
            <w:shd w:val="clear" w:color="auto" w:fill="auto"/>
            <w:vAlign w:val="center"/>
          </w:tcPr>
          <w:p w14:paraId="0C7B68B7">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334.74</w:t>
            </w:r>
          </w:p>
        </w:tc>
        <w:tc>
          <w:tcPr>
            <w:tcW w:w="1099" w:type="dxa"/>
            <w:shd w:val="clear" w:color="auto" w:fill="auto"/>
            <w:vAlign w:val="center"/>
          </w:tcPr>
          <w:p w14:paraId="2D5FD3F8">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334.74</w:t>
            </w:r>
          </w:p>
        </w:tc>
        <w:tc>
          <w:tcPr>
            <w:tcW w:w="809" w:type="dxa"/>
            <w:vAlign w:val="center"/>
          </w:tcPr>
          <w:p w14:paraId="2B9063A5">
            <w:pPr>
              <w:spacing w:line="240" w:lineRule="auto"/>
              <w:ind w:firstLine="420"/>
              <w:jc w:val="center"/>
              <w:rPr>
                <w:rFonts w:ascii="仿宋_GB2312" w:hAnsi="宋体" w:eastAsia="仿宋_GB2312" w:cs="宋体"/>
                <w:kern w:val="0"/>
                <w:lang w:eastAsia="zh-CN"/>
              </w:rPr>
            </w:pPr>
          </w:p>
        </w:tc>
        <w:tc>
          <w:tcPr>
            <w:tcW w:w="849" w:type="dxa"/>
            <w:vAlign w:val="center"/>
          </w:tcPr>
          <w:p w14:paraId="7F004FC6">
            <w:pPr>
              <w:spacing w:line="240" w:lineRule="auto"/>
              <w:ind w:firstLine="420"/>
              <w:jc w:val="center"/>
              <w:rPr>
                <w:rFonts w:ascii="仿宋_GB2312" w:hAnsi="宋体" w:eastAsia="仿宋_GB2312" w:cs="宋体"/>
                <w:kern w:val="0"/>
                <w:lang w:eastAsia="zh-CN"/>
              </w:rPr>
            </w:pPr>
          </w:p>
        </w:tc>
        <w:tc>
          <w:tcPr>
            <w:tcW w:w="1383" w:type="dxa"/>
            <w:vAlign w:val="center"/>
          </w:tcPr>
          <w:p w14:paraId="3A9014B9">
            <w:pPr>
              <w:spacing w:line="240" w:lineRule="auto"/>
              <w:ind w:firstLine="420"/>
              <w:jc w:val="center"/>
              <w:rPr>
                <w:rFonts w:ascii="仿宋_GB2312" w:hAnsi="宋体" w:eastAsia="仿宋_GB2312" w:cs="宋体"/>
                <w:kern w:val="0"/>
                <w:lang w:eastAsia="zh-CN"/>
              </w:rPr>
            </w:pPr>
          </w:p>
        </w:tc>
      </w:tr>
      <w:tr w14:paraId="1DD8F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46EA87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09C6D7D">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21D69BF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45EC35D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34804D6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2CED521B">
            <w:pPr>
              <w:spacing w:line="240" w:lineRule="auto"/>
              <w:ind w:firstLine="420"/>
              <w:jc w:val="center"/>
              <w:rPr>
                <w:rFonts w:ascii="仿宋_GB2312" w:hAnsi="宋体" w:eastAsia="仿宋_GB2312" w:cs="宋体"/>
                <w:kern w:val="0"/>
                <w:lang w:eastAsia="zh-CN"/>
              </w:rPr>
            </w:pPr>
          </w:p>
        </w:tc>
        <w:tc>
          <w:tcPr>
            <w:tcW w:w="849" w:type="dxa"/>
            <w:vAlign w:val="center"/>
          </w:tcPr>
          <w:p w14:paraId="1F7FDEF0">
            <w:pPr>
              <w:spacing w:line="240" w:lineRule="auto"/>
              <w:ind w:firstLine="420"/>
              <w:jc w:val="center"/>
              <w:rPr>
                <w:rFonts w:ascii="仿宋_GB2312" w:hAnsi="宋体" w:eastAsia="仿宋_GB2312" w:cs="宋体"/>
                <w:kern w:val="0"/>
                <w:lang w:eastAsia="zh-CN"/>
              </w:rPr>
            </w:pPr>
          </w:p>
        </w:tc>
        <w:tc>
          <w:tcPr>
            <w:tcW w:w="1383" w:type="dxa"/>
            <w:vAlign w:val="center"/>
          </w:tcPr>
          <w:p w14:paraId="67089CC3">
            <w:pPr>
              <w:spacing w:line="240" w:lineRule="auto"/>
              <w:ind w:firstLine="420"/>
              <w:jc w:val="center"/>
              <w:rPr>
                <w:rFonts w:ascii="仿宋_GB2312" w:hAnsi="宋体" w:eastAsia="仿宋_GB2312" w:cs="宋体"/>
                <w:kern w:val="0"/>
                <w:lang w:eastAsia="zh-CN"/>
              </w:rPr>
            </w:pPr>
          </w:p>
        </w:tc>
      </w:tr>
      <w:tr w14:paraId="1F27D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4DD669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8A93642">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148D39E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4974EE8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7EE75E1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14:paraId="04705B51">
            <w:pPr>
              <w:spacing w:line="240" w:lineRule="auto"/>
              <w:ind w:firstLine="420"/>
              <w:jc w:val="center"/>
              <w:rPr>
                <w:rFonts w:ascii="仿宋_GB2312" w:hAnsi="宋体" w:eastAsia="仿宋_GB2312" w:cs="宋体"/>
                <w:kern w:val="0"/>
              </w:rPr>
            </w:pPr>
          </w:p>
        </w:tc>
        <w:tc>
          <w:tcPr>
            <w:tcW w:w="849" w:type="dxa"/>
            <w:vAlign w:val="center"/>
          </w:tcPr>
          <w:p w14:paraId="1571D538">
            <w:pPr>
              <w:spacing w:line="240" w:lineRule="auto"/>
              <w:ind w:firstLine="420"/>
              <w:jc w:val="center"/>
              <w:rPr>
                <w:rFonts w:ascii="仿宋_GB2312" w:hAnsi="宋体" w:eastAsia="仿宋_GB2312" w:cs="宋体"/>
                <w:kern w:val="0"/>
              </w:rPr>
            </w:pPr>
          </w:p>
        </w:tc>
        <w:tc>
          <w:tcPr>
            <w:tcW w:w="1383" w:type="dxa"/>
            <w:vAlign w:val="center"/>
          </w:tcPr>
          <w:p w14:paraId="72ABEB07">
            <w:pPr>
              <w:spacing w:line="240" w:lineRule="auto"/>
              <w:ind w:firstLine="420"/>
              <w:jc w:val="center"/>
              <w:rPr>
                <w:rFonts w:ascii="仿宋_GB2312" w:hAnsi="宋体" w:eastAsia="仿宋_GB2312" w:cs="宋体"/>
                <w:kern w:val="0"/>
              </w:rPr>
            </w:pPr>
          </w:p>
        </w:tc>
      </w:tr>
      <w:tr w14:paraId="042D5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2CFD9FCC">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7412598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633C668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750F8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246FC77">
            <w:pPr>
              <w:spacing w:line="240" w:lineRule="auto"/>
              <w:ind w:firstLine="420"/>
              <w:jc w:val="center"/>
              <w:rPr>
                <w:rFonts w:ascii="仿宋_GB2312" w:hAnsi="宋体" w:eastAsia="仿宋_GB2312" w:cs="宋体"/>
                <w:kern w:val="0"/>
              </w:rPr>
            </w:pPr>
          </w:p>
        </w:tc>
        <w:tc>
          <w:tcPr>
            <w:tcW w:w="4396" w:type="dxa"/>
            <w:gridSpan w:val="4"/>
            <w:vAlign w:val="center"/>
          </w:tcPr>
          <w:p w14:paraId="424CF8B5">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建筑工程招投标监督管理；建筑行业资质管理、建筑业统计、专业技术人员培训；建筑工程质量、安全生产监管、竣工验收备案、检测市场管理；建筑材料价格信息收集、施工定额测编、工程造价管理；建筑工程、非住宅室内装饰工程质量安全监管；建筑工程和市政基础设施工程防雷安全监管。</w:t>
            </w:r>
          </w:p>
        </w:tc>
        <w:tc>
          <w:tcPr>
            <w:tcW w:w="4140" w:type="dxa"/>
            <w:gridSpan w:val="4"/>
            <w:vAlign w:val="center"/>
          </w:tcPr>
          <w:p w14:paraId="1CFE51F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任务已完成</w:t>
            </w:r>
          </w:p>
        </w:tc>
      </w:tr>
      <w:tr w14:paraId="22D0C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38918FD6">
            <w:pPr>
              <w:spacing w:line="240" w:lineRule="auto"/>
              <w:ind w:firstLine="420"/>
              <w:jc w:val="center"/>
              <w:rPr>
                <w:rFonts w:ascii="仿宋_GB2312" w:hAnsi="宋体" w:eastAsia="仿宋_GB2312" w:cs="宋体"/>
                <w:kern w:val="0"/>
              </w:rPr>
            </w:pPr>
          </w:p>
          <w:p w14:paraId="339AC56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2F88E2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3CAD8065">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653EC5C">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23B81F74">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189E81F3">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74B47CA9">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053CBD4">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4BC39C5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4B67F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BCBE31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77D40042">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5A023B4C">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B8E885F">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0E73B4A8">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工程建设监管执法率</w:t>
            </w:r>
          </w:p>
        </w:tc>
        <w:tc>
          <w:tcPr>
            <w:tcW w:w="1099" w:type="dxa"/>
            <w:vAlign w:val="center"/>
          </w:tcPr>
          <w:p w14:paraId="564EFFED">
            <w:pPr>
              <w:spacing w:line="240" w:lineRule="auto"/>
              <w:ind w:firstLine="420" w:firstLineChars="2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7A6D3AB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shd w:val="clear" w:color="auto" w:fill="auto"/>
            <w:vAlign w:val="center"/>
          </w:tcPr>
          <w:p w14:paraId="7E0B8D7C">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w:t>
            </w:r>
          </w:p>
        </w:tc>
        <w:tc>
          <w:tcPr>
            <w:tcW w:w="849" w:type="dxa"/>
            <w:vAlign w:val="center"/>
          </w:tcPr>
          <w:p w14:paraId="45BD07BD">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w:t>
            </w:r>
          </w:p>
        </w:tc>
        <w:tc>
          <w:tcPr>
            <w:tcW w:w="1383" w:type="dxa"/>
            <w:vAlign w:val="center"/>
          </w:tcPr>
          <w:p w14:paraId="6A2F34CD">
            <w:pPr>
              <w:spacing w:line="240" w:lineRule="auto"/>
              <w:ind w:firstLine="420"/>
              <w:jc w:val="center"/>
              <w:rPr>
                <w:rFonts w:ascii="仿宋_GB2312" w:hAnsi="宋体" w:eastAsia="仿宋_GB2312" w:cs="宋体"/>
                <w:kern w:val="0"/>
              </w:rPr>
            </w:pPr>
          </w:p>
        </w:tc>
      </w:tr>
      <w:tr w14:paraId="4E72F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049B127">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2F55092B">
            <w:pPr>
              <w:spacing w:line="240" w:lineRule="auto"/>
              <w:jc w:val="center"/>
              <w:rPr>
                <w:rFonts w:ascii="仿宋_GB2312" w:hAnsi="宋体" w:eastAsia="仿宋_GB2312" w:cs="宋体"/>
                <w:kern w:val="0"/>
              </w:rPr>
            </w:pPr>
          </w:p>
        </w:tc>
        <w:tc>
          <w:tcPr>
            <w:tcW w:w="1218" w:type="dxa"/>
            <w:vMerge w:val="continue"/>
            <w:vAlign w:val="center"/>
          </w:tcPr>
          <w:p w14:paraId="27689878">
            <w:pPr>
              <w:spacing w:line="240" w:lineRule="auto"/>
              <w:jc w:val="center"/>
              <w:rPr>
                <w:rFonts w:hint="eastAsia" w:ascii="仿宋_GB2312" w:hAnsi="宋体" w:eastAsia="仿宋_GB2312" w:cs="宋体"/>
                <w:kern w:val="0"/>
              </w:rPr>
            </w:pPr>
          </w:p>
        </w:tc>
        <w:tc>
          <w:tcPr>
            <w:tcW w:w="1020" w:type="dxa"/>
            <w:vAlign w:val="center"/>
          </w:tcPr>
          <w:p w14:paraId="5D7A529E">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房建和市政基础设施建设项目监管率</w:t>
            </w:r>
          </w:p>
        </w:tc>
        <w:tc>
          <w:tcPr>
            <w:tcW w:w="1099" w:type="dxa"/>
            <w:vAlign w:val="center"/>
          </w:tcPr>
          <w:p w14:paraId="5B7458DD">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3695E1D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shd w:val="clear" w:color="auto" w:fill="auto"/>
            <w:vAlign w:val="center"/>
          </w:tcPr>
          <w:p w14:paraId="4764B238">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w:t>
            </w:r>
          </w:p>
        </w:tc>
        <w:tc>
          <w:tcPr>
            <w:tcW w:w="849" w:type="dxa"/>
            <w:vAlign w:val="center"/>
          </w:tcPr>
          <w:p w14:paraId="4BD131E0">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14:paraId="6B918AD9">
            <w:pPr>
              <w:spacing w:line="240" w:lineRule="auto"/>
              <w:ind w:firstLine="420"/>
              <w:jc w:val="center"/>
              <w:rPr>
                <w:rFonts w:ascii="仿宋_GB2312" w:hAnsi="宋体" w:eastAsia="仿宋_GB2312" w:cs="宋体"/>
                <w:kern w:val="0"/>
              </w:rPr>
            </w:pPr>
          </w:p>
        </w:tc>
      </w:tr>
      <w:tr w14:paraId="7DFCF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D14F038">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5476FAF2">
            <w:pPr>
              <w:spacing w:line="240" w:lineRule="auto"/>
              <w:jc w:val="center"/>
              <w:rPr>
                <w:rFonts w:ascii="仿宋_GB2312" w:hAnsi="宋体" w:eastAsia="仿宋_GB2312" w:cs="宋体"/>
                <w:kern w:val="0"/>
              </w:rPr>
            </w:pPr>
          </w:p>
        </w:tc>
        <w:tc>
          <w:tcPr>
            <w:tcW w:w="1218" w:type="dxa"/>
            <w:vMerge w:val="continue"/>
            <w:vAlign w:val="center"/>
          </w:tcPr>
          <w:p w14:paraId="78B2E9CA">
            <w:pPr>
              <w:spacing w:line="240" w:lineRule="auto"/>
              <w:jc w:val="center"/>
              <w:rPr>
                <w:rFonts w:hint="eastAsia" w:ascii="仿宋_GB2312" w:hAnsi="宋体" w:eastAsia="仿宋_GB2312" w:cs="宋体"/>
                <w:kern w:val="0"/>
              </w:rPr>
            </w:pPr>
          </w:p>
        </w:tc>
        <w:tc>
          <w:tcPr>
            <w:tcW w:w="1020" w:type="dxa"/>
            <w:vAlign w:val="center"/>
          </w:tcPr>
          <w:p w14:paraId="1D97993D">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建筑施工企业信用评价率</w:t>
            </w:r>
          </w:p>
        </w:tc>
        <w:tc>
          <w:tcPr>
            <w:tcW w:w="1099" w:type="dxa"/>
            <w:vAlign w:val="center"/>
          </w:tcPr>
          <w:p w14:paraId="0EFF0F0A">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1E93519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shd w:val="clear" w:color="auto" w:fill="auto"/>
            <w:vAlign w:val="center"/>
          </w:tcPr>
          <w:p w14:paraId="30A96809">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w:t>
            </w:r>
          </w:p>
        </w:tc>
        <w:tc>
          <w:tcPr>
            <w:tcW w:w="849" w:type="dxa"/>
            <w:vAlign w:val="center"/>
          </w:tcPr>
          <w:p w14:paraId="4284E739">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w:t>
            </w:r>
          </w:p>
        </w:tc>
        <w:tc>
          <w:tcPr>
            <w:tcW w:w="1383" w:type="dxa"/>
            <w:vAlign w:val="center"/>
          </w:tcPr>
          <w:p w14:paraId="55B18FC0">
            <w:pPr>
              <w:spacing w:line="240" w:lineRule="auto"/>
              <w:ind w:firstLine="420"/>
              <w:jc w:val="center"/>
              <w:rPr>
                <w:rFonts w:ascii="仿宋_GB2312" w:hAnsi="宋体" w:eastAsia="仿宋_GB2312" w:cs="宋体"/>
                <w:kern w:val="0"/>
              </w:rPr>
            </w:pPr>
          </w:p>
        </w:tc>
      </w:tr>
      <w:tr w14:paraId="6FACF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6B1F679">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64915BA3">
            <w:pPr>
              <w:spacing w:line="240" w:lineRule="auto"/>
              <w:jc w:val="center"/>
              <w:rPr>
                <w:rFonts w:ascii="仿宋_GB2312" w:hAnsi="宋体" w:eastAsia="仿宋_GB2312" w:cs="宋体"/>
                <w:kern w:val="0"/>
              </w:rPr>
            </w:pPr>
          </w:p>
        </w:tc>
        <w:tc>
          <w:tcPr>
            <w:tcW w:w="1218" w:type="dxa"/>
            <w:vMerge w:val="continue"/>
            <w:vAlign w:val="center"/>
          </w:tcPr>
          <w:p w14:paraId="2AD18DAF">
            <w:pPr>
              <w:spacing w:line="240" w:lineRule="auto"/>
              <w:jc w:val="center"/>
              <w:rPr>
                <w:rFonts w:hint="eastAsia" w:ascii="仿宋_GB2312" w:hAnsi="宋体" w:eastAsia="仿宋_GB2312" w:cs="宋体"/>
                <w:kern w:val="0"/>
              </w:rPr>
            </w:pPr>
          </w:p>
        </w:tc>
        <w:tc>
          <w:tcPr>
            <w:tcW w:w="1020" w:type="dxa"/>
            <w:vAlign w:val="center"/>
          </w:tcPr>
          <w:p w14:paraId="00AF6280">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质量安全标准化考评率</w:t>
            </w:r>
          </w:p>
        </w:tc>
        <w:tc>
          <w:tcPr>
            <w:tcW w:w="1099" w:type="dxa"/>
            <w:vAlign w:val="center"/>
          </w:tcPr>
          <w:p w14:paraId="6DCB8551">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14:paraId="62A1D99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shd w:val="clear" w:color="auto" w:fill="auto"/>
            <w:vAlign w:val="center"/>
          </w:tcPr>
          <w:p w14:paraId="73A6D81A">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w:t>
            </w:r>
          </w:p>
        </w:tc>
        <w:tc>
          <w:tcPr>
            <w:tcW w:w="849" w:type="dxa"/>
            <w:vAlign w:val="center"/>
          </w:tcPr>
          <w:p w14:paraId="05149FE3">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w:t>
            </w:r>
          </w:p>
        </w:tc>
        <w:tc>
          <w:tcPr>
            <w:tcW w:w="1383" w:type="dxa"/>
            <w:vAlign w:val="center"/>
          </w:tcPr>
          <w:p w14:paraId="73C4845C">
            <w:pPr>
              <w:spacing w:line="240" w:lineRule="auto"/>
              <w:ind w:firstLine="420"/>
              <w:jc w:val="center"/>
              <w:rPr>
                <w:rFonts w:ascii="仿宋_GB2312" w:hAnsi="宋体" w:eastAsia="仿宋_GB2312" w:cs="宋体"/>
                <w:kern w:val="0"/>
              </w:rPr>
            </w:pPr>
          </w:p>
        </w:tc>
      </w:tr>
      <w:tr w14:paraId="71405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45D8367">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3D4CBB1C">
            <w:pPr>
              <w:spacing w:line="240" w:lineRule="auto"/>
              <w:jc w:val="center"/>
              <w:rPr>
                <w:rFonts w:ascii="仿宋_GB2312" w:hAnsi="宋体" w:eastAsia="仿宋_GB2312" w:cs="宋体"/>
                <w:kern w:val="0"/>
              </w:rPr>
            </w:pPr>
          </w:p>
        </w:tc>
        <w:tc>
          <w:tcPr>
            <w:tcW w:w="1218" w:type="dxa"/>
            <w:vMerge w:val="continue"/>
            <w:vAlign w:val="center"/>
          </w:tcPr>
          <w:p w14:paraId="7B499D8D">
            <w:pPr>
              <w:spacing w:line="240" w:lineRule="auto"/>
              <w:jc w:val="center"/>
              <w:rPr>
                <w:rFonts w:hint="eastAsia" w:ascii="仿宋_GB2312" w:hAnsi="宋体" w:eastAsia="仿宋_GB2312" w:cs="宋体"/>
                <w:kern w:val="0"/>
              </w:rPr>
            </w:pPr>
          </w:p>
        </w:tc>
        <w:tc>
          <w:tcPr>
            <w:tcW w:w="1020" w:type="dxa"/>
            <w:vAlign w:val="center"/>
          </w:tcPr>
          <w:p w14:paraId="24382B8B">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质量投诉回复处理率</w:t>
            </w:r>
          </w:p>
        </w:tc>
        <w:tc>
          <w:tcPr>
            <w:tcW w:w="1099" w:type="dxa"/>
            <w:vAlign w:val="center"/>
          </w:tcPr>
          <w:p w14:paraId="4D3FF00E">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群众满意度100%</w:t>
            </w:r>
          </w:p>
        </w:tc>
        <w:tc>
          <w:tcPr>
            <w:tcW w:w="1099" w:type="dxa"/>
            <w:shd w:val="clear" w:color="auto" w:fill="auto"/>
            <w:vAlign w:val="center"/>
          </w:tcPr>
          <w:p w14:paraId="3B266B1D">
            <w:pPr>
              <w:spacing w:line="240" w:lineRule="auto"/>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群众满意度100%</w:t>
            </w:r>
          </w:p>
        </w:tc>
        <w:tc>
          <w:tcPr>
            <w:tcW w:w="809" w:type="dxa"/>
            <w:shd w:val="clear" w:color="auto" w:fill="auto"/>
            <w:vAlign w:val="center"/>
          </w:tcPr>
          <w:p w14:paraId="2C9E3C54">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w:t>
            </w:r>
          </w:p>
        </w:tc>
        <w:tc>
          <w:tcPr>
            <w:tcW w:w="849" w:type="dxa"/>
            <w:vAlign w:val="center"/>
          </w:tcPr>
          <w:p w14:paraId="7FC02520">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w:t>
            </w:r>
          </w:p>
        </w:tc>
        <w:tc>
          <w:tcPr>
            <w:tcW w:w="1383" w:type="dxa"/>
            <w:vAlign w:val="center"/>
          </w:tcPr>
          <w:p w14:paraId="574828D3">
            <w:pPr>
              <w:spacing w:line="240" w:lineRule="auto"/>
              <w:ind w:firstLine="420"/>
              <w:jc w:val="center"/>
              <w:rPr>
                <w:rFonts w:ascii="仿宋_GB2312" w:hAnsi="宋体" w:eastAsia="仿宋_GB2312" w:cs="宋体"/>
                <w:kern w:val="0"/>
              </w:rPr>
            </w:pPr>
          </w:p>
        </w:tc>
      </w:tr>
      <w:tr w14:paraId="74569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C4C7B86">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7835EAFF">
            <w:pPr>
              <w:spacing w:line="240" w:lineRule="auto"/>
              <w:jc w:val="center"/>
              <w:rPr>
                <w:rFonts w:ascii="仿宋_GB2312" w:hAnsi="宋体" w:eastAsia="仿宋_GB2312" w:cs="宋体"/>
                <w:kern w:val="0"/>
              </w:rPr>
            </w:pPr>
          </w:p>
        </w:tc>
        <w:tc>
          <w:tcPr>
            <w:tcW w:w="1218" w:type="dxa"/>
            <w:vMerge w:val="continue"/>
            <w:vAlign w:val="center"/>
          </w:tcPr>
          <w:p w14:paraId="757C1184">
            <w:pPr>
              <w:spacing w:line="240" w:lineRule="auto"/>
              <w:jc w:val="center"/>
              <w:rPr>
                <w:rFonts w:hint="eastAsia" w:ascii="仿宋_GB2312" w:hAnsi="宋体" w:eastAsia="仿宋_GB2312" w:cs="宋体"/>
                <w:kern w:val="0"/>
              </w:rPr>
            </w:pPr>
          </w:p>
        </w:tc>
        <w:tc>
          <w:tcPr>
            <w:tcW w:w="1020" w:type="dxa"/>
            <w:vAlign w:val="center"/>
          </w:tcPr>
          <w:p w14:paraId="1029756A">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办理项目竣工验收率</w:t>
            </w:r>
          </w:p>
        </w:tc>
        <w:tc>
          <w:tcPr>
            <w:tcW w:w="1099" w:type="dxa"/>
            <w:vAlign w:val="center"/>
          </w:tcPr>
          <w:p w14:paraId="51515A68">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60个</w:t>
            </w:r>
          </w:p>
        </w:tc>
        <w:tc>
          <w:tcPr>
            <w:tcW w:w="1099" w:type="dxa"/>
            <w:shd w:val="clear" w:color="auto" w:fill="auto"/>
            <w:vAlign w:val="center"/>
          </w:tcPr>
          <w:p w14:paraId="3CD6712A">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27个</w:t>
            </w:r>
          </w:p>
        </w:tc>
        <w:tc>
          <w:tcPr>
            <w:tcW w:w="809" w:type="dxa"/>
            <w:shd w:val="clear" w:color="auto" w:fill="auto"/>
            <w:vAlign w:val="center"/>
          </w:tcPr>
          <w:p w14:paraId="05E00E06">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w:t>
            </w:r>
          </w:p>
        </w:tc>
        <w:tc>
          <w:tcPr>
            <w:tcW w:w="849" w:type="dxa"/>
            <w:vAlign w:val="center"/>
          </w:tcPr>
          <w:p w14:paraId="7FB591E8">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0.5</w:t>
            </w:r>
          </w:p>
        </w:tc>
        <w:tc>
          <w:tcPr>
            <w:tcW w:w="1383" w:type="dxa"/>
            <w:vAlign w:val="center"/>
          </w:tcPr>
          <w:p w14:paraId="12D3D063">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根据市场实际情况，全年只有27个项目，已全部办理竣工验收</w:t>
            </w:r>
          </w:p>
        </w:tc>
      </w:tr>
      <w:tr w14:paraId="7DDCC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19CF3C6">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3A3CDDDA">
            <w:pPr>
              <w:spacing w:line="240" w:lineRule="auto"/>
              <w:jc w:val="center"/>
              <w:rPr>
                <w:rFonts w:ascii="仿宋_GB2312" w:hAnsi="宋体" w:eastAsia="仿宋_GB2312" w:cs="宋体"/>
                <w:kern w:val="0"/>
              </w:rPr>
            </w:pPr>
          </w:p>
        </w:tc>
        <w:tc>
          <w:tcPr>
            <w:tcW w:w="1218" w:type="dxa"/>
            <w:vMerge w:val="continue"/>
            <w:vAlign w:val="center"/>
          </w:tcPr>
          <w:p w14:paraId="65C9905D">
            <w:pPr>
              <w:spacing w:line="240" w:lineRule="auto"/>
              <w:jc w:val="center"/>
              <w:rPr>
                <w:rFonts w:hint="eastAsia" w:ascii="仿宋_GB2312" w:hAnsi="宋体" w:eastAsia="仿宋_GB2312" w:cs="宋体"/>
                <w:kern w:val="0"/>
              </w:rPr>
            </w:pPr>
          </w:p>
        </w:tc>
        <w:tc>
          <w:tcPr>
            <w:tcW w:w="1020" w:type="dxa"/>
            <w:vAlign w:val="center"/>
          </w:tcPr>
          <w:p w14:paraId="74511FEF">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监督工程竣工验收率</w:t>
            </w:r>
          </w:p>
        </w:tc>
        <w:tc>
          <w:tcPr>
            <w:tcW w:w="1099" w:type="dxa"/>
            <w:vAlign w:val="center"/>
          </w:tcPr>
          <w:p w14:paraId="6F75ACEB">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shd w:val="clear" w:color="auto" w:fill="auto"/>
            <w:vAlign w:val="center"/>
          </w:tcPr>
          <w:p w14:paraId="618CFFBC">
            <w:pPr>
              <w:spacing w:line="240" w:lineRule="auto"/>
              <w:ind w:firstLine="420" w:firstLineChars="0"/>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809" w:type="dxa"/>
            <w:shd w:val="clear" w:color="auto" w:fill="auto"/>
            <w:vAlign w:val="center"/>
          </w:tcPr>
          <w:p w14:paraId="70FD97C2">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w:t>
            </w:r>
          </w:p>
        </w:tc>
        <w:tc>
          <w:tcPr>
            <w:tcW w:w="849" w:type="dxa"/>
            <w:vAlign w:val="center"/>
          </w:tcPr>
          <w:p w14:paraId="5B914B30">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w:t>
            </w:r>
          </w:p>
        </w:tc>
        <w:tc>
          <w:tcPr>
            <w:tcW w:w="1383" w:type="dxa"/>
            <w:vAlign w:val="center"/>
          </w:tcPr>
          <w:p w14:paraId="428844BE">
            <w:pPr>
              <w:spacing w:line="240" w:lineRule="auto"/>
              <w:ind w:firstLine="420"/>
              <w:jc w:val="center"/>
              <w:rPr>
                <w:rFonts w:ascii="仿宋_GB2312" w:hAnsi="宋体" w:eastAsia="仿宋_GB2312" w:cs="宋体"/>
                <w:kern w:val="0"/>
              </w:rPr>
            </w:pPr>
          </w:p>
        </w:tc>
      </w:tr>
      <w:tr w14:paraId="0EDD3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04BAFAD">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7D3AFA94">
            <w:pPr>
              <w:spacing w:line="240" w:lineRule="auto"/>
              <w:jc w:val="center"/>
              <w:rPr>
                <w:rFonts w:ascii="仿宋_GB2312" w:hAnsi="宋体" w:eastAsia="仿宋_GB2312" w:cs="宋体"/>
                <w:kern w:val="0"/>
              </w:rPr>
            </w:pPr>
          </w:p>
        </w:tc>
        <w:tc>
          <w:tcPr>
            <w:tcW w:w="1218" w:type="dxa"/>
            <w:vMerge w:val="continue"/>
            <w:vAlign w:val="center"/>
          </w:tcPr>
          <w:p w14:paraId="685B7730">
            <w:pPr>
              <w:spacing w:line="240" w:lineRule="auto"/>
              <w:jc w:val="center"/>
              <w:rPr>
                <w:rFonts w:hint="eastAsia" w:ascii="仿宋_GB2312" w:hAnsi="宋体" w:eastAsia="仿宋_GB2312" w:cs="宋体"/>
                <w:kern w:val="0"/>
              </w:rPr>
            </w:pPr>
          </w:p>
        </w:tc>
        <w:tc>
          <w:tcPr>
            <w:tcW w:w="1020" w:type="dxa"/>
            <w:vAlign w:val="center"/>
          </w:tcPr>
          <w:p w14:paraId="6E47505A">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违法建设巡查率</w:t>
            </w:r>
          </w:p>
        </w:tc>
        <w:tc>
          <w:tcPr>
            <w:tcW w:w="1099" w:type="dxa"/>
            <w:vAlign w:val="center"/>
          </w:tcPr>
          <w:p w14:paraId="4A52B37F">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shd w:val="clear" w:color="auto" w:fill="auto"/>
            <w:vAlign w:val="center"/>
          </w:tcPr>
          <w:p w14:paraId="7C411720">
            <w:pPr>
              <w:spacing w:line="240" w:lineRule="auto"/>
              <w:ind w:firstLine="420" w:firstLineChars="0"/>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809" w:type="dxa"/>
            <w:shd w:val="clear" w:color="auto" w:fill="auto"/>
            <w:vAlign w:val="center"/>
          </w:tcPr>
          <w:p w14:paraId="71306C0E">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w:t>
            </w:r>
          </w:p>
        </w:tc>
        <w:tc>
          <w:tcPr>
            <w:tcW w:w="849" w:type="dxa"/>
            <w:vAlign w:val="center"/>
          </w:tcPr>
          <w:p w14:paraId="6B844E58">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w:t>
            </w:r>
          </w:p>
        </w:tc>
        <w:tc>
          <w:tcPr>
            <w:tcW w:w="1383" w:type="dxa"/>
            <w:vAlign w:val="center"/>
          </w:tcPr>
          <w:p w14:paraId="2C9BAC04">
            <w:pPr>
              <w:spacing w:line="240" w:lineRule="auto"/>
              <w:ind w:firstLine="420"/>
              <w:jc w:val="center"/>
              <w:rPr>
                <w:rFonts w:ascii="仿宋_GB2312" w:hAnsi="宋体" w:eastAsia="仿宋_GB2312" w:cs="宋体"/>
                <w:kern w:val="0"/>
              </w:rPr>
            </w:pPr>
          </w:p>
        </w:tc>
      </w:tr>
      <w:tr w14:paraId="0FBE1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71CC4F5">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53B841D9">
            <w:pPr>
              <w:spacing w:line="240" w:lineRule="auto"/>
              <w:jc w:val="center"/>
              <w:rPr>
                <w:rFonts w:ascii="仿宋_GB2312" w:hAnsi="宋体" w:eastAsia="仿宋_GB2312" w:cs="宋体"/>
                <w:kern w:val="0"/>
              </w:rPr>
            </w:pPr>
          </w:p>
        </w:tc>
        <w:tc>
          <w:tcPr>
            <w:tcW w:w="1218" w:type="dxa"/>
            <w:vMerge w:val="continue"/>
            <w:vAlign w:val="center"/>
          </w:tcPr>
          <w:p w14:paraId="50451F54">
            <w:pPr>
              <w:spacing w:line="240" w:lineRule="auto"/>
              <w:jc w:val="center"/>
              <w:rPr>
                <w:rFonts w:hint="eastAsia" w:ascii="仿宋_GB2312" w:hAnsi="宋体" w:eastAsia="仿宋_GB2312" w:cs="宋体"/>
                <w:kern w:val="0"/>
              </w:rPr>
            </w:pPr>
          </w:p>
        </w:tc>
        <w:tc>
          <w:tcPr>
            <w:tcW w:w="1020" w:type="dxa"/>
            <w:vAlign w:val="center"/>
          </w:tcPr>
          <w:p w14:paraId="2F0274CA">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做好公开招标项目监管</w:t>
            </w:r>
          </w:p>
        </w:tc>
        <w:tc>
          <w:tcPr>
            <w:tcW w:w="1099" w:type="dxa"/>
            <w:vAlign w:val="center"/>
          </w:tcPr>
          <w:p w14:paraId="0C0B50AD">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16个</w:t>
            </w:r>
          </w:p>
        </w:tc>
        <w:tc>
          <w:tcPr>
            <w:tcW w:w="1099" w:type="dxa"/>
            <w:shd w:val="clear" w:color="auto" w:fill="auto"/>
            <w:vAlign w:val="center"/>
          </w:tcPr>
          <w:p w14:paraId="6652151D">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15个</w:t>
            </w:r>
          </w:p>
        </w:tc>
        <w:tc>
          <w:tcPr>
            <w:tcW w:w="809" w:type="dxa"/>
            <w:shd w:val="clear" w:color="auto" w:fill="auto"/>
            <w:vAlign w:val="center"/>
          </w:tcPr>
          <w:p w14:paraId="3EA2FA6B">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w:t>
            </w:r>
          </w:p>
        </w:tc>
        <w:tc>
          <w:tcPr>
            <w:tcW w:w="849" w:type="dxa"/>
            <w:vAlign w:val="center"/>
          </w:tcPr>
          <w:p w14:paraId="6AA7DFD2">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w:t>
            </w:r>
          </w:p>
        </w:tc>
        <w:tc>
          <w:tcPr>
            <w:tcW w:w="1383" w:type="dxa"/>
            <w:vAlign w:val="center"/>
          </w:tcPr>
          <w:p w14:paraId="56120401">
            <w:pPr>
              <w:spacing w:line="240" w:lineRule="auto"/>
              <w:ind w:firstLine="420"/>
              <w:jc w:val="center"/>
              <w:rPr>
                <w:rFonts w:ascii="仿宋_GB2312" w:hAnsi="宋体" w:eastAsia="仿宋_GB2312" w:cs="宋体"/>
                <w:kern w:val="0"/>
              </w:rPr>
            </w:pPr>
          </w:p>
        </w:tc>
      </w:tr>
      <w:tr w14:paraId="64DE9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823E8A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D8CD84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C20E8AD">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0A437719">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智慧工地视频监控等智慧板块覆盖率</w:t>
            </w:r>
          </w:p>
        </w:tc>
        <w:tc>
          <w:tcPr>
            <w:tcW w:w="1099" w:type="dxa"/>
            <w:vAlign w:val="center"/>
          </w:tcPr>
          <w:p w14:paraId="6B7D1609">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1099" w:type="dxa"/>
            <w:vAlign w:val="center"/>
          </w:tcPr>
          <w:p w14:paraId="69DAD48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40%</w:t>
            </w:r>
          </w:p>
        </w:tc>
        <w:tc>
          <w:tcPr>
            <w:tcW w:w="809" w:type="dxa"/>
            <w:shd w:val="clear" w:color="auto" w:fill="auto"/>
            <w:vAlign w:val="center"/>
          </w:tcPr>
          <w:p w14:paraId="0F29A211">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w:t>
            </w:r>
          </w:p>
        </w:tc>
        <w:tc>
          <w:tcPr>
            <w:tcW w:w="849" w:type="dxa"/>
            <w:vAlign w:val="center"/>
          </w:tcPr>
          <w:p w14:paraId="03201A37">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14:paraId="36FDBED6">
            <w:pPr>
              <w:spacing w:line="240" w:lineRule="auto"/>
              <w:ind w:firstLine="420"/>
              <w:jc w:val="center"/>
              <w:rPr>
                <w:rFonts w:ascii="仿宋_GB2312" w:hAnsi="宋体" w:eastAsia="仿宋_GB2312" w:cs="宋体"/>
                <w:kern w:val="0"/>
              </w:rPr>
            </w:pPr>
          </w:p>
        </w:tc>
      </w:tr>
      <w:tr w14:paraId="468C8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1A9648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C614180">
            <w:pPr>
              <w:spacing w:line="240" w:lineRule="auto"/>
              <w:ind w:firstLine="420"/>
              <w:jc w:val="center"/>
              <w:rPr>
                <w:rFonts w:ascii="仿宋_GB2312" w:hAnsi="宋体" w:eastAsia="仿宋_GB2312" w:cs="宋体"/>
                <w:kern w:val="0"/>
              </w:rPr>
            </w:pPr>
          </w:p>
        </w:tc>
        <w:tc>
          <w:tcPr>
            <w:tcW w:w="1218" w:type="dxa"/>
            <w:vMerge w:val="continue"/>
            <w:vAlign w:val="center"/>
          </w:tcPr>
          <w:p w14:paraId="307DAE82">
            <w:pPr>
              <w:spacing w:line="240" w:lineRule="auto"/>
              <w:jc w:val="center"/>
              <w:rPr>
                <w:rFonts w:hint="eastAsia" w:ascii="仿宋_GB2312" w:hAnsi="宋体" w:eastAsia="仿宋_GB2312" w:cs="宋体"/>
                <w:kern w:val="0"/>
              </w:rPr>
            </w:pPr>
          </w:p>
        </w:tc>
        <w:tc>
          <w:tcPr>
            <w:tcW w:w="1020" w:type="dxa"/>
            <w:vAlign w:val="center"/>
          </w:tcPr>
          <w:p w14:paraId="4470AFC7">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扬尘防治责任公示</w:t>
            </w:r>
          </w:p>
        </w:tc>
        <w:tc>
          <w:tcPr>
            <w:tcW w:w="1099" w:type="dxa"/>
            <w:vAlign w:val="center"/>
          </w:tcPr>
          <w:p w14:paraId="0A13155A">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全覆盖</w:t>
            </w:r>
          </w:p>
        </w:tc>
        <w:tc>
          <w:tcPr>
            <w:tcW w:w="1099" w:type="dxa"/>
            <w:vAlign w:val="center"/>
          </w:tcPr>
          <w:p w14:paraId="3D4E712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全覆盖</w:t>
            </w:r>
          </w:p>
        </w:tc>
        <w:tc>
          <w:tcPr>
            <w:tcW w:w="809" w:type="dxa"/>
            <w:shd w:val="clear" w:color="auto" w:fill="auto"/>
            <w:vAlign w:val="center"/>
          </w:tcPr>
          <w:p w14:paraId="7D4D000A">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w:t>
            </w:r>
          </w:p>
        </w:tc>
        <w:tc>
          <w:tcPr>
            <w:tcW w:w="849" w:type="dxa"/>
            <w:vAlign w:val="center"/>
          </w:tcPr>
          <w:p w14:paraId="559E5593">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w:t>
            </w:r>
          </w:p>
        </w:tc>
        <w:tc>
          <w:tcPr>
            <w:tcW w:w="1383" w:type="dxa"/>
            <w:vAlign w:val="center"/>
          </w:tcPr>
          <w:p w14:paraId="2B333869">
            <w:pPr>
              <w:spacing w:line="240" w:lineRule="auto"/>
              <w:ind w:firstLine="420"/>
              <w:jc w:val="center"/>
              <w:rPr>
                <w:rFonts w:ascii="仿宋_GB2312" w:hAnsi="宋体" w:eastAsia="仿宋_GB2312" w:cs="宋体"/>
                <w:kern w:val="0"/>
              </w:rPr>
            </w:pPr>
          </w:p>
        </w:tc>
      </w:tr>
      <w:tr w14:paraId="72767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4C9C5C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85C2BE">
            <w:pPr>
              <w:spacing w:line="240" w:lineRule="auto"/>
              <w:ind w:firstLine="420"/>
              <w:jc w:val="center"/>
              <w:rPr>
                <w:rFonts w:ascii="仿宋_GB2312" w:hAnsi="宋体" w:eastAsia="仿宋_GB2312" w:cs="宋体"/>
                <w:kern w:val="0"/>
              </w:rPr>
            </w:pPr>
          </w:p>
        </w:tc>
        <w:tc>
          <w:tcPr>
            <w:tcW w:w="1218" w:type="dxa"/>
            <w:vMerge w:val="continue"/>
            <w:vAlign w:val="center"/>
          </w:tcPr>
          <w:p w14:paraId="44D71112">
            <w:pPr>
              <w:spacing w:line="240" w:lineRule="auto"/>
              <w:jc w:val="center"/>
              <w:rPr>
                <w:rFonts w:hint="eastAsia" w:ascii="仿宋_GB2312" w:hAnsi="宋体" w:eastAsia="仿宋_GB2312" w:cs="宋体"/>
                <w:kern w:val="0"/>
              </w:rPr>
            </w:pPr>
          </w:p>
        </w:tc>
        <w:tc>
          <w:tcPr>
            <w:tcW w:w="1020" w:type="dxa"/>
            <w:vAlign w:val="center"/>
          </w:tcPr>
          <w:p w14:paraId="3A2EF143">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工程建设消防安全</w:t>
            </w:r>
          </w:p>
        </w:tc>
        <w:tc>
          <w:tcPr>
            <w:tcW w:w="1099" w:type="dxa"/>
            <w:vAlign w:val="center"/>
          </w:tcPr>
          <w:p w14:paraId="7A135934">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不发生较大消防安全事故</w:t>
            </w:r>
          </w:p>
        </w:tc>
        <w:tc>
          <w:tcPr>
            <w:tcW w:w="1099" w:type="dxa"/>
            <w:shd w:val="clear" w:color="auto" w:fill="auto"/>
            <w:vAlign w:val="center"/>
          </w:tcPr>
          <w:p w14:paraId="2F559533">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不发生较大消防安全事故</w:t>
            </w:r>
          </w:p>
        </w:tc>
        <w:tc>
          <w:tcPr>
            <w:tcW w:w="809" w:type="dxa"/>
            <w:shd w:val="clear" w:color="auto" w:fill="auto"/>
            <w:vAlign w:val="center"/>
          </w:tcPr>
          <w:p w14:paraId="6BD34AAC">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w:t>
            </w:r>
          </w:p>
        </w:tc>
        <w:tc>
          <w:tcPr>
            <w:tcW w:w="849" w:type="dxa"/>
            <w:vAlign w:val="center"/>
          </w:tcPr>
          <w:p w14:paraId="50A1B9FC">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w:t>
            </w:r>
          </w:p>
        </w:tc>
        <w:tc>
          <w:tcPr>
            <w:tcW w:w="1383" w:type="dxa"/>
            <w:vAlign w:val="center"/>
          </w:tcPr>
          <w:p w14:paraId="074AD6BB">
            <w:pPr>
              <w:spacing w:line="240" w:lineRule="auto"/>
              <w:ind w:firstLine="420"/>
              <w:jc w:val="center"/>
              <w:rPr>
                <w:rFonts w:ascii="仿宋_GB2312" w:hAnsi="宋体" w:eastAsia="仿宋_GB2312" w:cs="宋体"/>
                <w:kern w:val="0"/>
              </w:rPr>
            </w:pPr>
          </w:p>
        </w:tc>
      </w:tr>
      <w:tr w14:paraId="6EBE8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3DD842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B2BECB6">
            <w:pPr>
              <w:spacing w:line="240" w:lineRule="auto"/>
              <w:ind w:firstLine="420"/>
              <w:jc w:val="center"/>
              <w:rPr>
                <w:rFonts w:ascii="仿宋_GB2312" w:hAnsi="宋体" w:eastAsia="仿宋_GB2312" w:cs="宋体"/>
                <w:kern w:val="0"/>
              </w:rPr>
            </w:pPr>
          </w:p>
        </w:tc>
        <w:tc>
          <w:tcPr>
            <w:tcW w:w="1218" w:type="dxa"/>
            <w:vMerge w:val="continue"/>
            <w:vAlign w:val="center"/>
          </w:tcPr>
          <w:p w14:paraId="60A1E750">
            <w:pPr>
              <w:spacing w:line="240" w:lineRule="auto"/>
              <w:jc w:val="center"/>
              <w:rPr>
                <w:rFonts w:hint="eastAsia" w:ascii="仿宋_GB2312" w:hAnsi="宋体" w:eastAsia="仿宋_GB2312" w:cs="宋体"/>
                <w:kern w:val="0"/>
              </w:rPr>
            </w:pPr>
          </w:p>
        </w:tc>
        <w:tc>
          <w:tcPr>
            <w:tcW w:w="1020" w:type="dxa"/>
            <w:vAlign w:val="center"/>
          </w:tcPr>
          <w:p w14:paraId="72E6965A">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建筑工程质量安全</w:t>
            </w:r>
          </w:p>
        </w:tc>
        <w:tc>
          <w:tcPr>
            <w:tcW w:w="1099" w:type="dxa"/>
            <w:vAlign w:val="center"/>
          </w:tcPr>
          <w:p w14:paraId="521AEDC0">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不发生较大安全生产事故</w:t>
            </w:r>
          </w:p>
        </w:tc>
        <w:tc>
          <w:tcPr>
            <w:tcW w:w="1099" w:type="dxa"/>
            <w:shd w:val="clear" w:color="auto" w:fill="auto"/>
            <w:vAlign w:val="center"/>
          </w:tcPr>
          <w:p w14:paraId="1FF2399A">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不发生较大安全生产事故</w:t>
            </w:r>
          </w:p>
        </w:tc>
        <w:tc>
          <w:tcPr>
            <w:tcW w:w="809" w:type="dxa"/>
            <w:shd w:val="clear" w:color="auto" w:fill="auto"/>
            <w:vAlign w:val="center"/>
          </w:tcPr>
          <w:p w14:paraId="15F78B63">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w:t>
            </w:r>
          </w:p>
        </w:tc>
        <w:tc>
          <w:tcPr>
            <w:tcW w:w="849" w:type="dxa"/>
            <w:vAlign w:val="center"/>
          </w:tcPr>
          <w:p w14:paraId="637C4B4F">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w:t>
            </w:r>
          </w:p>
        </w:tc>
        <w:tc>
          <w:tcPr>
            <w:tcW w:w="1383" w:type="dxa"/>
            <w:vAlign w:val="center"/>
          </w:tcPr>
          <w:p w14:paraId="7E9CB0CD">
            <w:pPr>
              <w:spacing w:line="240" w:lineRule="auto"/>
              <w:ind w:firstLine="420"/>
              <w:jc w:val="center"/>
              <w:rPr>
                <w:rFonts w:ascii="仿宋_GB2312" w:hAnsi="宋体" w:eastAsia="仿宋_GB2312" w:cs="宋体"/>
                <w:kern w:val="0"/>
              </w:rPr>
            </w:pPr>
          </w:p>
        </w:tc>
      </w:tr>
      <w:tr w14:paraId="12DB1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7D45D8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78B66A9">
            <w:pPr>
              <w:spacing w:line="240" w:lineRule="auto"/>
              <w:ind w:firstLine="420"/>
              <w:jc w:val="center"/>
              <w:rPr>
                <w:rFonts w:ascii="仿宋_GB2312" w:hAnsi="宋体" w:eastAsia="仿宋_GB2312" w:cs="宋体"/>
                <w:kern w:val="0"/>
              </w:rPr>
            </w:pPr>
          </w:p>
        </w:tc>
        <w:tc>
          <w:tcPr>
            <w:tcW w:w="1218" w:type="dxa"/>
            <w:vMerge w:val="continue"/>
            <w:vAlign w:val="center"/>
          </w:tcPr>
          <w:p w14:paraId="3943E6DF">
            <w:pPr>
              <w:spacing w:line="240" w:lineRule="auto"/>
              <w:jc w:val="center"/>
              <w:rPr>
                <w:rFonts w:hint="eastAsia" w:ascii="仿宋_GB2312" w:hAnsi="宋体" w:eastAsia="仿宋_GB2312" w:cs="宋体"/>
                <w:kern w:val="0"/>
              </w:rPr>
            </w:pPr>
          </w:p>
        </w:tc>
        <w:tc>
          <w:tcPr>
            <w:tcW w:w="1020" w:type="dxa"/>
            <w:vAlign w:val="center"/>
          </w:tcPr>
          <w:p w14:paraId="388D9149">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施工现场质量安全样板</w:t>
            </w:r>
          </w:p>
        </w:tc>
        <w:tc>
          <w:tcPr>
            <w:tcW w:w="1099" w:type="dxa"/>
            <w:vAlign w:val="center"/>
          </w:tcPr>
          <w:p w14:paraId="220F2299">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覆盖率全面提升</w:t>
            </w:r>
          </w:p>
        </w:tc>
        <w:tc>
          <w:tcPr>
            <w:tcW w:w="1099" w:type="dxa"/>
            <w:shd w:val="clear" w:color="auto" w:fill="auto"/>
            <w:vAlign w:val="center"/>
          </w:tcPr>
          <w:p w14:paraId="0E6686E9">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覆盖率全面提升</w:t>
            </w:r>
          </w:p>
        </w:tc>
        <w:tc>
          <w:tcPr>
            <w:tcW w:w="809" w:type="dxa"/>
            <w:shd w:val="clear" w:color="auto" w:fill="auto"/>
            <w:vAlign w:val="center"/>
          </w:tcPr>
          <w:p w14:paraId="57C284C5">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w:t>
            </w:r>
          </w:p>
        </w:tc>
        <w:tc>
          <w:tcPr>
            <w:tcW w:w="849" w:type="dxa"/>
            <w:vAlign w:val="center"/>
          </w:tcPr>
          <w:p w14:paraId="74D57693">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w:t>
            </w:r>
          </w:p>
        </w:tc>
        <w:tc>
          <w:tcPr>
            <w:tcW w:w="1383" w:type="dxa"/>
            <w:vAlign w:val="center"/>
          </w:tcPr>
          <w:p w14:paraId="77F80A9A">
            <w:pPr>
              <w:spacing w:line="240" w:lineRule="auto"/>
              <w:ind w:firstLine="420"/>
              <w:jc w:val="center"/>
              <w:rPr>
                <w:rFonts w:ascii="仿宋_GB2312" w:hAnsi="宋体" w:eastAsia="仿宋_GB2312" w:cs="宋体"/>
                <w:kern w:val="0"/>
              </w:rPr>
            </w:pPr>
          </w:p>
        </w:tc>
      </w:tr>
      <w:tr w14:paraId="676FF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394A15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8C1EA00">
            <w:pPr>
              <w:spacing w:line="240" w:lineRule="auto"/>
              <w:ind w:firstLine="420"/>
              <w:jc w:val="center"/>
              <w:rPr>
                <w:rFonts w:ascii="仿宋_GB2312" w:hAnsi="宋体" w:eastAsia="仿宋_GB2312" w:cs="宋体"/>
                <w:kern w:val="0"/>
              </w:rPr>
            </w:pPr>
          </w:p>
        </w:tc>
        <w:tc>
          <w:tcPr>
            <w:tcW w:w="1218" w:type="dxa"/>
            <w:vMerge w:val="continue"/>
            <w:vAlign w:val="center"/>
          </w:tcPr>
          <w:p w14:paraId="04544B06">
            <w:pPr>
              <w:spacing w:line="240" w:lineRule="auto"/>
              <w:jc w:val="center"/>
              <w:rPr>
                <w:rFonts w:hint="eastAsia" w:ascii="仿宋_GB2312" w:hAnsi="宋体" w:eastAsia="仿宋_GB2312" w:cs="宋体"/>
                <w:kern w:val="0"/>
              </w:rPr>
            </w:pPr>
          </w:p>
        </w:tc>
        <w:tc>
          <w:tcPr>
            <w:tcW w:w="1020" w:type="dxa"/>
            <w:vAlign w:val="center"/>
          </w:tcPr>
          <w:p w14:paraId="41E63233">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现场质量安全巡查</w:t>
            </w:r>
          </w:p>
        </w:tc>
        <w:tc>
          <w:tcPr>
            <w:tcW w:w="1099" w:type="dxa"/>
            <w:vAlign w:val="center"/>
          </w:tcPr>
          <w:p w14:paraId="02D289F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每月一次以上</w:t>
            </w:r>
          </w:p>
        </w:tc>
        <w:tc>
          <w:tcPr>
            <w:tcW w:w="1099" w:type="dxa"/>
            <w:shd w:val="clear" w:color="auto" w:fill="auto"/>
            <w:vAlign w:val="center"/>
          </w:tcPr>
          <w:p w14:paraId="1EF68379">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每月一次以上</w:t>
            </w:r>
          </w:p>
        </w:tc>
        <w:tc>
          <w:tcPr>
            <w:tcW w:w="809" w:type="dxa"/>
            <w:shd w:val="clear" w:color="auto" w:fill="auto"/>
            <w:vAlign w:val="center"/>
          </w:tcPr>
          <w:p w14:paraId="7CDED24D">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w:t>
            </w:r>
          </w:p>
        </w:tc>
        <w:tc>
          <w:tcPr>
            <w:tcW w:w="849" w:type="dxa"/>
            <w:vAlign w:val="center"/>
          </w:tcPr>
          <w:p w14:paraId="433CDE5C">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w:t>
            </w:r>
          </w:p>
        </w:tc>
        <w:tc>
          <w:tcPr>
            <w:tcW w:w="1383" w:type="dxa"/>
            <w:vAlign w:val="center"/>
          </w:tcPr>
          <w:p w14:paraId="273ECA89">
            <w:pPr>
              <w:spacing w:line="240" w:lineRule="auto"/>
              <w:ind w:firstLine="420"/>
              <w:jc w:val="center"/>
              <w:rPr>
                <w:rFonts w:ascii="仿宋_GB2312" w:hAnsi="宋体" w:eastAsia="仿宋_GB2312" w:cs="宋体"/>
                <w:kern w:val="0"/>
              </w:rPr>
            </w:pPr>
          </w:p>
        </w:tc>
      </w:tr>
      <w:tr w14:paraId="2E7D7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BA951B3">
            <w:pPr>
              <w:spacing w:line="240" w:lineRule="auto"/>
              <w:ind w:firstLine="420"/>
              <w:jc w:val="center"/>
              <w:rPr>
                <w:rFonts w:ascii="仿宋_GB2312" w:hAnsi="宋体" w:eastAsia="仿宋_GB2312" w:cs="宋体"/>
                <w:kern w:val="0"/>
              </w:rPr>
            </w:pPr>
          </w:p>
          <w:p w14:paraId="2EE26E3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7FC1C6A">
            <w:pPr>
              <w:spacing w:line="240" w:lineRule="auto"/>
              <w:ind w:firstLine="420"/>
              <w:jc w:val="center"/>
              <w:rPr>
                <w:rFonts w:ascii="仿宋_GB2312" w:hAnsi="宋体" w:eastAsia="仿宋_GB2312" w:cs="宋体"/>
                <w:kern w:val="0"/>
              </w:rPr>
            </w:pPr>
          </w:p>
        </w:tc>
        <w:tc>
          <w:tcPr>
            <w:tcW w:w="1218" w:type="dxa"/>
            <w:vMerge w:val="continue"/>
            <w:vAlign w:val="center"/>
          </w:tcPr>
          <w:p w14:paraId="27E32D17">
            <w:pPr>
              <w:spacing w:line="240" w:lineRule="auto"/>
              <w:jc w:val="center"/>
              <w:rPr>
                <w:rFonts w:hint="eastAsia" w:ascii="仿宋_GB2312" w:hAnsi="宋体" w:eastAsia="仿宋_GB2312" w:cs="宋体"/>
                <w:kern w:val="0"/>
              </w:rPr>
            </w:pPr>
          </w:p>
        </w:tc>
        <w:tc>
          <w:tcPr>
            <w:tcW w:w="1020" w:type="dxa"/>
            <w:vAlign w:val="center"/>
          </w:tcPr>
          <w:p w14:paraId="0E49C23A">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在建项目劳务实名制</w:t>
            </w:r>
          </w:p>
        </w:tc>
        <w:tc>
          <w:tcPr>
            <w:tcW w:w="1099" w:type="dxa"/>
            <w:vAlign w:val="center"/>
          </w:tcPr>
          <w:p w14:paraId="15689C0B">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全覆盖</w:t>
            </w:r>
          </w:p>
        </w:tc>
        <w:tc>
          <w:tcPr>
            <w:tcW w:w="1099" w:type="dxa"/>
            <w:shd w:val="clear" w:color="auto" w:fill="auto"/>
            <w:vAlign w:val="center"/>
          </w:tcPr>
          <w:p w14:paraId="1E0E3E17">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全覆盖</w:t>
            </w:r>
          </w:p>
        </w:tc>
        <w:tc>
          <w:tcPr>
            <w:tcW w:w="809" w:type="dxa"/>
            <w:shd w:val="clear" w:color="auto" w:fill="auto"/>
            <w:vAlign w:val="center"/>
          </w:tcPr>
          <w:p w14:paraId="7ED6590A">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w:t>
            </w:r>
          </w:p>
        </w:tc>
        <w:tc>
          <w:tcPr>
            <w:tcW w:w="849" w:type="dxa"/>
            <w:vAlign w:val="center"/>
          </w:tcPr>
          <w:p w14:paraId="13512D0F">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w:t>
            </w:r>
          </w:p>
        </w:tc>
        <w:tc>
          <w:tcPr>
            <w:tcW w:w="1383" w:type="dxa"/>
            <w:vAlign w:val="center"/>
          </w:tcPr>
          <w:p w14:paraId="3CF92F9B">
            <w:pPr>
              <w:spacing w:line="240" w:lineRule="auto"/>
              <w:ind w:firstLine="420"/>
              <w:jc w:val="center"/>
              <w:rPr>
                <w:rFonts w:ascii="仿宋_GB2312" w:hAnsi="宋体" w:eastAsia="仿宋_GB2312" w:cs="宋体"/>
                <w:kern w:val="0"/>
              </w:rPr>
            </w:pPr>
          </w:p>
        </w:tc>
      </w:tr>
      <w:tr w14:paraId="253E7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D02E3A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E80DA4C">
            <w:pPr>
              <w:spacing w:line="240" w:lineRule="auto"/>
              <w:ind w:firstLine="420"/>
              <w:jc w:val="center"/>
              <w:rPr>
                <w:rFonts w:ascii="仿宋_GB2312" w:hAnsi="宋体" w:eastAsia="仿宋_GB2312" w:cs="宋体"/>
                <w:kern w:val="0"/>
              </w:rPr>
            </w:pPr>
          </w:p>
        </w:tc>
        <w:tc>
          <w:tcPr>
            <w:tcW w:w="1218" w:type="dxa"/>
            <w:vMerge w:val="continue"/>
            <w:vAlign w:val="center"/>
          </w:tcPr>
          <w:p w14:paraId="564ABD7C">
            <w:pPr>
              <w:spacing w:line="240" w:lineRule="auto"/>
              <w:jc w:val="center"/>
              <w:rPr>
                <w:rFonts w:hint="eastAsia" w:ascii="仿宋_GB2312" w:hAnsi="宋体" w:eastAsia="仿宋_GB2312" w:cs="宋体"/>
                <w:kern w:val="0"/>
              </w:rPr>
            </w:pPr>
          </w:p>
        </w:tc>
        <w:tc>
          <w:tcPr>
            <w:tcW w:w="1020" w:type="dxa"/>
            <w:vAlign w:val="center"/>
          </w:tcPr>
          <w:p w14:paraId="16B0E694">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房屋质量</w:t>
            </w:r>
          </w:p>
        </w:tc>
        <w:tc>
          <w:tcPr>
            <w:tcW w:w="1099" w:type="dxa"/>
            <w:vAlign w:val="center"/>
          </w:tcPr>
          <w:p w14:paraId="77173CB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无较重大及以上质量安全事故</w:t>
            </w:r>
          </w:p>
        </w:tc>
        <w:tc>
          <w:tcPr>
            <w:tcW w:w="1099" w:type="dxa"/>
            <w:shd w:val="clear" w:color="auto" w:fill="auto"/>
            <w:vAlign w:val="center"/>
          </w:tcPr>
          <w:p w14:paraId="7A883E71">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无较重大及以上质量安全事故</w:t>
            </w:r>
          </w:p>
        </w:tc>
        <w:tc>
          <w:tcPr>
            <w:tcW w:w="809" w:type="dxa"/>
            <w:shd w:val="clear" w:color="auto" w:fill="auto"/>
            <w:vAlign w:val="center"/>
          </w:tcPr>
          <w:p w14:paraId="13DD54EA">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w:t>
            </w:r>
          </w:p>
        </w:tc>
        <w:tc>
          <w:tcPr>
            <w:tcW w:w="849" w:type="dxa"/>
            <w:vAlign w:val="center"/>
          </w:tcPr>
          <w:p w14:paraId="1846078E">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w:t>
            </w:r>
          </w:p>
        </w:tc>
        <w:tc>
          <w:tcPr>
            <w:tcW w:w="1383" w:type="dxa"/>
            <w:vAlign w:val="center"/>
          </w:tcPr>
          <w:p w14:paraId="1F7E157D">
            <w:pPr>
              <w:spacing w:line="240" w:lineRule="auto"/>
              <w:ind w:firstLine="420"/>
              <w:jc w:val="center"/>
              <w:rPr>
                <w:rFonts w:ascii="仿宋_GB2312" w:hAnsi="宋体" w:eastAsia="仿宋_GB2312" w:cs="宋体"/>
                <w:kern w:val="0"/>
              </w:rPr>
            </w:pPr>
          </w:p>
        </w:tc>
      </w:tr>
      <w:tr w14:paraId="26ABC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9A00BA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30B32E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8191E3E">
            <w:pPr>
              <w:spacing w:line="240" w:lineRule="auto"/>
              <w:ind w:firstLine="420"/>
              <w:jc w:val="center"/>
              <w:rPr>
                <w:rFonts w:ascii="仿宋_GB2312" w:hAnsi="宋体" w:eastAsia="仿宋_GB2312" w:cs="宋体"/>
                <w:kern w:val="0"/>
              </w:rPr>
            </w:pPr>
          </w:p>
        </w:tc>
        <w:tc>
          <w:tcPr>
            <w:tcW w:w="1020" w:type="dxa"/>
            <w:vAlign w:val="center"/>
          </w:tcPr>
          <w:p w14:paraId="3F141F6B">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公开招投标项目监管服务满意率</w:t>
            </w:r>
          </w:p>
        </w:tc>
        <w:tc>
          <w:tcPr>
            <w:tcW w:w="1099" w:type="dxa"/>
            <w:vAlign w:val="center"/>
          </w:tcPr>
          <w:p w14:paraId="561418DC">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95%以上</w:t>
            </w:r>
          </w:p>
        </w:tc>
        <w:tc>
          <w:tcPr>
            <w:tcW w:w="1099" w:type="dxa"/>
            <w:shd w:val="clear" w:color="auto" w:fill="auto"/>
            <w:vAlign w:val="center"/>
          </w:tcPr>
          <w:p w14:paraId="36E2671D">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809" w:type="dxa"/>
            <w:shd w:val="clear" w:color="auto" w:fill="auto"/>
            <w:vAlign w:val="center"/>
          </w:tcPr>
          <w:p w14:paraId="0D656F80">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w:t>
            </w:r>
          </w:p>
        </w:tc>
        <w:tc>
          <w:tcPr>
            <w:tcW w:w="849" w:type="dxa"/>
            <w:vAlign w:val="center"/>
          </w:tcPr>
          <w:p w14:paraId="7CF845E3">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w:t>
            </w:r>
          </w:p>
        </w:tc>
        <w:tc>
          <w:tcPr>
            <w:tcW w:w="1383" w:type="dxa"/>
            <w:vAlign w:val="center"/>
          </w:tcPr>
          <w:p w14:paraId="4F4E329E">
            <w:pPr>
              <w:spacing w:line="240" w:lineRule="auto"/>
              <w:ind w:firstLine="420"/>
              <w:jc w:val="center"/>
              <w:rPr>
                <w:rFonts w:ascii="仿宋_GB2312" w:hAnsi="宋体" w:eastAsia="仿宋_GB2312" w:cs="宋体"/>
                <w:kern w:val="0"/>
              </w:rPr>
            </w:pPr>
          </w:p>
        </w:tc>
      </w:tr>
      <w:tr w14:paraId="39039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416F8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B33FDD2">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4DE053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1A2CBAE0">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按计划时间完成</w:t>
            </w:r>
          </w:p>
        </w:tc>
        <w:tc>
          <w:tcPr>
            <w:tcW w:w="1099" w:type="dxa"/>
            <w:vAlign w:val="center"/>
          </w:tcPr>
          <w:p w14:paraId="462897A6">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2023年1-12月</w:t>
            </w:r>
          </w:p>
        </w:tc>
        <w:tc>
          <w:tcPr>
            <w:tcW w:w="1099" w:type="dxa"/>
            <w:shd w:val="clear" w:color="auto" w:fill="auto"/>
            <w:vAlign w:val="center"/>
          </w:tcPr>
          <w:p w14:paraId="310FE798">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按计划完成</w:t>
            </w:r>
          </w:p>
        </w:tc>
        <w:tc>
          <w:tcPr>
            <w:tcW w:w="809" w:type="dxa"/>
            <w:shd w:val="clear" w:color="auto" w:fill="auto"/>
            <w:vAlign w:val="center"/>
          </w:tcPr>
          <w:p w14:paraId="1EF4FCEB">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3ED3CAC6">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BA8ED5E">
            <w:pPr>
              <w:spacing w:line="240" w:lineRule="auto"/>
              <w:ind w:firstLine="420"/>
              <w:jc w:val="center"/>
              <w:rPr>
                <w:rFonts w:ascii="仿宋_GB2312" w:hAnsi="宋体" w:eastAsia="仿宋_GB2312" w:cs="宋体"/>
                <w:kern w:val="0"/>
              </w:rPr>
            </w:pPr>
          </w:p>
        </w:tc>
      </w:tr>
      <w:tr w14:paraId="38BF1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2DA4C9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7CAD1B9">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38B2D11D">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794D497A">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1EA22D4E">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提高人居生活质量</w:t>
            </w:r>
          </w:p>
        </w:tc>
        <w:tc>
          <w:tcPr>
            <w:tcW w:w="1099" w:type="dxa"/>
            <w:vAlign w:val="center"/>
          </w:tcPr>
          <w:p w14:paraId="5F7A20B0">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不形成负面影响</w:t>
            </w:r>
          </w:p>
        </w:tc>
        <w:tc>
          <w:tcPr>
            <w:tcW w:w="1099" w:type="dxa"/>
            <w:shd w:val="clear" w:color="auto" w:fill="auto"/>
            <w:vAlign w:val="center"/>
          </w:tcPr>
          <w:p w14:paraId="34EAFE4A">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不形成负面影响</w:t>
            </w:r>
          </w:p>
        </w:tc>
        <w:tc>
          <w:tcPr>
            <w:tcW w:w="809" w:type="dxa"/>
            <w:shd w:val="clear" w:color="auto" w:fill="auto"/>
            <w:vAlign w:val="center"/>
          </w:tcPr>
          <w:p w14:paraId="20D198E0">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46123953">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20FF966">
            <w:pPr>
              <w:spacing w:line="240" w:lineRule="auto"/>
              <w:ind w:firstLine="420"/>
              <w:jc w:val="center"/>
              <w:rPr>
                <w:rFonts w:ascii="仿宋_GB2312" w:hAnsi="宋体" w:eastAsia="仿宋_GB2312" w:cs="宋体"/>
                <w:kern w:val="0"/>
              </w:rPr>
            </w:pPr>
          </w:p>
        </w:tc>
      </w:tr>
      <w:tr w14:paraId="3D443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7B9A41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95D2C8A">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028082D">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16379369">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群众对质量安全的认识</w:t>
            </w:r>
          </w:p>
        </w:tc>
        <w:tc>
          <w:tcPr>
            <w:tcW w:w="1099" w:type="dxa"/>
            <w:vAlign w:val="center"/>
          </w:tcPr>
          <w:p w14:paraId="668DD024">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让质量安全更深入人心</w:t>
            </w:r>
          </w:p>
        </w:tc>
        <w:tc>
          <w:tcPr>
            <w:tcW w:w="1099" w:type="dxa"/>
            <w:shd w:val="clear" w:color="auto" w:fill="auto"/>
            <w:vAlign w:val="center"/>
          </w:tcPr>
          <w:p w14:paraId="30B970DF">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让质量安全更深入人心</w:t>
            </w:r>
          </w:p>
        </w:tc>
        <w:tc>
          <w:tcPr>
            <w:tcW w:w="809" w:type="dxa"/>
            <w:shd w:val="clear" w:color="auto" w:fill="auto"/>
            <w:vAlign w:val="center"/>
          </w:tcPr>
          <w:p w14:paraId="2D9CD643">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14:paraId="5EEE0705">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4564C782">
            <w:pPr>
              <w:spacing w:line="240" w:lineRule="auto"/>
              <w:ind w:firstLine="420"/>
              <w:jc w:val="center"/>
              <w:rPr>
                <w:rFonts w:ascii="仿宋_GB2312" w:hAnsi="宋体" w:eastAsia="仿宋_GB2312" w:cs="宋体"/>
                <w:kern w:val="0"/>
              </w:rPr>
            </w:pPr>
          </w:p>
        </w:tc>
      </w:tr>
      <w:tr w14:paraId="11322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931061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443D16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1655EDA">
            <w:pPr>
              <w:spacing w:line="240" w:lineRule="auto"/>
              <w:ind w:firstLine="420"/>
              <w:jc w:val="center"/>
              <w:rPr>
                <w:rFonts w:ascii="仿宋_GB2312" w:hAnsi="宋体" w:eastAsia="仿宋_GB2312" w:cs="宋体"/>
                <w:kern w:val="0"/>
              </w:rPr>
            </w:pPr>
          </w:p>
        </w:tc>
        <w:tc>
          <w:tcPr>
            <w:tcW w:w="1020" w:type="dxa"/>
            <w:vAlign w:val="center"/>
          </w:tcPr>
          <w:p w14:paraId="1E24A5D9">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工程质量安全形式</w:t>
            </w:r>
          </w:p>
        </w:tc>
        <w:tc>
          <w:tcPr>
            <w:tcW w:w="1099" w:type="dxa"/>
            <w:vAlign w:val="center"/>
          </w:tcPr>
          <w:p w14:paraId="59B68D23">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整体平稳</w:t>
            </w:r>
          </w:p>
        </w:tc>
        <w:tc>
          <w:tcPr>
            <w:tcW w:w="1099" w:type="dxa"/>
            <w:shd w:val="clear" w:color="auto" w:fill="auto"/>
            <w:vAlign w:val="center"/>
          </w:tcPr>
          <w:p w14:paraId="7BE16B3B">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整体平稳</w:t>
            </w:r>
          </w:p>
        </w:tc>
        <w:tc>
          <w:tcPr>
            <w:tcW w:w="809" w:type="dxa"/>
            <w:shd w:val="clear" w:color="auto" w:fill="auto"/>
            <w:vAlign w:val="center"/>
          </w:tcPr>
          <w:p w14:paraId="58E258D1">
            <w:pPr>
              <w:spacing w:line="240" w:lineRule="auto"/>
              <w:ind w:firstLine="420" w:firstLineChars="0"/>
              <w:jc w:val="both"/>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14:paraId="292B4B72">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6F48AF7A">
            <w:pPr>
              <w:spacing w:line="240" w:lineRule="auto"/>
              <w:ind w:firstLine="420"/>
              <w:jc w:val="center"/>
              <w:rPr>
                <w:rFonts w:ascii="仿宋_GB2312" w:hAnsi="宋体" w:eastAsia="仿宋_GB2312" w:cs="宋体"/>
                <w:kern w:val="0"/>
              </w:rPr>
            </w:pPr>
          </w:p>
        </w:tc>
      </w:tr>
      <w:tr w14:paraId="76E8B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6F75FE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051CBA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A37476B">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662A2AEB">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严格控制建筑施工扬尘，促进建10筑产业10绿色发展5</w:t>
            </w:r>
          </w:p>
        </w:tc>
        <w:tc>
          <w:tcPr>
            <w:tcW w:w="1099" w:type="dxa"/>
            <w:vAlign w:val="center"/>
          </w:tcPr>
          <w:p w14:paraId="396E2624">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工程项目质量绿色安全可靠</w:t>
            </w:r>
          </w:p>
        </w:tc>
        <w:tc>
          <w:tcPr>
            <w:tcW w:w="1099" w:type="dxa"/>
            <w:shd w:val="clear" w:color="auto" w:fill="auto"/>
            <w:vAlign w:val="center"/>
          </w:tcPr>
          <w:p w14:paraId="0EDAA64C">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工程项目质量绿色安全可靠</w:t>
            </w:r>
          </w:p>
        </w:tc>
        <w:tc>
          <w:tcPr>
            <w:tcW w:w="809" w:type="dxa"/>
            <w:shd w:val="clear" w:color="auto" w:fill="auto"/>
            <w:vAlign w:val="center"/>
          </w:tcPr>
          <w:p w14:paraId="65670079">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6CCFD011">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9359817">
            <w:pPr>
              <w:spacing w:line="240" w:lineRule="auto"/>
              <w:ind w:firstLine="420"/>
              <w:jc w:val="center"/>
              <w:rPr>
                <w:rFonts w:ascii="仿宋_GB2312" w:hAnsi="宋体" w:eastAsia="仿宋_GB2312" w:cs="宋体"/>
                <w:kern w:val="0"/>
              </w:rPr>
            </w:pPr>
          </w:p>
        </w:tc>
      </w:tr>
      <w:tr w14:paraId="78668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0E4A405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009A124">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17C6A55">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073271DA">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建筑市5场平稳10有序发展</w:t>
            </w:r>
          </w:p>
        </w:tc>
        <w:tc>
          <w:tcPr>
            <w:tcW w:w="1099" w:type="dxa"/>
            <w:vAlign w:val="center"/>
          </w:tcPr>
          <w:p w14:paraId="0033C428">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95%以上</w:t>
            </w:r>
          </w:p>
        </w:tc>
        <w:tc>
          <w:tcPr>
            <w:tcW w:w="1099" w:type="dxa"/>
            <w:vAlign w:val="center"/>
          </w:tcPr>
          <w:p w14:paraId="5CD00A21">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95%以上</w:t>
            </w:r>
          </w:p>
        </w:tc>
        <w:tc>
          <w:tcPr>
            <w:tcW w:w="809" w:type="dxa"/>
            <w:shd w:val="clear" w:color="auto" w:fill="auto"/>
            <w:vAlign w:val="center"/>
          </w:tcPr>
          <w:p w14:paraId="1C47D189">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149FD3DF">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34227A3">
            <w:pPr>
              <w:spacing w:line="240" w:lineRule="auto"/>
              <w:ind w:firstLine="420"/>
              <w:jc w:val="center"/>
              <w:rPr>
                <w:rFonts w:ascii="仿宋_GB2312" w:hAnsi="宋体" w:eastAsia="仿宋_GB2312" w:cs="宋体"/>
                <w:kern w:val="0"/>
              </w:rPr>
            </w:pPr>
          </w:p>
        </w:tc>
      </w:tr>
      <w:tr w14:paraId="36E23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580C5E">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14D715CC">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3414553">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5457BB94">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施工企业、业主、群众满意度非常高</w:t>
            </w:r>
          </w:p>
        </w:tc>
        <w:tc>
          <w:tcPr>
            <w:tcW w:w="1099" w:type="dxa"/>
            <w:vAlign w:val="center"/>
          </w:tcPr>
          <w:p w14:paraId="7E0952A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099" w:type="dxa"/>
            <w:vAlign w:val="center"/>
          </w:tcPr>
          <w:p w14:paraId="6D2DE3ED">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98%</w:t>
            </w:r>
          </w:p>
        </w:tc>
        <w:tc>
          <w:tcPr>
            <w:tcW w:w="809" w:type="dxa"/>
            <w:shd w:val="clear" w:color="auto" w:fill="auto"/>
            <w:vAlign w:val="center"/>
          </w:tcPr>
          <w:p w14:paraId="28BABFAB">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40E35029">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E81C0F0">
            <w:pPr>
              <w:spacing w:line="240" w:lineRule="auto"/>
              <w:ind w:firstLine="420"/>
              <w:jc w:val="center"/>
              <w:rPr>
                <w:rFonts w:ascii="仿宋_GB2312" w:hAnsi="宋体" w:eastAsia="仿宋_GB2312" w:cs="宋体"/>
                <w:kern w:val="0"/>
              </w:rPr>
            </w:pPr>
          </w:p>
        </w:tc>
      </w:tr>
      <w:tr w14:paraId="691D9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FDD7F98">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365CB55F">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343A2072">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6D0E136D">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01A69997">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控制在财政预算内</w:t>
            </w:r>
          </w:p>
        </w:tc>
        <w:tc>
          <w:tcPr>
            <w:tcW w:w="1099" w:type="dxa"/>
            <w:vAlign w:val="center"/>
          </w:tcPr>
          <w:p w14:paraId="0B43356D">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控制在财政预算内</w:t>
            </w:r>
          </w:p>
        </w:tc>
        <w:tc>
          <w:tcPr>
            <w:tcW w:w="1099" w:type="dxa"/>
            <w:vAlign w:val="center"/>
          </w:tcPr>
          <w:p w14:paraId="288DA40E">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控制在财政预算内</w:t>
            </w:r>
          </w:p>
        </w:tc>
        <w:tc>
          <w:tcPr>
            <w:tcW w:w="809" w:type="dxa"/>
            <w:shd w:val="clear" w:color="auto" w:fill="auto"/>
            <w:vAlign w:val="center"/>
          </w:tcPr>
          <w:p w14:paraId="6B9F466E">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14:paraId="4994F6C9">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52F88BE">
            <w:pPr>
              <w:spacing w:line="240" w:lineRule="auto"/>
              <w:ind w:firstLine="420"/>
              <w:jc w:val="center"/>
              <w:rPr>
                <w:rFonts w:ascii="仿宋_GB2312" w:hAnsi="宋体" w:eastAsia="仿宋_GB2312" w:cs="宋体"/>
                <w:kern w:val="0"/>
              </w:rPr>
            </w:pPr>
          </w:p>
        </w:tc>
      </w:tr>
      <w:tr w14:paraId="4DEE7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7A3D586">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0B7BD6E">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399227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171A19B4">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不适用</w:t>
            </w:r>
          </w:p>
        </w:tc>
        <w:tc>
          <w:tcPr>
            <w:tcW w:w="1099" w:type="dxa"/>
            <w:vAlign w:val="center"/>
          </w:tcPr>
          <w:p w14:paraId="24F78E98">
            <w:pPr>
              <w:spacing w:line="240" w:lineRule="auto"/>
              <w:jc w:val="both"/>
              <w:rPr>
                <w:rFonts w:ascii="仿宋_GB2312" w:hAnsi="宋体" w:eastAsia="仿宋_GB2312" w:cs="宋体"/>
                <w:kern w:val="0"/>
              </w:rPr>
            </w:pPr>
          </w:p>
        </w:tc>
        <w:tc>
          <w:tcPr>
            <w:tcW w:w="1099" w:type="dxa"/>
            <w:vAlign w:val="center"/>
          </w:tcPr>
          <w:p w14:paraId="11E80EE1">
            <w:pPr>
              <w:spacing w:line="240" w:lineRule="auto"/>
              <w:jc w:val="both"/>
              <w:rPr>
                <w:rFonts w:ascii="仿宋_GB2312" w:hAnsi="宋体" w:eastAsia="仿宋_GB2312" w:cs="宋体"/>
                <w:kern w:val="0"/>
              </w:rPr>
            </w:pPr>
          </w:p>
        </w:tc>
        <w:tc>
          <w:tcPr>
            <w:tcW w:w="809" w:type="dxa"/>
            <w:vAlign w:val="center"/>
          </w:tcPr>
          <w:p w14:paraId="491EDD0B">
            <w:pPr>
              <w:spacing w:line="240" w:lineRule="auto"/>
              <w:ind w:firstLine="420"/>
              <w:jc w:val="center"/>
              <w:rPr>
                <w:rFonts w:ascii="仿宋_GB2312" w:hAnsi="宋体" w:eastAsia="仿宋_GB2312" w:cs="宋体"/>
                <w:kern w:val="0"/>
              </w:rPr>
            </w:pPr>
          </w:p>
        </w:tc>
        <w:tc>
          <w:tcPr>
            <w:tcW w:w="849" w:type="dxa"/>
            <w:vAlign w:val="center"/>
          </w:tcPr>
          <w:p w14:paraId="6B1E546E">
            <w:pPr>
              <w:spacing w:line="240" w:lineRule="auto"/>
              <w:ind w:firstLine="420"/>
              <w:jc w:val="center"/>
              <w:rPr>
                <w:rFonts w:ascii="仿宋_GB2312" w:hAnsi="宋体" w:eastAsia="仿宋_GB2312" w:cs="宋体"/>
                <w:kern w:val="0"/>
              </w:rPr>
            </w:pPr>
          </w:p>
        </w:tc>
        <w:tc>
          <w:tcPr>
            <w:tcW w:w="1383" w:type="dxa"/>
            <w:vAlign w:val="center"/>
          </w:tcPr>
          <w:p w14:paraId="1CC66192">
            <w:pPr>
              <w:spacing w:line="240" w:lineRule="auto"/>
              <w:ind w:firstLine="420"/>
              <w:jc w:val="center"/>
              <w:rPr>
                <w:rFonts w:ascii="仿宋_GB2312" w:hAnsi="宋体" w:eastAsia="仿宋_GB2312" w:cs="宋体"/>
                <w:kern w:val="0"/>
              </w:rPr>
            </w:pPr>
          </w:p>
        </w:tc>
      </w:tr>
      <w:tr w14:paraId="43E73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6089FF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AE850D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CC21ED0">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1346AA82">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不适用</w:t>
            </w:r>
          </w:p>
        </w:tc>
        <w:tc>
          <w:tcPr>
            <w:tcW w:w="1099" w:type="dxa"/>
            <w:vAlign w:val="center"/>
          </w:tcPr>
          <w:p w14:paraId="69A6FE25">
            <w:pPr>
              <w:spacing w:line="240" w:lineRule="auto"/>
              <w:jc w:val="both"/>
              <w:rPr>
                <w:rFonts w:ascii="仿宋_GB2312" w:hAnsi="宋体" w:eastAsia="仿宋_GB2312" w:cs="宋体"/>
                <w:kern w:val="0"/>
              </w:rPr>
            </w:pPr>
          </w:p>
        </w:tc>
        <w:tc>
          <w:tcPr>
            <w:tcW w:w="1099" w:type="dxa"/>
            <w:vAlign w:val="center"/>
          </w:tcPr>
          <w:p w14:paraId="6C767C05">
            <w:pPr>
              <w:spacing w:line="240" w:lineRule="auto"/>
              <w:jc w:val="both"/>
              <w:rPr>
                <w:rFonts w:ascii="仿宋_GB2312" w:hAnsi="宋体" w:eastAsia="仿宋_GB2312" w:cs="宋体"/>
                <w:kern w:val="0"/>
              </w:rPr>
            </w:pPr>
          </w:p>
        </w:tc>
        <w:tc>
          <w:tcPr>
            <w:tcW w:w="809" w:type="dxa"/>
            <w:vAlign w:val="center"/>
          </w:tcPr>
          <w:p w14:paraId="353D1C9D">
            <w:pPr>
              <w:spacing w:line="240" w:lineRule="auto"/>
              <w:ind w:firstLine="420"/>
              <w:jc w:val="center"/>
              <w:rPr>
                <w:rFonts w:ascii="仿宋_GB2312" w:hAnsi="宋体" w:eastAsia="仿宋_GB2312" w:cs="宋体"/>
                <w:kern w:val="0"/>
              </w:rPr>
            </w:pPr>
          </w:p>
        </w:tc>
        <w:tc>
          <w:tcPr>
            <w:tcW w:w="849" w:type="dxa"/>
            <w:vAlign w:val="center"/>
          </w:tcPr>
          <w:p w14:paraId="4FDC32D4">
            <w:pPr>
              <w:spacing w:line="240" w:lineRule="auto"/>
              <w:ind w:firstLine="420"/>
              <w:jc w:val="center"/>
              <w:rPr>
                <w:rFonts w:ascii="仿宋_GB2312" w:hAnsi="宋体" w:eastAsia="仿宋_GB2312" w:cs="宋体"/>
                <w:kern w:val="0"/>
              </w:rPr>
            </w:pPr>
          </w:p>
        </w:tc>
        <w:tc>
          <w:tcPr>
            <w:tcW w:w="1383" w:type="dxa"/>
            <w:vAlign w:val="center"/>
          </w:tcPr>
          <w:p w14:paraId="10F33373">
            <w:pPr>
              <w:spacing w:line="240" w:lineRule="auto"/>
              <w:ind w:firstLine="420"/>
              <w:jc w:val="center"/>
              <w:rPr>
                <w:rFonts w:ascii="仿宋_GB2312" w:hAnsi="宋体" w:eastAsia="仿宋_GB2312" w:cs="宋体"/>
                <w:kern w:val="0"/>
              </w:rPr>
            </w:pPr>
          </w:p>
        </w:tc>
      </w:tr>
      <w:tr w14:paraId="57CFF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0846BE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41675106">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7BF58353">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99.5</w:t>
            </w:r>
          </w:p>
        </w:tc>
        <w:tc>
          <w:tcPr>
            <w:tcW w:w="1383" w:type="dxa"/>
            <w:vAlign w:val="center"/>
          </w:tcPr>
          <w:p w14:paraId="1086A782">
            <w:pPr>
              <w:spacing w:line="240" w:lineRule="auto"/>
              <w:ind w:firstLine="420"/>
              <w:jc w:val="center"/>
              <w:rPr>
                <w:rFonts w:ascii="仿宋_GB2312" w:hAnsi="宋体" w:eastAsia="仿宋_GB2312" w:cs="宋体"/>
                <w:kern w:val="0"/>
              </w:rPr>
            </w:pPr>
          </w:p>
        </w:tc>
      </w:tr>
    </w:tbl>
    <w:p w14:paraId="695E1A42">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01886D6E">
      <w:pPr>
        <w:spacing w:line="240" w:lineRule="auto"/>
        <w:ind w:firstLine="420"/>
        <w:jc w:val="left"/>
        <w:rPr>
          <w:rFonts w:ascii="宋体" w:hAnsi="宋体" w:eastAsia="宋体" w:cs="宋体"/>
          <w:kern w:val="0"/>
          <w:lang w:eastAsia="zh-CN"/>
        </w:rPr>
      </w:pPr>
    </w:p>
    <w:p w14:paraId="2CC81435">
      <w:pPr>
        <w:rPr>
          <w:rFonts w:ascii="仿宋_GB2312" w:hAnsi="宋体" w:eastAsia="仿宋_GB2312" w:cs="宋体"/>
          <w:lang w:eastAsia="zh-CN"/>
        </w:rPr>
        <w:sectPr>
          <w:footerReference r:id="rId6"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68C70125">
      <w:pPr>
        <w:spacing w:line="240" w:lineRule="auto"/>
        <w:jc w:val="both"/>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3ED595C9">
      <w:pPr>
        <w:spacing w:line="240" w:lineRule="auto"/>
        <w:ind w:firstLine="880"/>
        <w:jc w:val="center"/>
        <w:rPr>
          <w:rFonts w:hint="eastAsia" w:ascii="方正小标宋简体" w:eastAsia="方正小标宋简体"/>
          <w:kern w:val="0"/>
          <w:sz w:val="44"/>
          <w:szCs w:val="44"/>
          <w:lang w:val="en-US"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汨罗市建筑工程服务中心</w:t>
      </w: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汨罗市建筑工程服务中心(盖章)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5"/>
            <w:ind w:firstLine="360"/>
            <w:jc w:val="left"/>
            <w:rPr>
              <w:rFonts w:asciiTheme="minorEastAsia" w:hAnsiTheme="minorEastAsia" w:eastAsiaTheme="minorEastAsia"/>
              <w:kern w:val="0"/>
              <w:lang w:eastAsia="zh-CN"/>
            </w:rPr>
          </w:pPr>
        </w:p>
      </w:sdtContent>
    </w:sdt>
    <w:p w14:paraId="4DD467BD">
      <w:pPr>
        <w:spacing w:before="130" w:line="221" w:lineRule="auto"/>
        <w:jc w:val="center"/>
        <w:rPr>
          <w:rFonts w:hint="eastAsia" w:ascii="黑体" w:hAnsi="黑体" w:eastAsia="黑体" w:cs="黑体"/>
          <w:spacing w:val="16"/>
          <w:sz w:val="40"/>
          <w:szCs w:val="40"/>
          <w:lang w:val="en-US" w:eastAsia="zh-CN"/>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黑体" w:hAnsi="黑体" w:eastAsia="黑体" w:cs="黑体"/>
          <w:spacing w:val="16"/>
          <w:sz w:val="40"/>
          <w:szCs w:val="40"/>
          <w:lang w:val="en-US" w:eastAsia="zh-CN"/>
        </w:rPr>
        <w:t>汨罗市建筑工程服务中心</w:t>
      </w:r>
    </w:p>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6AA4B617">
      <w:pPr>
        <w:numPr>
          <w:ilvl w:val="0"/>
          <w:numId w:val="0"/>
        </w:numPr>
        <w:spacing w:line="240" w:lineRule="auto"/>
        <w:ind w:firstLine="588" w:firstLineChars="200"/>
        <w:rPr>
          <w:rFonts w:hint="eastAsia" w:ascii="仿宋" w:hAnsi="仿宋" w:eastAsia="仿宋" w:cs="仿宋"/>
          <w:snapToGrid w:val="0"/>
          <w:color w:val="000000"/>
          <w:spacing w:val="-13"/>
          <w:kern w:val="0"/>
          <w:sz w:val="32"/>
          <w:szCs w:val="32"/>
          <w:lang w:val="en-US" w:eastAsia="zh-CN" w:bidi="ar-SA"/>
        </w:rPr>
      </w:pPr>
      <w:r>
        <w:rPr>
          <w:rFonts w:hint="eastAsia" w:ascii="仿宋" w:hAnsi="仿宋" w:eastAsia="仿宋" w:cs="仿宋"/>
          <w:snapToGrid w:val="0"/>
          <w:color w:val="000000"/>
          <w:spacing w:val="-13"/>
          <w:kern w:val="0"/>
          <w:sz w:val="32"/>
          <w:szCs w:val="32"/>
          <w:lang w:val="en-US" w:eastAsia="zh-CN" w:bidi="ar-SA"/>
        </w:rPr>
        <w:t>1、职能职责：</w:t>
      </w:r>
    </w:p>
    <w:p w14:paraId="48662AEE">
      <w:pPr>
        <w:numPr>
          <w:ilvl w:val="0"/>
          <w:numId w:val="0"/>
        </w:numPr>
        <w:spacing w:line="240" w:lineRule="auto"/>
        <w:ind w:firstLine="588" w:firstLineChars="200"/>
        <w:rPr>
          <w:rFonts w:hint="eastAsia" w:ascii="仿宋" w:hAnsi="仿宋" w:eastAsia="仿宋" w:cs="仿宋"/>
          <w:snapToGrid w:val="0"/>
          <w:color w:val="000000"/>
          <w:spacing w:val="-13"/>
          <w:kern w:val="0"/>
          <w:sz w:val="32"/>
          <w:szCs w:val="32"/>
          <w:lang w:val="en-US" w:eastAsia="en-US" w:bidi="ar-SA"/>
        </w:rPr>
      </w:pPr>
      <w:r>
        <w:rPr>
          <w:rFonts w:hint="eastAsia" w:ascii="仿宋" w:hAnsi="仿宋" w:eastAsia="仿宋" w:cs="仿宋"/>
          <w:snapToGrid w:val="0"/>
          <w:color w:val="000000"/>
          <w:spacing w:val="-13"/>
          <w:kern w:val="0"/>
          <w:sz w:val="32"/>
          <w:szCs w:val="32"/>
          <w:lang w:val="en-US" w:eastAsia="zh-CN" w:bidi="ar-SA"/>
        </w:rPr>
        <w:t>（1）</w:t>
      </w:r>
      <w:r>
        <w:rPr>
          <w:rFonts w:hint="eastAsia" w:ascii="仿宋" w:hAnsi="仿宋" w:eastAsia="仿宋" w:cs="仿宋"/>
          <w:snapToGrid w:val="0"/>
          <w:color w:val="000000"/>
          <w:spacing w:val="-13"/>
          <w:kern w:val="0"/>
          <w:sz w:val="32"/>
          <w:szCs w:val="32"/>
          <w:lang w:val="en-US" w:eastAsia="en-US" w:bidi="ar-SA"/>
        </w:rPr>
        <w:t>贯彻执行国家、省、市关于建筑行业管理法律、法规和方针、政策；</w:t>
      </w:r>
    </w:p>
    <w:p w14:paraId="1363CA1B">
      <w:pPr>
        <w:numPr>
          <w:ilvl w:val="0"/>
          <w:numId w:val="0"/>
        </w:numPr>
        <w:spacing w:line="240" w:lineRule="auto"/>
        <w:ind w:firstLine="588" w:firstLineChars="200"/>
        <w:rPr>
          <w:rFonts w:hint="eastAsia" w:ascii="仿宋" w:hAnsi="仿宋" w:eastAsia="仿宋" w:cs="仿宋"/>
          <w:snapToGrid w:val="0"/>
          <w:color w:val="000000"/>
          <w:spacing w:val="-13"/>
          <w:kern w:val="0"/>
          <w:sz w:val="32"/>
          <w:szCs w:val="32"/>
          <w:lang w:val="en-US" w:eastAsia="en-US" w:bidi="ar-SA"/>
        </w:rPr>
      </w:pPr>
      <w:r>
        <w:rPr>
          <w:rFonts w:hint="eastAsia" w:ascii="仿宋" w:hAnsi="仿宋" w:eastAsia="仿宋" w:cs="仿宋"/>
          <w:snapToGrid w:val="0"/>
          <w:color w:val="000000"/>
          <w:spacing w:val="-13"/>
          <w:kern w:val="0"/>
          <w:sz w:val="32"/>
          <w:szCs w:val="32"/>
          <w:lang w:val="en-US" w:eastAsia="zh-CN" w:bidi="ar-SA"/>
        </w:rPr>
        <w:t>（2）</w:t>
      </w:r>
      <w:r>
        <w:rPr>
          <w:rFonts w:hint="eastAsia" w:ascii="仿宋" w:hAnsi="仿宋" w:eastAsia="仿宋" w:cs="仿宋"/>
          <w:snapToGrid w:val="0"/>
          <w:color w:val="000000"/>
          <w:spacing w:val="-13"/>
          <w:kern w:val="0"/>
          <w:sz w:val="32"/>
          <w:szCs w:val="32"/>
          <w:lang w:val="en-US" w:eastAsia="en-US" w:bidi="ar-SA"/>
        </w:rPr>
        <w:t>接受汨罗市住房和城乡建设局委托具体实施建设工程招标的监督与管理；</w:t>
      </w:r>
    </w:p>
    <w:p w14:paraId="65A5630F">
      <w:pPr>
        <w:numPr>
          <w:ilvl w:val="0"/>
          <w:numId w:val="0"/>
        </w:numPr>
        <w:spacing w:line="240" w:lineRule="auto"/>
        <w:ind w:firstLine="588" w:firstLineChars="200"/>
        <w:rPr>
          <w:rFonts w:hint="eastAsia" w:ascii="仿宋" w:hAnsi="仿宋" w:eastAsia="仿宋" w:cs="仿宋"/>
          <w:snapToGrid w:val="0"/>
          <w:color w:val="000000"/>
          <w:spacing w:val="-13"/>
          <w:kern w:val="0"/>
          <w:sz w:val="32"/>
          <w:szCs w:val="32"/>
          <w:lang w:val="en-US" w:eastAsia="en-US" w:bidi="ar-SA"/>
        </w:rPr>
      </w:pPr>
      <w:r>
        <w:rPr>
          <w:rFonts w:hint="eastAsia" w:ascii="仿宋" w:hAnsi="仿宋" w:eastAsia="仿宋" w:cs="仿宋"/>
          <w:snapToGrid w:val="0"/>
          <w:color w:val="000000"/>
          <w:spacing w:val="-13"/>
          <w:kern w:val="0"/>
          <w:sz w:val="32"/>
          <w:szCs w:val="32"/>
          <w:lang w:val="en-US" w:eastAsia="zh-CN" w:bidi="ar-SA"/>
        </w:rPr>
        <w:t>（3）</w:t>
      </w:r>
      <w:r>
        <w:rPr>
          <w:rFonts w:hint="eastAsia" w:ascii="仿宋" w:hAnsi="仿宋" w:eastAsia="仿宋" w:cs="仿宋"/>
          <w:snapToGrid w:val="0"/>
          <w:color w:val="000000"/>
          <w:spacing w:val="-13"/>
          <w:kern w:val="0"/>
          <w:sz w:val="32"/>
          <w:szCs w:val="32"/>
          <w:lang w:val="en-US" w:eastAsia="en-US" w:bidi="ar-SA"/>
        </w:rPr>
        <w:t xml:space="preserve">负责建筑业企业企业资质管理、建筑业统计和各类专业技术人员的培训，接受汨罗市住房和城乡建设局委托具体实施对全市建筑业企业的监督与指导； </w:t>
      </w:r>
    </w:p>
    <w:p w14:paraId="41664332">
      <w:pPr>
        <w:numPr>
          <w:ilvl w:val="0"/>
          <w:numId w:val="0"/>
        </w:numPr>
        <w:spacing w:line="240" w:lineRule="auto"/>
        <w:ind w:firstLine="588" w:firstLineChars="200"/>
        <w:rPr>
          <w:rFonts w:hint="eastAsia" w:ascii="仿宋" w:hAnsi="仿宋" w:eastAsia="仿宋" w:cs="仿宋"/>
          <w:snapToGrid w:val="0"/>
          <w:color w:val="000000"/>
          <w:spacing w:val="-13"/>
          <w:kern w:val="0"/>
          <w:sz w:val="32"/>
          <w:szCs w:val="32"/>
          <w:lang w:val="en-US" w:eastAsia="en-US" w:bidi="ar-SA"/>
        </w:rPr>
      </w:pPr>
      <w:r>
        <w:rPr>
          <w:rFonts w:hint="eastAsia" w:ascii="仿宋" w:hAnsi="仿宋" w:eastAsia="仿宋" w:cs="仿宋"/>
          <w:snapToGrid w:val="0"/>
          <w:color w:val="000000"/>
          <w:spacing w:val="-13"/>
          <w:kern w:val="0"/>
          <w:sz w:val="32"/>
          <w:szCs w:val="32"/>
          <w:lang w:val="en-US" w:eastAsia="zh-CN" w:bidi="ar-SA"/>
        </w:rPr>
        <w:t>（4）</w:t>
      </w:r>
      <w:r>
        <w:rPr>
          <w:rFonts w:hint="eastAsia" w:ascii="仿宋" w:hAnsi="仿宋" w:eastAsia="仿宋" w:cs="仿宋"/>
          <w:snapToGrid w:val="0"/>
          <w:color w:val="000000"/>
          <w:spacing w:val="-13"/>
          <w:kern w:val="0"/>
          <w:sz w:val="32"/>
          <w:szCs w:val="32"/>
          <w:lang w:val="en-US" w:eastAsia="en-US" w:bidi="ar-SA"/>
        </w:rPr>
        <w:t>接受汨罗市住房和城乡建设局委托具体实施建设工程质量与安全生产监督管理、工程竣工验收备案管理和检测市场管理；</w:t>
      </w:r>
    </w:p>
    <w:p w14:paraId="125D4EBA">
      <w:pPr>
        <w:numPr>
          <w:ilvl w:val="0"/>
          <w:numId w:val="0"/>
        </w:numPr>
        <w:spacing w:line="240" w:lineRule="auto"/>
        <w:ind w:firstLine="588" w:firstLineChars="200"/>
        <w:rPr>
          <w:rFonts w:hint="eastAsia" w:ascii="仿宋" w:hAnsi="仿宋" w:eastAsia="仿宋" w:cs="仿宋"/>
          <w:snapToGrid w:val="0"/>
          <w:color w:val="000000"/>
          <w:spacing w:val="-13"/>
          <w:kern w:val="0"/>
          <w:sz w:val="32"/>
          <w:szCs w:val="32"/>
          <w:lang w:val="en-US" w:eastAsia="en-US" w:bidi="ar-SA"/>
        </w:rPr>
      </w:pPr>
      <w:r>
        <w:rPr>
          <w:rFonts w:hint="eastAsia" w:ascii="仿宋" w:hAnsi="仿宋" w:eastAsia="仿宋" w:cs="仿宋"/>
          <w:snapToGrid w:val="0"/>
          <w:color w:val="000000"/>
          <w:spacing w:val="-13"/>
          <w:kern w:val="0"/>
          <w:sz w:val="32"/>
          <w:szCs w:val="32"/>
          <w:lang w:val="en-US" w:eastAsia="zh-CN" w:bidi="ar-SA"/>
        </w:rPr>
        <w:t>（5）</w:t>
      </w:r>
      <w:r>
        <w:rPr>
          <w:rFonts w:hint="eastAsia" w:ascii="仿宋" w:hAnsi="仿宋" w:eastAsia="仿宋" w:cs="仿宋"/>
          <w:snapToGrid w:val="0"/>
          <w:color w:val="000000"/>
          <w:spacing w:val="-13"/>
          <w:kern w:val="0"/>
          <w:sz w:val="32"/>
          <w:szCs w:val="32"/>
          <w:lang w:val="en-US" w:eastAsia="en-US" w:bidi="ar-SA"/>
        </w:rPr>
        <w:t>负责建设工程定额、工程造价和工程造价咨询市场管理的日常管理工作；收集、存储和根据授权发布各类工程、企业状况和主要建筑材料市场价格信息；</w:t>
      </w:r>
    </w:p>
    <w:p w14:paraId="4A43F568">
      <w:pPr>
        <w:numPr>
          <w:ilvl w:val="0"/>
          <w:numId w:val="0"/>
        </w:numPr>
        <w:spacing w:line="240" w:lineRule="auto"/>
        <w:ind w:firstLine="588" w:firstLineChars="200"/>
        <w:rPr>
          <w:rFonts w:hint="eastAsia" w:ascii="仿宋" w:hAnsi="仿宋" w:eastAsia="仿宋" w:cs="仿宋"/>
          <w:snapToGrid w:val="0"/>
          <w:color w:val="000000"/>
          <w:spacing w:val="-13"/>
          <w:kern w:val="0"/>
          <w:sz w:val="32"/>
          <w:szCs w:val="32"/>
          <w:lang w:val="en-US" w:eastAsia="en-US" w:bidi="ar-SA"/>
        </w:rPr>
      </w:pPr>
      <w:r>
        <w:rPr>
          <w:rFonts w:hint="eastAsia" w:ascii="仿宋" w:hAnsi="仿宋" w:eastAsia="仿宋" w:cs="仿宋"/>
          <w:snapToGrid w:val="0"/>
          <w:color w:val="000000"/>
          <w:spacing w:val="-13"/>
          <w:kern w:val="0"/>
          <w:sz w:val="32"/>
          <w:szCs w:val="32"/>
          <w:lang w:val="en-US" w:eastAsia="zh-CN" w:bidi="ar-SA"/>
        </w:rPr>
        <w:t>（6）</w:t>
      </w:r>
      <w:r>
        <w:rPr>
          <w:rFonts w:hint="eastAsia" w:ascii="仿宋" w:hAnsi="仿宋" w:eastAsia="仿宋" w:cs="仿宋"/>
          <w:snapToGrid w:val="0"/>
          <w:color w:val="000000"/>
          <w:spacing w:val="-13"/>
          <w:kern w:val="0"/>
          <w:sz w:val="32"/>
          <w:szCs w:val="32"/>
          <w:lang w:val="en-US" w:eastAsia="en-US" w:bidi="ar-SA"/>
        </w:rPr>
        <w:t>接受汨罗市住房和城乡建设局的委托具体实施建筑工程、非住宅室内装饰装修、建筑物外墙装饰装修活动和工程施工安全的监督管理；</w:t>
      </w:r>
    </w:p>
    <w:p w14:paraId="5C3CD164">
      <w:pPr>
        <w:numPr>
          <w:ilvl w:val="0"/>
          <w:numId w:val="0"/>
        </w:numPr>
        <w:spacing w:line="240" w:lineRule="auto"/>
        <w:ind w:firstLine="588" w:firstLineChars="200"/>
        <w:rPr>
          <w:rFonts w:hint="eastAsia" w:ascii="仿宋" w:hAnsi="仿宋" w:eastAsia="仿宋" w:cs="仿宋"/>
          <w:snapToGrid w:val="0"/>
          <w:color w:val="000000"/>
          <w:spacing w:val="-13"/>
          <w:kern w:val="0"/>
          <w:sz w:val="32"/>
          <w:szCs w:val="32"/>
          <w:lang w:val="en-US" w:eastAsia="en-US" w:bidi="ar-SA"/>
        </w:rPr>
      </w:pPr>
      <w:r>
        <w:rPr>
          <w:rFonts w:hint="eastAsia" w:ascii="仿宋" w:hAnsi="仿宋" w:eastAsia="仿宋" w:cs="仿宋"/>
          <w:snapToGrid w:val="0"/>
          <w:color w:val="000000"/>
          <w:spacing w:val="-13"/>
          <w:kern w:val="0"/>
          <w:sz w:val="32"/>
          <w:szCs w:val="32"/>
          <w:lang w:val="en-US" w:eastAsia="zh-CN" w:bidi="ar-SA"/>
        </w:rPr>
        <w:t>（7）</w:t>
      </w:r>
      <w:r>
        <w:rPr>
          <w:rFonts w:hint="eastAsia" w:ascii="仿宋" w:hAnsi="仿宋" w:eastAsia="仿宋" w:cs="仿宋"/>
          <w:snapToGrid w:val="0"/>
          <w:color w:val="000000"/>
          <w:spacing w:val="-13"/>
          <w:kern w:val="0"/>
          <w:sz w:val="32"/>
          <w:szCs w:val="32"/>
          <w:lang w:val="en-US" w:eastAsia="en-US" w:bidi="ar-SA"/>
        </w:rPr>
        <w:t>接受汨罗市住房和城乡建设局的委托具体实施房屋建筑工程和市政基础设施工程防雷安全监管；</w:t>
      </w:r>
    </w:p>
    <w:p w14:paraId="70B3B69E">
      <w:pPr>
        <w:numPr>
          <w:ilvl w:val="0"/>
          <w:numId w:val="0"/>
        </w:numPr>
        <w:spacing w:line="240" w:lineRule="auto"/>
        <w:ind w:firstLine="588" w:firstLineChars="200"/>
        <w:rPr>
          <w:rFonts w:hint="eastAsia" w:ascii="仿宋" w:hAnsi="仿宋" w:eastAsia="仿宋" w:cs="仿宋"/>
          <w:snapToGrid w:val="0"/>
          <w:color w:val="000000"/>
          <w:spacing w:val="-13"/>
          <w:kern w:val="0"/>
          <w:sz w:val="32"/>
          <w:szCs w:val="32"/>
          <w:lang w:val="en-US" w:eastAsia="en-US" w:bidi="ar-SA"/>
        </w:rPr>
      </w:pPr>
      <w:r>
        <w:rPr>
          <w:rFonts w:hint="eastAsia" w:ascii="仿宋" w:hAnsi="仿宋" w:eastAsia="仿宋" w:cs="仿宋"/>
          <w:snapToGrid w:val="0"/>
          <w:color w:val="000000"/>
          <w:spacing w:val="-13"/>
          <w:kern w:val="0"/>
          <w:sz w:val="32"/>
          <w:szCs w:val="32"/>
          <w:lang w:val="en-US" w:eastAsia="zh-CN" w:bidi="ar-SA"/>
        </w:rPr>
        <w:t>（8）</w:t>
      </w:r>
      <w:r>
        <w:rPr>
          <w:rFonts w:hint="eastAsia" w:ascii="仿宋" w:hAnsi="仿宋" w:eastAsia="仿宋" w:cs="仿宋"/>
          <w:snapToGrid w:val="0"/>
          <w:color w:val="000000"/>
          <w:spacing w:val="-13"/>
          <w:kern w:val="0"/>
          <w:sz w:val="32"/>
          <w:szCs w:val="32"/>
          <w:lang w:val="en-US" w:eastAsia="en-US" w:bidi="ar-SA"/>
        </w:rPr>
        <w:t>承办主管部门交办的其它事项。</w:t>
      </w:r>
    </w:p>
    <w:p w14:paraId="50DCEDBC">
      <w:pPr>
        <w:numPr>
          <w:ilvl w:val="0"/>
          <w:numId w:val="0"/>
        </w:numPr>
        <w:spacing w:line="240" w:lineRule="auto"/>
        <w:ind w:firstLine="588" w:firstLineChars="200"/>
        <w:rPr>
          <w:rFonts w:hint="eastAsia" w:ascii="仿宋" w:hAnsi="仿宋" w:eastAsia="仿宋" w:cs="仿宋"/>
          <w:snapToGrid w:val="0"/>
          <w:color w:val="000000"/>
          <w:spacing w:val="-13"/>
          <w:kern w:val="0"/>
          <w:sz w:val="32"/>
          <w:szCs w:val="32"/>
          <w:lang w:val="en-US" w:eastAsia="zh-CN" w:bidi="ar-SA"/>
        </w:rPr>
      </w:pPr>
      <w:r>
        <w:rPr>
          <w:rFonts w:hint="eastAsia" w:ascii="仿宋" w:hAnsi="仿宋" w:eastAsia="仿宋" w:cs="仿宋"/>
          <w:snapToGrid w:val="0"/>
          <w:color w:val="000000"/>
          <w:spacing w:val="-13"/>
          <w:kern w:val="0"/>
          <w:sz w:val="32"/>
          <w:szCs w:val="32"/>
          <w:lang w:val="en-US" w:eastAsia="zh-CN" w:bidi="ar-SA"/>
        </w:rPr>
        <w:t>2、组织结构，人员编制：</w:t>
      </w:r>
    </w:p>
    <w:p w14:paraId="6F81450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88" w:firstLineChars="200"/>
        <w:rPr>
          <w:rFonts w:hint="eastAsia" w:ascii="仿宋" w:hAnsi="仿宋" w:eastAsia="仿宋" w:cs="仿宋"/>
          <w:snapToGrid w:val="0"/>
          <w:color w:val="000000"/>
          <w:spacing w:val="-13"/>
          <w:kern w:val="0"/>
          <w:sz w:val="32"/>
          <w:szCs w:val="32"/>
          <w:lang w:val="en-US" w:eastAsia="zh-CN" w:bidi="ar-SA"/>
        </w:rPr>
      </w:pPr>
      <w:r>
        <w:rPr>
          <w:rFonts w:hint="eastAsia" w:ascii="仿宋" w:hAnsi="仿宋" w:eastAsia="仿宋" w:cs="仿宋"/>
          <w:snapToGrid w:val="0"/>
          <w:color w:val="000000"/>
          <w:spacing w:val="-13"/>
          <w:kern w:val="0"/>
          <w:sz w:val="32"/>
          <w:szCs w:val="32"/>
          <w:lang w:val="en-US" w:eastAsia="zh-CN" w:bidi="ar-SA"/>
        </w:rPr>
        <w:t>我单位是住建局下属副科级二级机构，下设10个站室，现有干职工79人，其中在编59人，退休干职工20人，为全额拨款事业单位，执行新政府会计制度。</w:t>
      </w:r>
    </w:p>
    <w:p w14:paraId="5E974CF4">
      <w:pPr>
        <w:numPr>
          <w:ilvl w:val="0"/>
          <w:numId w:val="0"/>
        </w:numPr>
        <w:kinsoku w:val="0"/>
        <w:autoSpaceDE w:val="0"/>
        <w:autoSpaceDN w:val="0"/>
        <w:adjustRightInd w:val="0"/>
        <w:snapToGrid w:val="0"/>
        <w:spacing w:before="211" w:line="224" w:lineRule="auto"/>
        <w:jc w:val="both"/>
        <w:textAlignment w:val="baseline"/>
        <w:rPr>
          <w:rFonts w:hint="eastAsia" w:ascii="方正黑体_GBK" w:hAnsi="仿宋" w:eastAsia="方正黑体_GBK" w:cs="仿宋"/>
          <w:snapToGrid w:val="0"/>
          <w:color w:val="000000"/>
          <w:sz w:val="32"/>
          <w:szCs w:val="32"/>
          <w:lang w:val="en-US" w:eastAsia="zh-CN" w:bidi="ar-SA"/>
        </w:rPr>
      </w:pP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13"/>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05BF9EF1">
      <w:pPr>
        <w:keepNext w:val="0"/>
        <w:keepLines w:val="0"/>
        <w:pageBreakBefore w:val="0"/>
        <w:widowControl/>
        <w:kinsoku/>
        <w:wordWrap/>
        <w:overflowPunct/>
        <w:topLinePunct w:val="0"/>
        <w:bidi w:val="0"/>
        <w:adjustRightInd/>
        <w:snapToGrid/>
        <w:spacing w:line="600" w:lineRule="exact"/>
        <w:ind w:firstLine="588" w:firstLineChars="200"/>
        <w:textAlignment w:val="auto"/>
        <w:rPr>
          <w:rFonts w:hint="default" w:ascii="仿宋" w:hAnsi="仿宋" w:eastAsia="仿宋" w:cs="仿宋"/>
          <w:snapToGrid w:val="0"/>
          <w:color w:val="000000"/>
          <w:spacing w:val="-13"/>
          <w:kern w:val="0"/>
          <w:sz w:val="32"/>
          <w:szCs w:val="32"/>
          <w:lang w:val="en-US" w:eastAsia="zh-CN" w:bidi="ar-SA"/>
        </w:rPr>
      </w:pPr>
      <w:r>
        <w:rPr>
          <w:rFonts w:hint="eastAsia" w:ascii="仿宋" w:hAnsi="仿宋" w:eastAsia="仿宋" w:cs="仿宋"/>
          <w:snapToGrid w:val="0"/>
          <w:color w:val="000000"/>
          <w:spacing w:val="-13"/>
          <w:kern w:val="0"/>
          <w:sz w:val="32"/>
          <w:szCs w:val="32"/>
          <w:lang w:val="en-US" w:eastAsia="zh-CN" w:bidi="ar-SA"/>
        </w:rPr>
        <w:t>2023年基本支出数为592.17万元，是指为保障单位机构正常运转、完成日常工作任务而发生的各项支出，包括用于基本工资、津贴补贴等人员经费以及办公费、印刷费、水电费、差旅费等日常公用经费。其中人员经费572.61万元，公用经费19.56万元。</w:t>
      </w:r>
    </w:p>
    <w:p w14:paraId="26D8F91B">
      <w:pPr>
        <w:keepNext w:val="0"/>
        <w:keepLines w:val="0"/>
        <w:pageBreakBefore w:val="0"/>
        <w:widowControl/>
        <w:numPr>
          <w:ilvl w:val="0"/>
          <w:numId w:val="2"/>
        </w:numPr>
        <w:kinsoku/>
        <w:wordWrap/>
        <w:overflowPunct/>
        <w:topLinePunct w:val="0"/>
        <w:bidi w:val="0"/>
        <w:adjustRightInd/>
        <w:snapToGrid/>
        <w:spacing w:line="600" w:lineRule="exact"/>
        <w:ind w:firstLine="588" w:firstLineChars="200"/>
        <w:textAlignment w:val="auto"/>
        <w:rPr>
          <w:rFonts w:hint="eastAsia" w:ascii="仿宋" w:hAnsi="仿宋" w:eastAsia="仿宋" w:cs="仿宋"/>
          <w:snapToGrid w:val="0"/>
          <w:color w:val="000000"/>
          <w:spacing w:val="-13"/>
          <w:kern w:val="0"/>
          <w:sz w:val="32"/>
          <w:szCs w:val="32"/>
          <w:lang w:val="en-US" w:eastAsia="zh-CN" w:bidi="ar-SA"/>
        </w:rPr>
      </w:pPr>
      <w:r>
        <w:rPr>
          <w:rFonts w:hint="eastAsia" w:ascii="仿宋" w:hAnsi="仿宋" w:eastAsia="仿宋" w:cs="仿宋"/>
          <w:snapToGrid w:val="0"/>
          <w:color w:val="000000"/>
          <w:spacing w:val="-13"/>
          <w:kern w:val="0"/>
          <w:sz w:val="32"/>
          <w:szCs w:val="32"/>
          <w:lang w:val="en-US" w:eastAsia="zh-CN" w:bidi="ar-SA"/>
        </w:rPr>
        <w:t>项目支出情况</w:t>
      </w:r>
    </w:p>
    <w:p w14:paraId="1C93E2C0">
      <w:pPr>
        <w:keepNext w:val="0"/>
        <w:keepLines w:val="0"/>
        <w:pageBreakBefore w:val="0"/>
        <w:widowControl/>
        <w:numPr>
          <w:ilvl w:val="0"/>
          <w:numId w:val="0"/>
        </w:numPr>
        <w:kinsoku/>
        <w:wordWrap/>
        <w:overflowPunct/>
        <w:topLinePunct w:val="0"/>
        <w:bidi w:val="0"/>
        <w:adjustRightInd/>
        <w:snapToGrid/>
        <w:spacing w:line="600" w:lineRule="exact"/>
        <w:ind w:firstLine="588" w:firstLineChars="200"/>
        <w:textAlignment w:val="auto"/>
        <w:rPr>
          <w:rFonts w:ascii="Times New Roman" w:hAnsi="Times New Roman" w:eastAsia="仿宋_GB2312"/>
          <w:kern w:val="0"/>
          <w:sz w:val="32"/>
          <w:szCs w:val="32"/>
          <w:lang w:eastAsia="zh-CN"/>
        </w:rPr>
      </w:pPr>
      <w:r>
        <w:rPr>
          <w:rFonts w:hint="eastAsia" w:ascii="仿宋" w:hAnsi="仿宋" w:eastAsia="仿宋" w:cs="仿宋"/>
          <w:snapToGrid w:val="0"/>
          <w:color w:val="000000"/>
          <w:spacing w:val="-13"/>
          <w:kern w:val="0"/>
          <w:sz w:val="32"/>
          <w:szCs w:val="32"/>
          <w:lang w:val="en-US" w:eastAsia="zh-CN" w:bidi="ar-SA"/>
        </w:rPr>
        <w:t>2023年项目支出数为359.74万元，是指单位为完成特定行政工作任务或事业发展目标而发生的支出，包括有关业务工作经费和运行维护经费。其中：招投标监督管理专项项目5万元，质量安全监管专项项目20万元，工作经费334.74万元。</w:t>
      </w:r>
    </w:p>
    <w:p w14:paraId="516D3C52">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三、</w:t>
      </w:r>
      <w:r>
        <w:rPr>
          <w:rFonts w:hint="eastAsia" w:ascii="方正黑体_GBK" w:eastAsia="方正黑体_GBK"/>
          <w:kern w:val="0"/>
          <w:sz w:val="32"/>
          <w:szCs w:val="32"/>
          <w:lang w:eastAsia="zh-CN"/>
        </w:rPr>
        <w:t>政府性基金预算支出情况</w:t>
      </w:r>
    </w:p>
    <w:p w14:paraId="2C8B83F2">
      <w:pPr>
        <w:keepNext w:val="0"/>
        <w:keepLines w:val="0"/>
        <w:pageBreakBefore w:val="0"/>
        <w:widowControl/>
        <w:numPr>
          <w:ilvl w:val="0"/>
          <w:numId w:val="0"/>
        </w:numPr>
        <w:kinsoku/>
        <w:wordWrap/>
        <w:overflowPunct/>
        <w:topLinePunct w:val="0"/>
        <w:bidi w:val="0"/>
        <w:adjustRightInd/>
        <w:snapToGrid/>
        <w:spacing w:line="600" w:lineRule="exact"/>
        <w:ind w:firstLine="588" w:firstLineChars="200"/>
        <w:textAlignment w:val="auto"/>
        <w:rPr>
          <w:rFonts w:hint="default" w:ascii="仿宋" w:hAnsi="仿宋" w:eastAsia="仿宋" w:cs="仿宋"/>
          <w:snapToGrid w:val="0"/>
          <w:color w:val="000000"/>
          <w:spacing w:val="-13"/>
          <w:kern w:val="0"/>
          <w:sz w:val="32"/>
          <w:szCs w:val="32"/>
          <w:lang w:val="en-US" w:eastAsia="zh-CN" w:bidi="ar-SA"/>
        </w:rPr>
      </w:pPr>
      <w:r>
        <w:rPr>
          <w:rFonts w:hint="eastAsia" w:ascii="仿宋" w:hAnsi="仿宋" w:eastAsia="仿宋" w:cs="仿宋"/>
          <w:snapToGrid w:val="0"/>
          <w:color w:val="000000"/>
          <w:spacing w:val="-13"/>
          <w:kern w:val="0"/>
          <w:sz w:val="32"/>
          <w:szCs w:val="32"/>
          <w:lang w:val="en-US" w:eastAsia="zh-CN" w:bidi="ar-SA"/>
        </w:rPr>
        <w:t>2023年度本单位无政府性基金安排的支出</w:t>
      </w:r>
    </w:p>
    <w:p w14:paraId="2A755169">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1A271C77">
      <w:pPr>
        <w:keepNext w:val="0"/>
        <w:keepLines w:val="0"/>
        <w:pageBreakBefore w:val="0"/>
        <w:widowControl/>
        <w:numPr>
          <w:ilvl w:val="0"/>
          <w:numId w:val="0"/>
        </w:numPr>
        <w:kinsoku/>
        <w:wordWrap/>
        <w:overflowPunct/>
        <w:topLinePunct w:val="0"/>
        <w:bidi w:val="0"/>
        <w:adjustRightInd/>
        <w:snapToGrid/>
        <w:spacing w:line="600" w:lineRule="exact"/>
        <w:ind w:firstLine="588" w:firstLineChars="200"/>
        <w:textAlignment w:val="auto"/>
        <w:rPr>
          <w:rFonts w:hint="eastAsia" w:ascii="方正黑体_GBK" w:eastAsia="方正黑体_GBK"/>
          <w:kern w:val="0"/>
          <w:sz w:val="32"/>
          <w:szCs w:val="32"/>
          <w:lang w:eastAsia="zh-CN"/>
        </w:rPr>
      </w:pPr>
      <w:r>
        <w:rPr>
          <w:rFonts w:hint="eastAsia" w:ascii="仿宋" w:hAnsi="仿宋" w:eastAsia="仿宋" w:cs="仿宋"/>
          <w:snapToGrid w:val="0"/>
          <w:color w:val="000000"/>
          <w:spacing w:val="-13"/>
          <w:kern w:val="0"/>
          <w:sz w:val="32"/>
          <w:szCs w:val="32"/>
          <w:lang w:val="en-US" w:eastAsia="zh-CN" w:bidi="ar-SA"/>
        </w:rPr>
        <w:t>2023年度本单位无国有资本经营安排的支出</w:t>
      </w:r>
    </w:p>
    <w:p w14:paraId="07F1EBC0">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151A3789">
      <w:pPr>
        <w:keepNext w:val="0"/>
        <w:keepLines w:val="0"/>
        <w:pageBreakBefore w:val="0"/>
        <w:widowControl/>
        <w:numPr>
          <w:ilvl w:val="0"/>
          <w:numId w:val="0"/>
        </w:numPr>
        <w:kinsoku/>
        <w:wordWrap/>
        <w:overflowPunct/>
        <w:topLinePunct w:val="0"/>
        <w:bidi w:val="0"/>
        <w:adjustRightInd/>
        <w:snapToGrid/>
        <w:spacing w:line="600" w:lineRule="exact"/>
        <w:ind w:firstLine="588" w:firstLineChars="200"/>
        <w:textAlignment w:val="auto"/>
        <w:rPr>
          <w:rFonts w:hint="eastAsia" w:ascii="方正黑体_GBK" w:eastAsia="方正黑体_GBK"/>
          <w:kern w:val="0"/>
          <w:sz w:val="32"/>
          <w:szCs w:val="32"/>
          <w:lang w:eastAsia="zh-CN"/>
        </w:rPr>
      </w:pPr>
      <w:r>
        <w:rPr>
          <w:rFonts w:hint="eastAsia" w:ascii="仿宋" w:hAnsi="仿宋" w:eastAsia="仿宋" w:cs="仿宋"/>
          <w:snapToGrid w:val="0"/>
          <w:color w:val="000000"/>
          <w:spacing w:val="-13"/>
          <w:kern w:val="0"/>
          <w:sz w:val="32"/>
          <w:szCs w:val="32"/>
          <w:lang w:val="en-US" w:eastAsia="zh-CN" w:bidi="ar-SA"/>
        </w:rPr>
        <w:t>2023年度本单位无社会保险基金安排的支出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03CDA7EC">
      <w:pPr>
        <w:keepNext w:val="0"/>
        <w:keepLines w:val="0"/>
        <w:pageBreakBefore w:val="0"/>
        <w:widowControl/>
        <w:numPr>
          <w:ilvl w:val="0"/>
          <w:numId w:val="0"/>
        </w:numPr>
        <w:kinsoku/>
        <w:wordWrap/>
        <w:overflowPunct/>
        <w:topLinePunct w:val="0"/>
        <w:bidi w:val="0"/>
        <w:adjustRightInd/>
        <w:snapToGrid/>
        <w:spacing w:line="600" w:lineRule="exact"/>
        <w:ind w:firstLine="588" w:firstLineChars="200"/>
        <w:textAlignment w:val="auto"/>
        <w:rPr>
          <w:rFonts w:hint="default" w:ascii="仿宋" w:hAnsi="仿宋" w:eastAsia="仿宋" w:cs="仿宋"/>
          <w:snapToGrid w:val="0"/>
          <w:color w:val="000000"/>
          <w:spacing w:val="-13"/>
          <w:kern w:val="0"/>
          <w:sz w:val="32"/>
          <w:szCs w:val="32"/>
          <w:lang w:val="en-US" w:eastAsia="zh-CN" w:bidi="ar-SA"/>
        </w:rPr>
      </w:pPr>
      <w:r>
        <w:rPr>
          <w:rFonts w:hint="eastAsia" w:ascii="仿宋" w:hAnsi="仿宋" w:eastAsia="仿宋" w:cs="仿宋"/>
          <w:snapToGrid w:val="0"/>
          <w:color w:val="000000"/>
          <w:spacing w:val="-13"/>
          <w:kern w:val="0"/>
          <w:sz w:val="32"/>
          <w:szCs w:val="32"/>
          <w:lang w:val="en-US" w:eastAsia="zh-CN" w:bidi="ar-SA"/>
        </w:rPr>
        <w:t>总体来看，市建工服务中心部门整体绩效目标完情况较好。</w:t>
      </w:r>
      <w:r>
        <w:rPr>
          <w:rFonts w:hint="default" w:ascii="仿宋" w:hAnsi="仿宋" w:eastAsia="仿宋" w:cs="仿宋"/>
          <w:snapToGrid w:val="0"/>
          <w:color w:val="000000"/>
          <w:spacing w:val="-13"/>
          <w:kern w:val="0"/>
          <w:sz w:val="32"/>
          <w:szCs w:val="32"/>
          <w:lang w:val="en-US" w:eastAsia="zh-CN" w:bidi="ar-SA"/>
        </w:rPr>
        <w:t>建工服务中心坚持以坚持以习近平新时代中国特色社会主义思想为指导，深入学习贯彻党的二十大精神，紧跟市委市政府决策部署，在住建局党组的坚强领导下，在各单位的配合和支持下，紧紧围绕“安全生产”这一条主线，统筹抓好建筑领域招投标管理、企业管理等各项工作，通过“党建+业务”，持续巩固基层政治建设，优化服务质量，提升监管效能，为建筑业高质量发展提供全面的安全监管和技术服务支撑。我们采取勤走一线、优化服务，多查严督抓整改的方式深入开展安全隐患排查治理、招投标整治、农民工工作、混凝土专项整治等工作，保证了全市建筑领域安全生产形势稳定，推动了扬尘防治、农民工工资实名制、非法混凝土站点整治等专项工作的落实。</w:t>
      </w:r>
    </w:p>
    <w:p w14:paraId="4BC10273">
      <w:pPr>
        <w:keepNext w:val="0"/>
        <w:keepLines w:val="0"/>
        <w:pageBreakBefore w:val="0"/>
        <w:widowControl/>
        <w:numPr>
          <w:ilvl w:val="0"/>
          <w:numId w:val="0"/>
        </w:numPr>
        <w:kinsoku/>
        <w:wordWrap/>
        <w:overflowPunct/>
        <w:topLinePunct w:val="0"/>
        <w:bidi w:val="0"/>
        <w:adjustRightInd/>
        <w:snapToGrid/>
        <w:spacing w:line="600" w:lineRule="exact"/>
        <w:ind w:firstLine="588" w:firstLineChars="200"/>
        <w:textAlignment w:val="auto"/>
        <w:rPr>
          <w:rFonts w:hint="eastAsia" w:ascii="仿宋" w:hAnsi="仿宋" w:eastAsia="仿宋" w:cs="仿宋"/>
          <w:snapToGrid w:val="0"/>
          <w:color w:val="000000"/>
          <w:spacing w:val="-13"/>
          <w:kern w:val="0"/>
          <w:sz w:val="32"/>
          <w:szCs w:val="32"/>
          <w:lang w:val="en-US" w:eastAsia="zh-CN" w:bidi="ar-SA"/>
        </w:rPr>
      </w:pPr>
      <w:r>
        <w:rPr>
          <w:rFonts w:hint="eastAsia" w:ascii="仿宋" w:hAnsi="仿宋" w:eastAsia="仿宋" w:cs="仿宋"/>
          <w:snapToGrid w:val="0"/>
          <w:color w:val="000000"/>
          <w:spacing w:val="-13"/>
          <w:kern w:val="0"/>
          <w:sz w:val="32"/>
          <w:szCs w:val="32"/>
          <w:lang w:val="en-US" w:eastAsia="zh-CN" w:bidi="ar-SA"/>
        </w:rPr>
        <w:t>一、着力加强政治建设，筑牢党风廉政思想根基。</w:t>
      </w:r>
    </w:p>
    <w:p w14:paraId="5E645610">
      <w:pPr>
        <w:keepNext w:val="0"/>
        <w:keepLines w:val="0"/>
        <w:pageBreakBefore w:val="0"/>
        <w:widowControl/>
        <w:numPr>
          <w:ilvl w:val="0"/>
          <w:numId w:val="0"/>
        </w:numPr>
        <w:kinsoku/>
        <w:wordWrap/>
        <w:overflowPunct/>
        <w:topLinePunct w:val="0"/>
        <w:bidi w:val="0"/>
        <w:adjustRightInd/>
        <w:snapToGrid/>
        <w:spacing w:line="600" w:lineRule="exact"/>
        <w:ind w:firstLine="588" w:firstLineChars="200"/>
        <w:textAlignment w:val="auto"/>
        <w:rPr>
          <w:rFonts w:hint="default" w:ascii="仿宋" w:hAnsi="仿宋" w:eastAsia="仿宋" w:cs="仿宋"/>
          <w:snapToGrid w:val="0"/>
          <w:color w:val="000000"/>
          <w:spacing w:val="-13"/>
          <w:kern w:val="0"/>
          <w:sz w:val="32"/>
          <w:szCs w:val="32"/>
          <w:lang w:val="en-US" w:eastAsia="zh-CN" w:bidi="ar-SA"/>
        </w:rPr>
      </w:pPr>
      <w:r>
        <w:rPr>
          <w:rFonts w:hint="default" w:ascii="仿宋" w:hAnsi="仿宋" w:eastAsia="仿宋" w:cs="仿宋"/>
          <w:snapToGrid w:val="0"/>
          <w:color w:val="000000"/>
          <w:spacing w:val="-13"/>
          <w:kern w:val="0"/>
          <w:sz w:val="32"/>
          <w:szCs w:val="32"/>
          <w:lang w:val="en-US" w:eastAsia="zh-CN" w:bidi="ar-SA"/>
        </w:rPr>
        <w:t>始终把当政治建设、廉政建设和加强内部管理摆在中心位置，始终坚持服务项目、服务企业、服务行业发展的工作理念。坚持用党的创新理论凝心铸魂，班子带头学懂弄通做实，把学习宣传贯彻党的二十大精神作为首要政治任务和头等大事，抓实理论学习，开展深入交流研讨。聚焦学思想、强党性、重实践、建新功的总要求，深入开展学习贯彻习近平新时代中国特色社会主义思想主题教育，组织开展“以学铸魂、以学增智、以学正风、以学促干”主题教育和研讨交流；严格落实“三会一课”制度，多形式开展学习教育，开展各类党日活动12次，讲党课4次，开展主题教育专题学习研讨4次。做好党员发展、支部换届等工作，吸收尹新梅同志为中共预备党员，培养入党积极分子1名，3名同志递交入党申请书；顺利完成支部换届工作，选举产生新一届支委班子。落实全面从严治党责任、加强党风廉政建设教育，坚持民主集中制，“三重一大”事项集体决策；坚持德才兼备、人岗相适的正确用人导向；开展“两带头五整治”纠纷防腐专项行动，强力推进“清廉机关”建设，高频次开展廉政教育和活动，组织干职工到屈子文化园廉教基地开展现场学习，邀请纪监委干部上廉政专题课，全年共开展廉政学习教育、谈心谈话、会议等18次，做到“常提醒、常教育、常监督”。坚持关键岗位人员轮岗、任前谈话、提醒谈话、典型案例通报、调整岗位、交叉检查等举措，提升干职工廉政自觉，使“清廉”二字深入人心，形成了不能腐、不敢腐、不想腐的局面。</w:t>
      </w:r>
    </w:p>
    <w:p w14:paraId="1DA99170">
      <w:pPr>
        <w:keepNext w:val="0"/>
        <w:keepLines w:val="0"/>
        <w:pageBreakBefore w:val="0"/>
        <w:widowControl/>
        <w:numPr>
          <w:ilvl w:val="0"/>
          <w:numId w:val="0"/>
        </w:numPr>
        <w:kinsoku/>
        <w:wordWrap/>
        <w:overflowPunct/>
        <w:topLinePunct w:val="0"/>
        <w:bidi w:val="0"/>
        <w:adjustRightInd/>
        <w:snapToGrid/>
        <w:spacing w:line="600" w:lineRule="exact"/>
        <w:ind w:firstLine="588" w:firstLineChars="200"/>
        <w:textAlignment w:val="auto"/>
        <w:rPr>
          <w:rFonts w:hint="eastAsia" w:ascii="仿宋" w:hAnsi="仿宋" w:eastAsia="仿宋" w:cs="仿宋"/>
          <w:snapToGrid w:val="0"/>
          <w:color w:val="000000"/>
          <w:spacing w:val="-13"/>
          <w:kern w:val="0"/>
          <w:sz w:val="32"/>
          <w:szCs w:val="32"/>
          <w:lang w:val="en-US" w:eastAsia="zh-CN" w:bidi="ar-SA"/>
        </w:rPr>
      </w:pPr>
      <w:r>
        <w:rPr>
          <w:rFonts w:hint="eastAsia" w:ascii="仿宋" w:hAnsi="仿宋" w:eastAsia="仿宋" w:cs="仿宋"/>
          <w:snapToGrid w:val="0"/>
          <w:color w:val="000000"/>
          <w:spacing w:val="-13"/>
          <w:kern w:val="0"/>
          <w:sz w:val="32"/>
          <w:szCs w:val="32"/>
          <w:lang w:val="en-US" w:eastAsia="zh-CN" w:bidi="ar-SA"/>
        </w:rPr>
        <w:t>二、全力提升服务水平，助推行业高质量发展</w:t>
      </w:r>
    </w:p>
    <w:p w14:paraId="7B86AE4F">
      <w:pPr>
        <w:keepNext w:val="0"/>
        <w:keepLines w:val="0"/>
        <w:pageBreakBefore w:val="0"/>
        <w:widowControl/>
        <w:numPr>
          <w:ilvl w:val="0"/>
          <w:numId w:val="0"/>
        </w:numPr>
        <w:kinsoku/>
        <w:wordWrap/>
        <w:overflowPunct/>
        <w:topLinePunct w:val="0"/>
        <w:bidi w:val="0"/>
        <w:adjustRightInd/>
        <w:snapToGrid/>
        <w:spacing w:line="600" w:lineRule="exact"/>
        <w:ind w:firstLine="588" w:firstLineChars="200"/>
        <w:textAlignment w:val="auto"/>
        <w:rPr>
          <w:rFonts w:hint="default" w:ascii="仿宋" w:hAnsi="仿宋" w:eastAsia="仿宋" w:cs="仿宋"/>
          <w:snapToGrid w:val="0"/>
          <w:color w:val="000000"/>
          <w:spacing w:val="-13"/>
          <w:kern w:val="0"/>
          <w:sz w:val="32"/>
          <w:szCs w:val="32"/>
          <w:lang w:val="en-US" w:eastAsia="zh-CN" w:bidi="ar-SA"/>
        </w:rPr>
      </w:pPr>
      <w:r>
        <w:rPr>
          <w:rFonts w:hint="default" w:ascii="仿宋" w:hAnsi="仿宋" w:eastAsia="仿宋" w:cs="仿宋"/>
          <w:snapToGrid w:val="0"/>
          <w:color w:val="000000"/>
          <w:spacing w:val="-13"/>
          <w:kern w:val="0"/>
          <w:sz w:val="32"/>
          <w:szCs w:val="32"/>
          <w:lang w:val="en-US" w:eastAsia="zh-CN" w:bidi="ar-SA"/>
        </w:rPr>
        <w:t>（一）夯实基础，积蓄高质量发展动能。为推动建筑业稳定发展，守牢建筑领域安全生产底线，我们迎难而上，不断锤炼本领，提升服务水平，全力推进建筑领域各项工作任务实现预期目标。一是内部发力提本领、强技能。我们积极探索突破工学矛盾，设立“周三课堂”，组织干职工开展质量安全、试验检测、行业管理、党风廉政等知识学习与测试，通过集中学习、讨论交流，提升干职工的专业技能和理论知识，形成了积极向上的学习氛围。二是带动行业蓄动能、谋发展。班子带头深入企业，走访调研，了解企业生产经营中的难点堵点，提供技术指导与服务，帮助企业项目降本增效、纾困解难题；组织企业开展安全月、质量安全观摩、专业技能培训，带动企业提高管理水平，提升安全生产意识。三是形成合力同提升、共进步。在单位内部，开展各种形式的学习与活动，通过党建、团建、拓展、集中学习讨论等形形式，增进干职工之间交流与学习，在学习与活动中提升能力，增进友谊，形成了和谐友好、乐观向上的团队氛围，而且调动了职工的工作热情,促进了日常工作中的协调与联动。在对外工作中，我们积极与住建系统以及其他业务相关单位沟通联系，主动跨单位跨部门进行工作联动，帮助企业和项目、群众解决实际问题，服务工作更优质开展。</w:t>
      </w:r>
    </w:p>
    <w:p w14:paraId="3158EAD6">
      <w:pPr>
        <w:keepNext w:val="0"/>
        <w:keepLines w:val="0"/>
        <w:pageBreakBefore w:val="0"/>
        <w:widowControl/>
        <w:numPr>
          <w:ilvl w:val="0"/>
          <w:numId w:val="0"/>
        </w:numPr>
        <w:kinsoku/>
        <w:wordWrap/>
        <w:overflowPunct/>
        <w:topLinePunct w:val="0"/>
        <w:bidi w:val="0"/>
        <w:adjustRightInd/>
        <w:snapToGrid/>
        <w:spacing w:line="600" w:lineRule="exact"/>
        <w:ind w:firstLine="588" w:firstLineChars="200"/>
        <w:textAlignment w:val="auto"/>
        <w:rPr>
          <w:rFonts w:hint="default" w:ascii="仿宋" w:hAnsi="仿宋" w:eastAsia="仿宋" w:cs="仿宋"/>
          <w:snapToGrid w:val="0"/>
          <w:color w:val="000000"/>
          <w:spacing w:val="-13"/>
          <w:kern w:val="0"/>
          <w:sz w:val="32"/>
          <w:szCs w:val="32"/>
          <w:lang w:val="en-US" w:eastAsia="zh-CN" w:bidi="ar-SA"/>
        </w:rPr>
      </w:pPr>
      <w:r>
        <w:rPr>
          <w:rFonts w:hint="default" w:ascii="仿宋" w:hAnsi="仿宋" w:eastAsia="仿宋" w:cs="仿宋"/>
          <w:snapToGrid w:val="0"/>
          <w:color w:val="000000"/>
          <w:spacing w:val="-13"/>
          <w:kern w:val="0"/>
          <w:sz w:val="32"/>
          <w:szCs w:val="32"/>
          <w:lang w:val="en-US" w:eastAsia="zh-CN" w:bidi="ar-SA"/>
        </w:rPr>
        <w:t>（二）抓实安全生产，提供高质量发展保障。全年监管房屋工程项目101个，总建筑面积约285.17万平方米，总造价约51.53亿元，市政工程项目11个，总造价约6.83亿元。全年竣工验收项目共38个，目前在建房屋和市政项目共74个（房屋工程68个，市政工程6个），其中在建项目44个，停工项目16个，未开工项目14个。受全球经济下行影响，建筑领域不景气的背景下，我们更多的是优化服务、提供技术指导，促进行业安全发展。一是加强质量安全宣传和指导，加强行业教育，通过安全生产月、安全质量观摩、安全生产大讲堂、微信公众号和视频号“建工大安”等方式，加强新安全生产法、房屋市政工程生产安全重大事故隐患判定标准（2022版）、特种设备和高处作业知识、文明创建和扬尘防治等知识宣传，提升从业人员安全生产知识熟悉度，增强自我保护意识；通过提醒、警示约谈，限期整改、停工整改、行政处罚、立案查处等多种手段，多种形式敦促参与建设主体责任单位提高安全生产意识，履行安全生产责任，全年组织召开全市质量安全管理专项会议13次，打非治违专项会议4次，召开质量安全警示约谈会11次，召开扬尘防治约谈会2次。二是严格督促隐患整改，受全球经济下行波及，房地产、工业项目受到了较大的影响，考虑到各项目的难度和进一步优化全市营商环境，我们更多的是采用查隐患、督整改的办法严控项目质量安全。坚决做到该停工整改的停工整改，该限期整改的限期整改，对敷衍整改的坚决立案查处，绝不带病施工。特别是涉起重机械设备违法违规的，发现一起，查处一起，绝不姑息迁就。全年共开展专项检查11次，对65个项目进行了825次检查，共下发隐患整改通知书232份、下发停工整改通知书45份，下发催办通知13份，消除质量安全隐患2092条，记录红黄牌101份，记录不良行为29起，2023年共移交案件调线索17起，记项目安全考评不合格6份。将强执法深入到建筑施工的各个环节，覆盖了包括工业项目、市政项目的所有项目，形成了全过程、全方位、无死角盲区的严监管新局面。三是强化危大工程管控，我们从起重机械设备入手，加大危大工程管控。委托第三方专业检测机构对全市在用起重机械设备开展了4次全覆盖监督比对检测，检测中共发现安全隐患930余处，强制拆除1台、现场封停9台；严格落实“季度强制检测，存在重大安全隐患的一律封停或强制拆除，重大环节监管不到位，操作违规的一律严处”的起重设备管控机制，使这最易失控、最易发生较大以上事故的重大危险源得到强有力管控，极大降低了发生较大以上安全事故的概率。四是开展安全生产打非治违，按照上级相关工作安排，吸取长沙4.29自建民房倒塌事故教训，结合安全生产专项整治三年行动，强力开展了住建领域安全生产大检查打非治违专项整治工作，对全市违建项目进行排查整治。集中约谈了未办施工许可、未竣工验收备案等违法建设项目的责任单位主要负责人，针对每个违法项目具体情况明确了整治目标期限任务和责任人，明确专人指导督促项目限时整改。专项整治行动以来，借助集中约谈会开展集中培训告知3次，组织专班上门现场指导4次，接受业务咨询指导40余次，指导项目整改。整治行动取得了较好的成效。</w:t>
      </w:r>
    </w:p>
    <w:p w14:paraId="6E887A0D">
      <w:pPr>
        <w:spacing w:line="600" w:lineRule="exact"/>
        <w:ind w:firstLine="588" w:firstLineChars="200"/>
        <w:jc w:val="both"/>
        <w:rPr>
          <w:rFonts w:hint="default" w:ascii="仿宋" w:hAnsi="仿宋" w:eastAsia="仿宋" w:cs="仿宋"/>
          <w:snapToGrid w:val="0"/>
          <w:color w:val="000000"/>
          <w:spacing w:val="-13"/>
          <w:kern w:val="0"/>
          <w:sz w:val="32"/>
          <w:szCs w:val="32"/>
          <w:lang w:val="en-US" w:eastAsia="zh-CN" w:bidi="ar-SA"/>
        </w:rPr>
      </w:pPr>
      <w:r>
        <w:rPr>
          <w:rFonts w:hint="default" w:ascii="仿宋" w:hAnsi="仿宋" w:eastAsia="仿宋" w:cs="仿宋"/>
          <w:snapToGrid w:val="0"/>
          <w:color w:val="000000"/>
          <w:spacing w:val="-13"/>
          <w:kern w:val="0"/>
          <w:sz w:val="32"/>
          <w:szCs w:val="32"/>
          <w:lang w:val="en-US" w:eastAsia="zh-CN" w:bidi="ar-SA"/>
        </w:rPr>
        <w:t>（三）优化服务质量，提升高质量发展品质。在抓好安全生产工作同时，坚持提升行业管理和服务水平。推动建筑业高质量发展，开展建筑业“三解三送三优”（送政策、送温暖、送信心，解基层之难、解企业之难，解群众之难，优作风、优服务、优环境）服务工作，确定6家我市建筑业骨干企业、确定4家专精特新企业，并针对性开展服务，引导企业做到做强。积极配合汨罗市统计局较好地完成全市建筑施工企业在省统计联网直报平台的季度报表上报和四上企业入网等工作，今年已完成2家四上企业申报。今年完成新申报/增项家劳务公司资质16家，对12家建筑业企业进行了资质动态核查。组织19人次参加特种作业人员培训、考核。严格实名制管理，督促省监管平台上在建工程项目部建立实名制人脸识别考勤通道，并执行上、下班考勤管理；督促施工单位设立农民工工资发放专户按月发放农民工工资。联合市劳动监察大队定期开展“根治欠薪”专项检查，协助劳动监察大队协调解决农民工工资欠薪事件40件。加强商品混凝土管理工作，每月对全市范围内预拌混凝土搅拌站点巡查，自该项工作开展以来已拆除无资质混凝土搅拌站（点）33家，关停1家。对全市范围内6家预拌商品混凝土企业开展安全生产检查，结合省超限超载领导小组及汨罗市超限超载领导小组对我市预拌商品混凝土公司进行抽查发现的问题进行动态管理，督促企业完善其内部监管系统，确保数据准确及时上传至省监管平台。抓好招投标监管，2023年度公开招标项目共计14个，总金额78089.7763万元。加强对招投标活动的监督，加强事中事后监管，开展住建领域招投标突出问题专项整治工作，进一步规范住建领域招投标工作。开展专项标后稽查3次，下发标后稽查整改告知书28份，将9起未取得施工许可证擅自开工项目移交住建局法规股立案查处，完成省厅交办案件3个、岳阳市局交办线索8条、汨罗市纪委交办线索6条。依法依规处理投诉2个，举报1个。按照局党组统一部署完成汨罗市落实省委第三轮巡视共性问题“未巡先改”自查整改工作。严把材料检测关，立业检测严格按照检测标准要求开展试验检测。综合材料和实体检测情况建立了不合格台帐，并及时通报质监站，针对不合格样品及时跟踪，消除质量隐患，更好地确保了工程质量。做好造价与竣工备案服务，动态采集建材价格信息，并及时上报岳阳市造价站；为企业、项目提供代订《岳阳工程造价》服务，及时为企业提供造价信息；组织发改、财评、审计等单位和造价从业人员参加“岳阳市建设工程成本管理及全过程造价咨询专题市场讲座”，提升造价人员专技技能水平。压缩竣工备案办理时间，全面实行线上备案，降低企业成本，对符合要求的项目，按规定在2个工作日内完成备案手续，共办理建设工程项目竣工验收备案82个,工程总造价350773.89万元。其中房建类81个，工程总造价350391.39万元，建筑面积1913714.87平方米；市政工程1个，工程总造价382.5万元。加强检测、监理企业监管，对在我市开展业务的检测、监理企业的机进行信息采集，每季度对全市在建项目检测、监理机构日常行为开展检查，督促相关企业加强管理，落实整改，对相关违法违规行为进行了调查，并将相关线索移送住建局法规股办理，通过加强管理，检测、监理企业对质量安全的认识和重视程度稳步提高，管理水平也逐步提升。抓好乡村振兴、文明城市创建等中心工作，中心支部班子成员与监测户、脱贫户结对联系帮扶，落实好帮扶责任，巩固拓展脱贫攻坚成果；推动集体经济稳步发展，积极主动为企业争取低息贷款，带动本村就业增收。组织支部党员到联点高塘社区凯华尊品小区开展3次文明城市创建“两进”活动，向住户、商户宣传文明创建，开展卫生清洁志愿活动，提升联点社区环境卫生水平；组建在建项目文明创建工作专班，全面开展督查，督促项目在施工围挡、公益广告、施工现场、宿舍、食堂卫生等方面全面提标，迎检期间，开展“一对一”服务，确保建筑项目迎检效果。办好巡视交办整改、信访投诉，提升群众满意度，近年建筑领域快速发展，交房量大幅增加，有关房屋质量安全的信访量上升，我们组织投诉信访处理专班，分级分类跟踪办理，重要信访事项一把手亲子督办，责任压实到站股室负责人，做到件件有回复。省委巡视期间，成立工资表专班负责交办巡视组交办事项，落实每个信访事项均与信访人见面沟通了解和反馈办理情况，办理施工扰民、工程款结算、交房问题等各类交办件25件。全年共办理建筑领域投诉、信访、交办284件（12345信箱239件、舆情11件、信访26件、市长信箱8件）。</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30E49DA9">
      <w:pPr>
        <w:spacing w:line="600" w:lineRule="exact"/>
        <w:ind w:firstLine="588" w:firstLineChars="200"/>
        <w:jc w:val="both"/>
        <w:rPr>
          <w:rFonts w:eastAsia="仿宋_GB2312"/>
          <w:kern w:val="0"/>
          <w:sz w:val="32"/>
          <w:szCs w:val="32"/>
          <w:lang w:eastAsia="zh-CN"/>
        </w:rPr>
      </w:pPr>
      <w:r>
        <w:rPr>
          <w:rFonts w:hint="default" w:ascii="仿宋" w:hAnsi="仿宋" w:eastAsia="仿宋" w:cs="仿宋"/>
          <w:snapToGrid w:val="0"/>
          <w:color w:val="000000"/>
          <w:spacing w:val="-13"/>
          <w:kern w:val="0"/>
          <w:sz w:val="32"/>
          <w:szCs w:val="32"/>
          <w:lang w:val="en-US" w:eastAsia="zh-CN" w:bidi="ar-SA"/>
        </w:rPr>
        <w:t>检测、监理企业对质量安全的认识和重视程度稳步提高</w:t>
      </w:r>
      <w:r>
        <w:rPr>
          <w:rFonts w:hint="eastAsia" w:ascii="仿宋" w:hAnsi="仿宋" w:eastAsia="仿宋" w:cs="仿宋"/>
          <w:snapToGrid w:val="0"/>
          <w:color w:val="000000"/>
          <w:spacing w:val="-13"/>
          <w:kern w:val="0"/>
          <w:sz w:val="32"/>
          <w:szCs w:val="32"/>
          <w:lang w:val="en-US" w:eastAsia="zh-CN" w:bidi="ar-SA"/>
        </w:rPr>
        <w:t>，</w:t>
      </w:r>
      <w:r>
        <w:rPr>
          <w:rFonts w:hint="default" w:ascii="仿宋" w:hAnsi="仿宋" w:eastAsia="仿宋" w:cs="仿宋"/>
          <w:snapToGrid w:val="0"/>
          <w:color w:val="000000"/>
          <w:spacing w:val="-13"/>
          <w:kern w:val="0"/>
          <w:sz w:val="32"/>
          <w:szCs w:val="32"/>
          <w:lang w:val="en-US" w:eastAsia="zh-CN" w:bidi="ar-SA"/>
        </w:rPr>
        <w:t>管理水平也逐步提升</w:t>
      </w:r>
      <w:r>
        <w:rPr>
          <w:rFonts w:hint="eastAsia" w:ascii="仿宋" w:hAnsi="仿宋" w:eastAsia="仿宋" w:cs="仿宋"/>
          <w:snapToGrid w:val="0"/>
          <w:color w:val="000000"/>
          <w:spacing w:val="-13"/>
          <w:kern w:val="0"/>
          <w:sz w:val="32"/>
          <w:szCs w:val="32"/>
          <w:lang w:val="en-US" w:eastAsia="zh-CN" w:bidi="ar-SA"/>
        </w:rPr>
        <w:t>，</w:t>
      </w:r>
      <w:r>
        <w:rPr>
          <w:rFonts w:hint="default" w:ascii="仿宋" w:hAnsi="仿宋" w:eastAsia="仿宋" w:cs="仿宋"/>
          <w:snapToGrid w:val="0"/>
          <w:color w:val="000000"/>
          <w:spacing w:val="-13"/>
          <w:kern w:val="0"/>
          <w:sz w:val="32"/>
          <w:szCs w:val="32"/>
          <w:lang w:val="en-US" w:eastAsia="zh-CN" w:bidi="ar-SA"/>
        </w:rPr>
        <w:t>但部分项目仍然存在重视不够</w:t>
      </w:r>
      <w:r>
        <w:rPr>
          <w:rFonts w:hint="eastAsia" w:ascii="仿宋" w:hAnsi="仿宋" w:eastAsia="仿宋" w:cs="仿宋"/>
          <w:snapToGrid w:val="0"/>
          <w:color w:val="000000"/>
          <w:spacing w:val="-13"/>
          <w:kern w:val="0"/>
          <w:sz w:val="32"/>
          <w:szCs w:val="32"/>
          <w:lang w:val="en-US" w:eastAsia="zh-CN" w:bidi="ar-SA"/>
        </w:rPr>
        <w:t>，</w:t>
      </w:r>
      <w:r>
        <w:rPr>
          <w:rFonts w:hint="default" w:ascii="仿宋" w:hAnsi="仿宋" w:eastAsia="仿宋" w:cs="仿宋"/>
          <w:snapToGrid w:val="0"/>
          <w:color w:val="000000"/>
          <w:spacing w:val="-13"/>
          <w:kern w:val="0"/>
          <w:sz w:val="32"/>
          <w:szCs w:val="32"/>
          <w:lang w:val="en-US" w:eastAsia="zh-CN" w:bidi="ar-SA"/>
        </w:rPr>
        <w:t>管理不力等问题。</w:t>
      </w:r>
      <w:r>
        <w:rPr>
          <w:rFonts w:hint="eastAsia" w:ascii="仿宋" w:hAnsi="仿宋" w:eastAsia="仿宋" w:cs="仿宋"/>
          <w:snapToGrid w:val="0"/>
          <w:color w:val="000000"/>
          <w:spacing w:val="-13"/>
          <w:kern w:val="0"/>
          <w:sz w:val="32"/>
          <w:szCs w:val="32"/>
          <w:lang w:val="en-US" w:eastAsia="zh-CN" w:bidi="ar-SA"/>
        </w:rPr>
        <w:t>我们将进一步加强管理，督促企业履职尽责，提升建设项目检测、监理水平。</w:t>
      </w:r>
    </w:p>
    <w:p w14:paraId="21E6073D">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54C9F9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方正黑体_GBK" w:eastAsia="方正黑体_GBK"/>
          <w:kern w:val="0"/>
          <w:sz w:val="32"/>
          <w:szCs w:val="32"/>
          <w:lang w:eastAsia="zh-CN"/>
        </w:rPr>
      </w:pPr>
      <w:r>
        <w:rPr>
          <w:rFonts w:hint="eastAsia" w:ascii="Times New Roman" w:hAnsi="Times New Roman" w:eastAsia="仿宋" w:cs="Times New Roman"/>
          <w:b/>
          <w:bCs/>
          <w:sz w:val="32"/>
          <w:szCs w:val="32"/>
          <w:highlight w:val="none"/>
          <w:lang w:val="en-US" w:eastAsia="zh-CN"/>
        </w:rPr>
        <w:t>一是</w:t>
      </w:r>
      <w:r>
        <w:rPr>
          <w:rFonts w:hint="eastAsia" w:ascii="Times New Roman" w:hAnsi="Times New Roman" w:eastAsia="仿宋" w:cs="Times New Roman"/>
          <w:b w:val="0"/>
          <w:bCs w:val="0"/>
          <w:sz w:val="32"/>
          <w:szCs w:val="32"/>
          <w:highlight w:val="none"/>
          <w:lang w:val="en-US" w:eastAsia="zh-CN"/>
        </w:rPr>
        <w:t>深化“清廉机关”建设，加强领导班子和干部队伍建设，进一步加强内部管理和廉政勤政教育，以党建和廉政建设促进业务工作开展，在干部中形成“不想腐”良好廉政氛围使全体干部职工做到依法行政，执法必严。二</w:t>
      </w:r>
      <w:r>
        <w:rPr>
          <w:rFonts w:hint="eastAsia" w:ascii="Times New Roman" w:hAnsi="Times New Roman" w:eastAsia="仿宋" w:cs="Times New Roman"/>
          <w:b/>
          <w:bCs/>
          <w:sz w:val="32"/>
          <w:szCs w:val="32"/>
          <w:highlight w:val="none"/>
          <w:lang w:val="en-US" w:eastAsia="zh-CN"/>
        </w:rPr>
        <w:t>是</w:t>
      </w:r>
      <w:r>
        <w:rPr>
          <w:rFonts w:hint="eastAsia" w:ascii="Times New Roman" w:hAnsi="Times New Roman" w:eastAsia="仿宋" w:cs="Times New Roman"/>
          <w:b w:val="0"/>
          <w:bCs w:val="0"/>
          <w:sz w:val="32"/>
          <w:szCs w:val="32"/>
          <w:highlight w:val="none"/>
          <w:lang w:val="en-US" w:eastAsia="zh-CN"/>
        </w:rPr>
        <w:t>抓实建设项目的问题隐患整改，督促项目举一反三，认真自查整改；深化“安全生产月”活动效果，宣传安全生产知识，</w:t>
      </w:r>
      <w:r>
        <w:rPr>
          <w:rFonts w:hint="eastAsia" w:ascii="仿宋" w:hAnsi="仿宋" w:eastAsia="仿宋" w:cs="仿宋"/>
          <w:sz w:val="32"/>
          <w:szCs w:val="32"/>
        </w:rPr>
        <w:t>提高</w:t>
      </w:r>
      <w:r>
        <w:rPr>
          <w:rFonts w:hint="eastAsia" w:ascii="仿宋" w:hAnsi="仿宋" w:eastAsia="仿宋" w:cs="仿宋"/>
          <w:sz w:val="32"/>
          <w:szCs w:val="32"/>
          <w:lang w:val="en-US" w:eastAsia="zh-CN"/>
        </w:rPr>
        <w:t>建筑业全员</w:t>
      </w:r>
      <w:r>
        <w:rPr>
          <w:rFonts w:hint="eastAsia" w:ascii="仿宋" w:hAnsi="仿宋" w:eastAsia="仿宋" w:cs="仿宋"/>
          <w:sz w:val="32"/>
          <w:szCs w:val="32"/>
        </w:rPr>
        <w:t>安全意识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努力营造</w:t>
      </w:r>
      <w:r>
        <w:rPr>
          <w:rFonts w:hint="eastAsia" w:ascii="仿宋" w:hAnsi="仿宋" w:eastAsia="仿宋" w:cs="仿宋"/>
          <w:sz w:val="32"/>
          <w:szCs w:val="32"/>
          <w:lang w:eastAsia="zh-CN"/>
        </w:rPr>
        <w:t>“</w:t>
      </w:r>
      <w:r>
        <w:rPr>
          <w:rFonts w:hint="eastAsia" w:ascii="仿宋" w:hAnsi="仿宋" w:eastAsia="仿宋" w:cs="仿宋"/>
          <w:sz w:val="32"/>
          <w:szCs w:val="32"/>
        </w:rPr>
        <w:t>人人讲安全</w:t>
      </w:r>
      <w:r>
        <w:rPr>
          <w:rFonts w:hint="eastAsia" w:ascii="仿宋" w:hAnsi="仿宋" w:eastAsia="仿宋" w:cs="仿宋"/>
          <w:sz w:val="32"/>
          <w:szCs w:val="32"/>
          <w:lang w:eastAsia="zh-CN"/>
        </w:rPr>
        <w:t>，</w:t>
      </w:r>
      <w:r>
        <w:rPr>
          <w:rFonts w:hint="eastAsia" w:ascii="仿宋" w:hAnsi="仿宋" w:eastAsia="仿宋" w:cs="仿宋"/>
          <w:sz w:val="32"/>
          <w:szCs w:val="32"/>
        </w:rPr>
        <w:t>个个会应急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良好安全氛围。</w:t>
      </w:r>
      <w:r>
        <w:rPr>
          <w:rFonts w:hint="eastAsia" w:ascii="Times New Roman" w:hAnsi="Times New Roman" w:eastAsia="仿宋" w:cs="Times New Roman"/>
          <w:b w:val="0"/>
          <w:bCs w:val="0"/>
          <w:sz w:val="32"/>
          <w:szCs w:val="32"/>
          <w:highlight w:val="none"/>
          <w:lang w:val="en-US" w:eastAsia="zh-CN"/>
        </w:rPr>
        <w:t>压实主体责任，确保整改落实，对整改不力的项目严格处罚；强化日常安全生产监管，抓好起重机械等重大危险源管控，确保行业安全形势稳定。</w:t>
      </w:r>
      <w:r>
        <w:rPr>
          <w:rFonts w:hint="eastAsia" w:ascii="Times New Roman" w:hAnsi="Times New Roman" w:eastAsia="仿宋" w:cs="Times New Roman"/>
          <w:b/>
          <w:bCs/>
          <w:sz w:val="32"/>
          <w:szCs w:val="32"/>
          <w:highlight w:val="none"/>
          <w:lang w:val="en-US" w:eastAsia="zh-CN"/>
        </w:rPr>
        <w:t>三是</w:t>
      </w:r>
      <w:r>
        <w:rPr>
          <w:rFonts w:hint="eastAsia" w:ascii="Times New Roman" w:hAnsi="Times New Roman" w:eastAsia="仿宋" w:cs="Times New Roman"/>
          <w:b w:val="0"/>
          <w:bCs w:val="0"/>
          <w:sz w:val="32"/>
          <w:szCs w:val="32"/>
          <w:highlight w:val="none"/>
          <w:lang w:val="en-US" w:eastAsia="zh-CN"/>
        </w:rPr>
        <w:t>继续做好各项行业管理工作，开展公开招投标在建项目标后稽查和汨罗市建筑工程代理机构从业人员核查工作；组织行业学习，开展观摩活动，促进行业管理水平提升。</w:t>
      </w:r>
      <w:r>
        <w:rPr>
          <w:rFonts w:hint="eastAsia" w:ascii="Times New Roman" w:hAnsi="Times New Roman" w:eastAsia="仿宋" w:cs="Times New Roman"/>
          <w:b/>
          <w:bCs/>
          <w:sz w:val="32"/>
          <w:szCs w:val="32"/>
          <w:highlight w:val="none"/>
          <w:lang w:val="en-US" w:eastAsia="zh-CN"/>
        </w:rPr>
        <w:t>四是</w:t>
      </w:r>
      <w:r>
        <w:rPr>
          <w:rFonts w:hint="eastAsia" w:ascii="Times New Roman" w:hAnsi="Times New Roman" w:eastAsia="仿宋" w:cs="Times New Roman"/>
          <w:b w:val="0"/>
          <w:bCs w:val="0"/>
          <w:sz w:val="32"/>
          <w:szCs w:val="32"/>
          <w:highlight w:val="none"/>
          <w:lang w:val="en-US" w:eastAsia="zh-CN"/>
        </w:rPr>
        <w:t>提升管理水平，谋划工作新突破。抓好职工教育培训，提升执业本领，服务监管工作；用好智慧平台，通过实时视频和数据监测开展建筑工地安全生产、质量监管、扬尘防治，农民工实名制管理、</w:t>
      </w:r>
      <w:r>
        <w:rPr>
          <w:rFonts w:hint="eastAsia" w:ascii="Times New Roman" w:hAnsi="Times New Roman" w:eastAsia="仿宋" w:cs="Times New Roman"/>
          <w:b w:val="0"/>
          <w:bCs w:val="0"/>
          <w:strike w:val="0"/>
          <w:dstrike w:val="0"/>
          <w:sz w:val="32"/>
          <w:szCs w:val="32"/>
          <w:highlight w:val="none"/>
          <w:lang w:eastAsia="zh-CN"/>
        </w:rPr>
        <w:t>商品混凝土全过程监管，</w:t>
      </w:r>
      <w:r>
        <w:rPr>
          <w:rFonts w:hint="eastAsia" w:ascii="Times New Roman" w:hAnsi="Times New Roman" w:eastAsia="仿宋" w:cs="Times New Roman"/>
          <w:b w:val="0"/>
          <w:bCs w:val="0"/>
          <w:strike w:val="0"/>
          <w:dstrike w:val="0"/>
          <w:sz w:val="32"/>
          <w:szCs w:val="32"/>
          <w:highlight w:val="none"/>
          <w:lang w:val="en-US" w:eastAsia="zh-CN"/>
        </w:rPr>
        <w:t>提升监管效率，</w:t>
      </w:r>
      <w:r>
        <w:rPr>
          <w:rFonts w:hint="eastAsia" w:ascii="Times New Roman" w:hAnsi="Times New Roman" w:eastAsia="仿宋" w:cs="Times New Roman"/>
          <w:b w:val="0"/>
          <w:bCs w:val="0"/>
          <w:strike w:val="0"/>
          <w:dstrike w:val="0"/>
          <w:sz w:val="32"/>
          <w:szCs w:val="32"/>
          <w:highlight w:val="none"/>
          <w:lang w:eastAsia="zh-CN"/>
        </w:rPr>
        <w:t>确保工程质量</w:t>
      </w:r>
      <w:r>
        <w:rPr>
          <w:rFonts w:hint="eastAsia" w:ascii="Times New Roman" w:hAnsi="Times New Roman" w:eastAsia="仿宋" w:cs="Times New Roman"/>
          <w:b w:val="0"/>
          <w:bCs w:val="0"/>
          <w:strike w:val="0"/>
          <w:dstrike w:val="0"/>
          <w:sz w:val="32"/>
          <w:szCs w:val="32"/>
          <w:highlight w:val="none"/>
          <w:lang w:val="en-US" w:eastAsia="zh-CN"/>
        </w:rPr>
        <w:t>安全</w:t>
      </w:r>
      <w:r>
        <w:rPr>
          <w:rFonts w:hint="eastAsia" w:ascii="Times New Roman" w:hAnsi="Times New Roman" w:eastAsia="仿宋" w:cs="Times New Roman"/>
          <w:b w:val="0"/>
          <w:bCs w:val="0"/>
          <w:strike w:val="0"/>
          <w:dstrike w:val="0"/>
          <w:sz w:val="32"/>
          <w:szCs w:val="32"/>
          <w:highlight w:val="none"/>
          <w:lang w:eastAsia="zh-CN"/>
        </w:rPr>
        <w:t>。</w:t>
      </w:r>
      <w:r>
        <w:rPr>
          <w:rFonts w:hint="eastAsia" w:ascii="Times New Roman" w:hAnsi="Times New Roman" w:eastAsia="仿宋" w:cs="Times New Roman"/>
          <w:b w:val="0"/>
          <w:bCs w:val="0"/>
          <w:strike w:val="0"/>
          <w:dstrike w:val="0"/>
          <w:sz w:val="32"/>
          <w:szCs w:val="32"/>
          <w:highlight w:val="none"/>
          <w:lang w:val="en-US" w:eastAsia="zh-CN"/>
        </w:rPr>
        <w:t>适应建筑检测市场发展，提升立业检测竞争力。稳妥筹备立业检测</w:t>
      </w:r>
      <w:r>
        <w:rPr>
          <w:rFonts w:hint="eastAsia" w:ascii="Times New Roman" w:hAnsi="Times New Roman" w:eastAsia="仿宋" w:cs="Times New Roman"/>
          <w:b w:val="0"/>
          <w:bCs w:val="0"/>
          <w:strike w:val="0"/>
          <w:dstrike w:val="0"/>
          <w:sz w:val="32"/>
          <w:szCs w:val="32"/>
          <w:highlight w:val="none"/>
          <w:lang w:eastAsia="zh-CN"/>
        </w:rPr>
        <w:t>的</w:t>
      </w:r>
      <w:r>
        <w:rPr>
          <w:rFonts w:hint="eastAsia" w:ascii="Times New Roman" w:hAnsi="Times New Roman" w:eastAsia="仿宋" w:cs="Times New Roman"/>
          <w:b w:val="0"/>
          <w:bCs w:val="0"/>
          <w:strike w:val="0"/>
          <w:dstrike w:val="0"/>
          <w:sz w:val="32"/>
          <w:szCs w:val="32"/>
          <w:highlight w:val="none"/>
          <w:lang w:val="en-US" w:eastAsia="zh-CN"/>
        </w:rPr>
        <w:t>增项升级</w:t>
      </w:r>
      <w:r>
        <w:rPr>
          <w:rFonts w:hint="eastAsia" w:ascii="Times New Roman" w:hAnsi="Times New Roman" w:eastAsia="仿宋" w:cs="Times New Roman"/>
          <w:b w:val="0"/>
          <w:bCs w:val="0"/>
          <w:strike w:val="0"/>
          <w:dstrike w:val="0"/>
          <w:sz w:val="32"/>
          <w:szCs w:val="32"/>
          <w:highlight w:val="none"/>
          <w:lang w:eastAsia="zh-CN"/>
        </w:rPr>
        <w:t>、</w:t>
      </w:r>
      <w:r>
        <w:rPr>
          <w:rFonts w:hint="eastAsia" w:ascii="Times New Roman" w:hAnsi="Times New Roman" w:eastAsia="仿宋" w:cs="Times New Roman"/>
          <w:b w:val="0"/>
          <w:bCs w:val="0"/>
          <w:strike w:val="0"/>
          <w:dstrike w:val="0"/>
          <w:sz w:val="32"/>
          <w:szCs w:val="32"/>
          <w:highlight w:val="none"/>
          <w:lang w:val="en-US" w:eastAsia="zh-CN"/>
        </w:rPr>
        <w:t>增项工作，尽快实施人员招聘和试验室升级改造工作</w:t>
      </w:r>
      <w:r>
        <w:rPr>
          <w:rFonts w:hint="eastAsia" w:ascii="Times New Roman" w:hAnsi="Times New Roman" w:eastAsia="仿宋" w:cs="Times New Roman"/>
          <w:b w:val="0"/>
          <w:bCs w:val="0"/>
          <w:strike w:val="0"/>
          <w:dstrike w:val="0"/>
          <w:sz w:val="32"/>
          <w:szCs w:val="32"/>
          <w:highlight w:val="none"/>
          <w:lang w:eastAsia="zh-CN"/>
        </w:rPr>
        <w:t>。</w:t>
      </w:r>
    </w:p>
    <w:p w14:paraId="37ACA1CA">
      <w:pPr>
        <w:numPr>
          <w:ilvl w:val="0"/>
          <w:numId w:val="4"/>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14:paraId="331107FC">
      <w:pPr>
        <w:numPr>
          <w:ilvl w:val="0"/>
          <w:numId w:val="0"/>
        </w:numPr>
        <w:spacing w:line="600" w:lineRule="exact"/>
        <w:ind w:firstLine="640" w:firstLineChars="200"/>
        <w:jc w:val="both"/>
        <w:rPr>
          <w:rFonts w:hint="default" w:ascii="方正黑体_GBK" w:eastAsia="方正黑体_GBK"/>
          <w:kern w:val="0"/>
          <w:sz w:val="32"/>
          <w:szCs w:val="32"/>
          <w:lang w:val="en-US" w:eastAsia="zh-CN"/>
        </w:rPr>
      </w:pPr>
      <w:r>
        <w:rPr>
          <w:rFonts w:hint="eastAsia" w:eastAsia="仿宋_GB2312"/>
          <w:kern w:val="0"/>
          <w:sz w:val="32"/>
          <w:szCs w:val="32"/>
          <w:lang w:val="en-US" w:eastAsia="zh-CN"/>
        </w:rPr>
        <w:t>我们将该绩效自评结果作为以后年度部门预算、资金分配等工作的重要依据，对发现的问题进行整改。将根据要求，在门户网站上对该绩效自评报告进行公开。</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无</w:t>
      </w: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093061A5">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Times New Roman" w:hAnsi="Times New Roman" w:eastAsia="宋体" w:cs="Times New Roman"/>
          <w:position w:val="10"/>
          <w:sz w:val="42"/>
          <w:szCs w:val="42"/>
          <w:lang w:val="en-US" w:eastAsia="zh-CN"/>
        </w:rPr>
        <w:t>质量安全监督管理专项</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汨罗市建筑工程服务中心</w:t>
      </w:r>
      <w:r>
        <w:rPr>
          <w:spacing w:val="-22"/>
          <w:sz w:val="27"/>
          <w:szCs w:val="27"/>
          <w:u w:val="single" w:color="auto"/>
        </w:rPr>
        <w:t>(</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20FF3D8E">
      <w:pPr>
        <w:spacing w:line="223" w:lineRule="auto"/>
        <w:rPr>
          <w:sz w:val="24"/>
          <w:szCs w:val="24"/>
        </w:rPr>
        <w:sectPr>
          <w:footerReference r:id="rId7"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0C0A6FF7">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03ED08F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本项目为住建领域质量安全监管工作开展专项资金，保障全市所有在建项目质量安全巡查、监督管理，正常工作运转经费开支。</w:t>
      </w:r>
    </w:p>
    <w:p w14:paraId="4FE9CFCA">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37B58A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ascii="黑体" w:hAnsi="黑体" w:eastAsia="黑体" w:cs="黑体"/>
          <w:b/>
          <w:bCs/>
          <w:spacing w:val="-15"/>
          <w:sz w:val="31"/>
          <w:szCs w:val="31"/>
          <w:lang w:val="en-US" w:eastAsia="zh-CN"/>
        </w:rPr>
        <w:t xml:space="preserve">     </w:t>
      </w:r>
      <w:r>
        <w:rPr>
          <w:rFonts w:hint="eastAsia" w:eastAsia="仿宋_GB2312"/>
          <w:kern w:val="0"/>
          <w:sz w:val="32"/>
          <w:szCs w:val="32"/>
          <w:lang w:val="en-US" w:eastAsia="zh-CN"/>
        </w:rPr>
        <w:t>本项目根据国办发【2017】19号《国务院办公厅关于促进建筑行业持续健康发展的意见》、建质【2014】153号，建质【2014】154号、湘政办发【2020】36号湖南省 人民政府办公厅印发《关于完善质量保障体系提升建筑工程品质若干措施》、湘建建函【2021】51号省住建厅、省财政厅《关于进一步加强全省建设工程质量安全监督队伍建设的通知》立项。2023年，市财政安排质量安全监督管理专项资金20万元，截止2023年12月31日，项目工作经费开支20万元。</w:t>
      </w:r>
    </w:p>
    <w:p w14:paraId="093A6928">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right="0"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00BA7915">
      <w:pPr>
        <w:pStyle w:val="3"/>
        <w:numPr>
          <w:ilvl w:val="0"/>
          <w:numId w:val="0"/>
        </w:numPr>
        <w:ind w:firstLine="640" w:firstLineChars="200"/>
        <w:rPr>
          <w:rFonts w:hint="default"/>
          <w:lang w:val="en-US" w:eastAsia="zh-CN"/>
        </w:rPr>
      </w:pPr>
      <w:r>
        <w:rPr>
          <w:rFonts w:hint="eastAsia" w:ascii="Arial" w:hAnsi="Arial" w:eastAsia="仿宋_GB2312" w:cs="Arial"/>
          <w:snapToGrid w:val="0"/>
          <w:color w:val="000000"/>
          <w:kern w:val="0"/>
          <w:sz w:val="32"/>
          <w:szCs w:val="32"/>
          <w:lang w:val="en-US" w:eastAsia="zh-CN" w:bidi="ar-SA"/>
        </w:rPr>
        <w:t>项目年度实施进度计划：1、每月一次全覆盖质量安全巡查；2、每季度一次全覆盖质量安全考评。主要包括绩效总目标和阶段性目标，实现产出情况和取得的效益情况。本年度绩效目标：严格把控在建项目质量安全，确保住建领域全年零事故。已全部完成任务。</w:t>
      </w:r>
    </w:p>
    <w:p w14:paraId="6732EB4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237600F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2023年度，在市委、市政府的正确领导下，市住建局及上级主管部门的关心指导下，我站结合工作实际，深入贯彻习近平总书记关于安全生产重要指示批示精神，坚持“人民至上、生命至上、安全第一”的安全生产理念，紧紧围绕打好建筑领域安全生产翻身仗为目标，扎实开展了各项专项治理工作，采取多查多督、加强执法的办法，确保各项工作落到实处。</w:t>
      </w:r>
    </w:p>
    <w:p w14:paraId="15E626A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由于受三年疫情、能源紧张影响，全球经济下行，汨罗房地产、工业实体也受到了不同程度的影响，考虑到各项目的难度及全市营商环境，我们更多的是采用查隐患、督整改的办法严控项目质量安全。</w:t>
      </w:r>
    </w:p>
    <w:p w14:paraId="1CD9EDB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起重设备管控不好，极易发生较大以上安全事故，我站从起重机械设备入手，加大危大工程管控。使这易失控、最易发生较大以上事故的重大危险源得到强有力管控，极大降低了发生较大以上安全事故概率。</w:t>
      </w:r>
    </w:p>
    <w:p w14:paraId="42D8657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强化安全生产监督指导，采取加强行业教育，提醒、警示、约谈，限期整改、停工整改、行政处罚、立案查处等多种手段，多种形式督促参与建设主体责任单位提高安全生产意识，履行安全生产责任。</w:t>
      </w:r>
    </w:p>
    <w:p w14:paraId="10653C9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提高站位，高标准推动专项工作。</w:t>
      </w:r>
    </w:p>
    <w:p w14:paraId="21CA0D0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认真贯彻落实建筑行业安全生产监管责任，确保我市住建领域安全生产形势稳定，我站按照上级相关工作安排，对全市违建项目进行排查整治。集中约谈了未办施工许可、未竣工验收备案等违法建设项目的责任单位主要负责人，针对每个违法项目具体情况，明确了整治目标期限任务和责任人，明确专人指导督促项目限时整改。整治行动取得了较好的成效。</w:t>
      </w:r>
    </w:p>
    <w:p w14:paraId="6F08B20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深入践行习总书记绿色发展理念，坚决落实责任，打好蓝天保卫战。</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4D449D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2023年度，在市委、市政府的正确领导下，市住建局及上级主管部门的关心指导下，我站结合工作实际，扎实开展了各项专项治理工作，采取多查多督、加强执法的办法，确保各项工作落到实处。推动了大气特护期、农民工工资实名制、关键岗位人员到岗履职、安全文明施工、文明城市创建等工作的落实。并在建筑施工重点领域制定了安全生产翻身仗方案，围绕两节、两会及节后复工复产开展了一系列活动，进行了全方位事故隐患排查整治活动，加强了新安全生产法的宣传与学习、房屋市政工程生产安全重大事故隐患判定标准（2022版）的学习与落实、安全质量专项检查行动，加大了对安全生产工作的监管力度，积极开展建筑施工安全生产隐患排查治理、安全质量专项整治、安全生产标准化创建、安全生产月启动和质量安全管理标准化工地观摩、消防演练、防高空坠落等应急演练、起重机械设备监督委检、第三方检测机构质量阶段检测等一系列活动，确保全市建筑领域工程建设的质量安全。通过采取切实有效措施，努力做好建筑安全管理工作，促进全市安全生产形势持续稳定向好。</w:t>
      </w:r>
    </w:p>
    <w:p w14:paraId="5182F8CD">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基本情况</w:t>
      </w:r>
    </w:p>
    <w:p w14:paraId="0BDDB3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55"/>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我站全年监管房屋工程项目101个，总建筑面积约285.17万平方米，总造价约51.53亿元，市政工程项目11个，总造价约6.83亿元。全年竣工验收项目共38个，目前在建房屋和市政项目共74个（房屋工程68个，市政工程6个），其中在建项目44个，停工项目16个，未开工项目14个。</w:t>
      </w:r>
    </w:p>
    <w:p w14:paraId="29BDF1EF">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工作回顾</w:t>
      </w:r>
    </w:p>
    <w:p w14:paraId="24FF7A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55"/>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（一）</w:t>
      </w:r>
      <w:r>
        <w:rPr>
          <w:rFonts w:hint="default" w:eastAsia="仿宋_GB2312"/>
          <w:kern w:val="0"/>
          <w:sz w:val="32"/>
          <w:szCs w:val="32"/>
          <w:lang w:val="en-US" w:eastAsia="zh-CN"/>
        </w:rPr>
        <w:t>督整改、兼执法，见实效。我们</w:t>
      </w:r>
      <w:r>
        <w:rPr>
          <w:rFonts w:hint="eastAsia" w:eastAsia="仿宋_GB2312"/>
          <w:kern w:val="0"/>
          <w:sz w:val="32"/>
          <w:szCs w:val="32"/>
          <w:lang w:val="en-US" w:eastAsia="zh-CN"/>
        </w:rPr>
        <w:t>在工作</w:t>
      </w:r>
      <w:r>
        <w:rPr>
          <w:rFonts w:hint="default" w:eastAsia="仿宋_GB2312"/>
          <w:kern w:val="0"/>
          <w:sz w:val="32"/>
          <w:szCs w:val="32"/>
          <w:lang w:val="en-US" w:eastAsia="zh-CN"/>
        </w:rPr>
        <w:t>采用查隐患、督整改的办法严控项目质量安全。坚决做到该停工整改的停工整改，该限期整改的限期整改，对敷衍整改的坚决立案查处，绝不带病施工。同时做到涉及起重机械设备违法违规的，发现一起，查处一起，绝不姑息迁就。全年共开展专项检查11次，共下发隐患整改通知书232份、下发停工整改通知书45份，下发催办通知13份，消除质量安全隐患2092条，记录红黄牌101份，记录不良行为29起，2023年共移交案件调线索17起，记项目安全质量考评不合格6份。将强执法深入到建筑施工的各个环节，覆盖了包括工业项目、市政项目、装修项目等，形成了全过程、全方位的严监管新局面。</w:t>
      </w:r>
    </w:p>
    <w:p w14:paraId="4FC09D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55"/>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二）准切入，除隐患，保平安。全年委托第三方专业检测机构对全市在用起重机械设备进行了4次全覆盖监督比对检测，检测中共发现安全隐患932余处，强制拆除1台、现场封停9台；目前已形成了一套“季度强制检测，存在重大安全隐患的一律封停或强制拆除，重大环节监管不到位，操作违规的一律严处”的行之有效的起重设备管控机制。</w:t>
      </w:r>
    </w:p>
    <w:p w14:paraId="5B5FF25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55"/>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全年组织召开全市质量安全管理专项会议13次，打非治违专项会议4次，召开质量安全警示约谈会11次，招开扬尘防治约谈会2次。认真开展了建设工程“安全生产月”活动、“重大节假日专项督查”、“恶劣天气专项督查”、“蓝天保卫销号督查”、岳阳市安全生产委员会督查、省市级住建部门安全生产工作督查、安全生产大检查、巡视组交办事项等专项工作。按照年初计划对各在建项目开展了月例行检查及专项检查，对检查中发现的质量安全隐患下发整改通知书并限期整改，针对安全隐患突出的项目和单位进行警示约谈，对违法违规责任主体进行了严厉处罚，及时公示曝光，同时对项目管理工作显著突出的项目进行通报表彰。做到日常巡查和专项检查相结合，实现了每月一巡查，每季一大检，半年一讲评的机制，持续保持了质量安全监管的高压态势。安全生产月组织部分项目的施工单位、监理单位、建设单位负责人到湘阴进行现场观摩，让各项目关键岗位人员对标找差，强化责任意识质量标准。</w:t>
      </w:r>
    </w:p>
    <w:p w14:paraId="5570D03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55"/>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突出重点，加强对非常时期、重点部位和薄弱环节的专项治理。通过深入开展安全专项整治工作，进一步强化施工安全管理和文明施工、全面落实建筑施工企业等各方责任主体安全生产责任、排除施工现场安全隐患，有效防范深基坑、模板支撑系统、脚手架、起重机械等群死群伤事故的发生。</w:t>
      </w:r>
    </w:p>
    <w:p w14:paraId="3CC1D28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55"/>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三）高站位、强推进，重落实。提高站位，高标准推动专项工作。继续强有力推进智慧工地监管系统，借助科技力量实现数字化、远程监督管理手段，对各项目的扬尘防治、劳务实名考勤及现场质量安全进行远程监督。全市所有在建项目均已按省厅要求进行劳务实名制上下班打卡，并全部在银行设立工资分帐专户。并根据实名制平台提供实时数据对项目存在的相关问题进行整改和处理。</w:t>
      </w:r>
    </w:p>
    <w:p w14:paraId="312C28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55"/>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吸取长沙4.29自建民房倒塌事故教训，结合安全生产专项整治三年行动，强力开展了住建领域安全生产大检查、打非治违专项整治工作，对全市违建项目进行排查整治。专项整治行动以来，我站借助集中约谈会开展集中培训告知3次，组织专班上门现场指导4次，接受业务咨询指导40余次，指导项目整改。</w:t>
      </w:r>
    </w:p>
    <w:p w14:paraId="576BF5B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55"/>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将扬尘防治“6个100%”作为项目开工前安全条件审查重点，在项目施工过程监管中严格执法，督促项目施工全过程做到六个百分百达标。结合“安全生产月”、“大气特护期”、文明城市创建活动开展扬尘专项治理工作，共督促全市项目新装自动降尘喷淋等设备共38台套，增加和更新项目围档及广告2万多平，其中二十大精神、新时代新征程争出彩、核心价值观、文明城市创建等内容刊载面积达到整体面积的30%左右。</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E93AE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117F410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建设工程监管智慧平台利用率还不够，还需进一步提高智慧平台使用率，借助科技手段提高管理效能。</w:t>
      </w:r>
    </w:p>
    <w:p w14:paraId="58DE1297">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4EDFDB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无</w:t>
      </w:r>
    </w:p>
    <w:p w14:paraId="6BBCD63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27B8232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3DA7FC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07B24C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6688469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727406F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1A365A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1E11300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7014E75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4773EDA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458DCF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7055B3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32DAF497">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Times New Roman" w:hAnsi="Times New Roman" w:eastAsia="宋体" w:cs="Times New Roman"/>
          <w:position w:val="10"/>
          <w:sz w:val="42"/>
          <w:szCs w:val="42"/>
          <w:lang w:val="en-US" w:eastAsia="zh-CN"/>
        </w:rPr>
        <w:t>招投标监督管理专项</w:t>
      </w:r>
      <w:r>
        <w:rPr>
          <w:rFonts w:ascii="黑体" w:hAnsi="黑体" w:eastAsia="黑体" w:cs="黑体"/>
          <w:spacing w:val="15"/>
          <w:position w:val="10"/>
          <w:sz w:val="42"/>
          <w:szCs w:val="42"/>
        </w:rPr>
        <w:t>项目支出</w:t>
      </w:r>
    </w:p>
    <w:p w14:paraId="065F4FD3">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EA8AD2A">
      <w:pPr>
        <w:spacing w:line="246" w:lineRule="auto"/>
        <w:rPr>
          <w:rFonts w:ascii="Arial"/>
          <w:sz w:val="21"/>
        </w:rPr>
      </w:pPr>
    </w:p>
    <w:p w14:paraId="4CC26DC2">
      <w:pPr>
        <w:spacing w:line="246" w:lineRule="auto"/>
        <w:rPr>
          <w:rFonts w:ascii="Arial"/>
          <w:sz w:val="21"/>
        </w:rPr>
      </w:pPr>
    </w:p>
    <w:p w14:paraId="28922AF8">
      <w:pPr>
        <w:spacing w:line="246" w:lineRule="auto"/>
        <w:rPr>
          <w:rFonts w:ascii="Arial"/>
          <w:sz w:val="21"/>
        </w:rPr>
      </w:pPr>
    </w:p>
    <w:p w14:paraId="50038E3E">
      <w:pPr>
        <w:spacing w:line="246" w:lineRule="auto"/>
        <w:rPr>
          <w:rFonts w:ascii="Arial"/>
          <w:sz w:val="21"/>
        </w:rPr>
      </w:pPr>
    </w:p>
    <w:p w14:paraId="24F4D549">
      <w:pPr>
        <w:spacing w:line="246" w:lineRule="auto"/>
        <w:rPr>
          <w:rFonts w:ascii="Arial"/>
          <w:sz w:val="21"/>
        </w:rPr>
      </w:pPr>
    </w:p>
    <w:p w14:paraId="1C1F0326">
      <w:pPr>
        <w:spacing w:line="246" w:lineRule="auto"/>
        <w:rPr>
          <w:rFonts w:ascii="Arial"/>
          <w:sz w:val="21"/>
        </w:rPr>
      </w:pPr>
    </w:p>
    <w:p w14:paraId="0350EC41">
      <w:pPr>
        <w:spacing w:line="246" w:lineRule="auto"/>
        <w:rPr>
          <w:rFonts w:ascii="Arial"/>
          <w:sz w:val="21"/>
        </w:rPr>
      </w:pPr>
    </w:p>
    <w:p w14:paraId="582EE30A">
      <w:pPr>
        <w:spacing w:line="246" w:lineRule="auto"/>
        <w:rPr>
          <w:rFonts w:ascii="Arial"/>
          <w:sz w:val="21"/>
        </w:rPr>
      </w:pPr>
    </w:p>
    <w:p w14:paraId="5378880E">
      <w:pPr>
        <w:spacing w:line="246" w:lineRule="auto"/>
        <w:rPr>
          <w:rFonts w:ascii="Arial"/>
          <w:sz w:val="21"/>
        </w:rPr>
      </w:pPr>
    </w:p>
    <w:p w14:paraId="1D624F83">
      <w:pPr>
        <w:spacing w:line="246" w:lineRule="auto"/>
        <w:rPr>
          <w:rFonts w:ascii="Arial"/>
          <w:sz w:val="21"/>
        </w:rPr>
      </w:pPr>
    </w:p>
    <w:p w14:paraId="543405C4">
      <w:pPr>
        <w:spacing w:line="246" w:lineRule="auto"/>
        <w:rPr>
          <w:rFonts w:ascii="Arial"/>
          <w:sz w:val="21"/>
        </w:rPr>
      </w:pPr>
    </w:p>
    <w:p w14:paraId="448DB28E">
      <w:pPr>
        <w:spacing w:line="246" w:lineRule="auto"/>
        <w:rPr>
          <w:rFonts w:ascii="Arial"/>
          <w:sz w:val="21"/>
        </w:rPr>
      </w:pPr>
    </w:p>
    <w:p w14:paraId="05CCFFA0">
      <w:pPr>
        <w:spacing w:line="246" w:lineRule="auto"/>
        <w:rPr>
          <w:rFonts w:ascii="Arial"/>
          <w:sz w:val="21"/>
        </w:rPr>
      </w:pPr>
    </w:p>
    <w:p w14:paraId="378FC34A">
      <w:pPr>
        <w:spacing w:line="246" w:lineRule="auto"/>
        <w:rPr>
          <w:rFonts w:ascii="Arial"/>
          <w:sz w:val="21"/>
        </w:rPr>
      </w:pPr>
    </w:p>
    <w:p w14:paraId="2CC6D660">
      <w:pPr>
        <w:spacing w:line="246" w:lineRule="auto"/>
        <w:rPr>
          <w:rFonts w:ascii="Arial"/>
          <w:sz w:val="21"/>
        </w:rPr>
      </w:pPr>
    </w:p>
    <w:p w14:paraId="0D7AA9EA">
      <w:pPr>
        <w:spacing w:line="246" w:lineRule="auto"/>
        <w:rPr>
          <w:rFonts w:ascii="Arial"/>
          <w:sz w:val="21"/>
        </w:rPr>
      </w:pPr>
    </w:p>
    <w:p w14:paraId="5DF19CCD">
      <w:pPr>
        <w:spacing w:line="246" w:lineRule="auto"/>
        <w:rPr>
          <w:rFonts w:ascii="Arial"/>
          <w:sz w:val="21"/>
        </w:rPr>
      </w:pPr>
    </w:p>
    <w:p w14:paraId="23D23537">
      <w:pPr>
        <w:spacing w:line="247" w:lineRule="auto"/>
        <w:rPr>
          <w:rFonts w:ascii="Arial"/>
          <w:sz w:val="21"/>
        </w:rPr>
      </w:pPr>
    </w:p>
    <w:p w14:paraId="474DFD77">
      <w:pPr>
        <w:spacing w:line="247" w:lineRule="auto"/>
        <w:rPr>
          <w:rFonts w:ascii="Arial"/>
          <w:sz w:val="21"/>
        </w:rPr>
      </w:pPr>
    </w:p>
    <w:p w14:paraId="120DB57E">
      <w:pPr>
        <w:spacing w:line="247" w:lineRule="auto"/>
        <w:rPr>
          <w:rFonts w:ascii="Arial"/>
          <w:sz w:val="21"/>
        </w:rPr>
      </w:pPr>
    </w:p>
    <w:p w14:paraId="4E5E1757">
      <w:pPr>
        <w:spacing w:line="247" w:lineRule="auto"/>
        <w:rPr>
          <w:rFonts w:ascii="Arial"/>
          <w:sz w:val="21"/>
        </w:rPr>
      </w:pPr>
    </w:p>
    <w:p w14:paraId="0CE30873">
      <w:pPr>
        <w:spacing w:line="247" w:lineRule="auto"/>
        <w:rPr>
          <w:rFonts w:ascii="Arial"/>
          <w:sz w:val="21"/>
        </w:rPr>
      </w:pPr>
    </w:p>
    <w:p w14:paraId="3FE614E2">
      <w:pPr>
        <w:spacing w:line="247" w:lineRule="auto"/>
        <w:rPr>
          <w:rFonts w:ascii="Arial"/>
          <w:sz w:val="21"/>
        </w:rPr>
      </w:pPr>
    </w:p>
    <w:p w14:paraId="11F285C9">
      <w:pPr>
        <w:spacing w:line="247" w:lineRule="auto"/>
        <w:rPr>
          <w:rFonts w:ascii="Arial"/>
          <w:sz w:val="21"/>
        </w:rPr>
      </w:pPr>
    </w:p>
    <w:p w14:paraId="6816F594">
      <w:pPr>
        <w:spacing w:line="247" w:lineRule="auto"/>
        <w:rPr>
          <w:rFonts w:ascii="Arial"/>
          <w:sz w:val="21"/>
        </w:rPr>
      </w:pPr>
    </w:p>
    <w:p w14:paraId="7DB3AE8B">
      <w:pPr>
        <w:spacing w:line="247" w:lineRule="auto"/>
        <w:rPr>
          <w:rFonts w:ascii="Arial"/>
          <w:sz w:val="21"/>
        </w:rPr>
      </w:pPr>
    </w:p>
    <w:p w14:paraId="3CF9CDE3">
      <w:pPr>
        <w:spacing w:line="247" w:lineRule="auto"/>
        <w:rPr>
          <w:rFonts w:ascii="Arial"/>
          <w:sz w:val="21"/>
        </w:rPr>
      </w:pPr>
    </w:p>
    <w:p w14:paraId="49D02EBA">
      <w:pPr>
        <w:spacing w:line="247" w:lineRule="auto"/>
        <w:rPr>
          <w:rFonts w:ascii="Arial"/>
          <w:sz w:val="21"/>
        </w:rPr>
      </w:pPr>
    </w:p>
    <w:p w14:paraId="373E8CF6">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汨罗市建筑工程服务中心</w:t>
      </w:r>
      <w:r>
        <w:rPr>
          <w:spacing w:val="-22"/>
          <w:sz w:val="27"/>
          <w:szCs w:val="27"/>
          <w:u w:val="single" w:color="auto"/>
        </w:rPr>
        <w:t>(</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14:paraId="6E787C18">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22CC59E3">
      <w:pPr>
        <w:spacing w:line="223" w:lineRule="auto"/>
        <w:rPr>
          <w:sz w:val="24"/>
          <w:szCs w:val="24"/>
        </w:rPr>
        <w:sectPr>
          <w:footerReference r:id="rId8" w:type="default"/>
          <w:pgSz w:w="11900" w:h="16820"/>
          <w:pgMar w:top="1429" w:right="1782" w:bottom="1158" w:left="1450" w:header="0" w:footer="850" w:gutter="0"/>
          <w:cols w:space="720" w:num="1"/>
        </w:sectPr>
      </w:pPr>
    </w:p>
    <w:p w14:paraId="407A3127">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415A160F">
      <w:pPr>
        <w:spacing w:before="190" w:line="227" w:lineRule="auto"/>
        <w:ind w:left="3670"/>
        <w:rPr>
          <w:rFonts w:ascii="楷体" w:hAnsi="楷体" w:eastAsia="楷体" w:cs="楷体"/>
          <w:sz w:val="31"/>
          <w:szCs w:val="31"/>
        </w:rPr>
      </w:pPr>
    </w:p>
    <w:p w14:paraId="5FA879F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4FF4A37D">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40AA0A0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本项目为全市建筑工程领域招投标突出问题专项整治，全市建筑工程领域招投标监督管理的工作经费开支。</w:t>
      </w:r>
    </w:p>
    <w:p w14:paraId="78DFE728">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288CB3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ascii="黑体" w:hAnsi="黑体" w:eastAsia="黑体" w:cs="黑体"/>
          <w:b/>
          <w:bCs/>
          <w:spacing w:val="-15"/>
          <w:sz w:val="31"/>
          <w:szCs w:val="31"/>
          <w:lang w:val="en-US" w:eastAsia="zh-CN"/>
        </w:rPr>
        <w:t xml:space="preserve">     </w:t>
      </w:r>
      <w:r>
        <w:rPr>
          <w:rFonts w:hint="eastAsia" w:eastAsia="仿宋_GB2312"/>
          <w:kern w:val="0"/>
          <w:sz w:val="32"/>
          <w:szCs w:val="32"/>
          <w:lang w:val="en-US" w:eastAsia="zh-CN"/>
        </w:rPr>
        <w:t>本项目根据岳公管委【2020】2号关于印发《岳阳市进一步开展工程建设项目招标突出问题专项整治工作方案》的通知、《2022岳阳市住建领域招投标突出问题专项整治工作方案》立项。2023，市财政安排招投标监督管理专项资金5万元，截止2023年12月31日，此项目工作经费开支5万元。</w:t>
      </w:r>
    </w:p>
    <w:p w14:paraId="3D65E547">
      <w:pPr>
        <w:pStyle w:val="2"/>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right="0"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411F65DC">
      <w:pPr>
        <w:pStyle w:val="3"/>
        <w:numPr>
          <w:ilvl w:val="0"/>
          <w:numId w:val="0"/>
        </w:numPr>
        <w:ind w:firstLine="640" w:firstLineChars="200"/>
        <w:rPr>
          <w:rFonts w:hint="default"/>
          <w:lang w:val="en-US" w:eastAsia="zh-CN"/>
        </w:rPr>
      </w:pPr>
      <w:r>
        <w:rPr>
          <w:rFonts w:hint="eastAsia" w:eastAsia="仿宋_GB2312" w:cs="Arial"/>
          <w:snapToGrid w:val="0"/>
          <w:color w:val="000000"/>
          <w:kern w:val="0"/>
          <w:sz w:val="32"/>
          <w:szCs w:val="32"/>
          <w:lang w:val="en-US" w:eastAsia="zh-CN" w:bidi="ar-SA"/>
        </w:rPr>
        <w:t>通过专项整治，维护公平公正的招投标市场秩序，优化营商环境，有效的杜绝招投标市场乱象</w:t>
      </w:r>
      <w:r>
        <w:rPr>
          <w:rFonts w:hint="eastAsia" w:ascii="Arial" w:hAnsi="Arial" w:eastAsia="仿宋_GB2312" w:cs="Arial"/>
          <w:snapToGrid w:val="0"/>
          <w:color w:val="000000"/>
          <w:kern w:val="0"/>
          <w:sz w:val="32"/>
          <w:szCs w:val="32"/>
          <w:lang w:val="en-US" w:eastAsia="zh-CN" w:bidi="ar-SA"/>
        </w:rPr>
        <w:t>。</w:t>
      </w:r>
    </w:p>
    <w:p w14:paraId="73504D4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rPr>
        <w:t>绩效评价工作情况</w:t>
      </w:r>
    </w:p>
    <w:p w14:paraId="5CF285DD">
      <w:pPr>
        <w:keepNext w:val="0"/>
        <w:keepLines w:val="0"/>
        <w:pageBreakBefore w:val="0"/>
        <w:overflowPunct/>
        <w:topLinePunct w:val="0"/>
        <w:bidi w:val="0"/>
        <w:spacing w:line="44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2023年</w:t>
      </w:r>
      <w:r>
        <w:rPr>
          <w:rFonts w:hint="eastAsia" w:ascii="仿宋" w:hAnsi="仿宋" w:eastAsia="仿宋" w:cs="仿宋"/>
          <w:sz w:val="30"/>
          <w:szCs w:val="30"/>
          <w:lang w:val="en-US" w:eastAsia="zh-CN"/>
        </w:rPr>
        <w:t>建筑工程公开招标项目共计14个，中标金额合计为78089.7763万元。根据《湖南省房屋建筑和市政基础设施工程招标投标管理办法》(湘政办发〔2019〕31号)文件要求，我单位监管方式为</w:t>
      </w:r>
      <w:r>
        <w:rPr>
          <w:rFonts w:hint="eastAsia" w:ascii="仿宋" w:hAnsi="仿宋" w:eastAsia="仿宋" w:cs="仿宋"/>
          <w:sz w:val="30"/>
          <w:szCs w:val="30"/>
        </w:rPr>
        <w:t>事中事后监管，实行招标人负责制。在招标全过程中，对制定招标工作计划</w:t>
      </w:r>
      <w:r>
        <w:rPr>
          <w:rFonts w:hint="eastAsia" w:ascii="仿宋" w:hAnsi="仿宋" w:eastAsia="仿宋" w:cs="仿宋"/>
          <w:sz w:val="30"/>
          <w:szCs w:val="30"/>
          <w:lang w:eastAsia="zh-CN"/>
        </w:rPr>
        <w:t>、</w:t>
      </w:r>
      <w:r>
        <w:rPr>
          <w:rFonts w:hint="eastAsia" w:ascii="仿宋" w:hAnsi="仿宋" w:eastAsia="仿宋" w:cs="仿宋"/>
          <w:sz w:val="30"/>
          <w:szCs w:val="30"/>
        </w:rPr>
        <w:t>组织招标资格审查、编制、标底和评标工作</w:t>
      </w:r>
      <w:r>
        <w:rPr>
          <w:rFonts w:hint="eastAsia" w:ascii="仿宋" w:hAnsi="仿宋" w:eastAsia="仿宋" w:cs="仿宋"/>
          <w:sz w:val="30"/>
          <w:szCs w:val="30"/>
          <w:lang w:eastAsia="zh-CN"/>
        </w:rPr>
        <w:t>、</w:t>
      </w:r>
      <w:r>
        <w:rPr>
          <w:rFonts w:hint="eastAsia" w:ascii="仿宋" w:hAnsi="仿宋" w:eastAsia="仿宋" w:cs="仿宋"/>
          <w:sz w:val="30"/>
          <w:szCs w:val="30"/>
        </w:rPr>
        <w:t>确定开标时间和地点</w:t>
      </w:r>
      <w:r>
        <w:rPr>
          <w:rFonts w:hint="eastAsia" w:ascii="仿宋" w:hAnsi="仿宋" w:eastAsia="仿宋" w:cs="仿宋"/>
          <w:sz w:val="30"/>
          <w:szCs w:val="30"/>
          <w:lang w:eastAsia="zh-CN"/>
        </w:rPr>
        <w:t>、</w:t>
      </w:r>
      <w:r>
        <w:rPr>
          <w:rFonts w:hint="eastAsia" w:ascii="仿宋" w:hAnsi="仿宋" w:eastAsia="仿宋" w:cs="仿宋"/>
          <w:sz w:val="30"/>
          <w:szCs w:val="30"/>
        </w:rPr>
        <w:t>确定中标人</w:t>
      </w:r>
      <w:r>
        <w:rPr>
          <w:rFonts w:hint="eastAsia" w:ascii="仿宋" w:hAnsi="仿宋" w:eastAsia="仿宋" w:cs="仿宋"/>
          <w:sz w:val="30"/>
          <w:szCs w:val="30"/>
          <w:lang w:eastAsia="zh-CN"/>
        </w:rPr>
        <w:t>、</w:t>
      </w:r>
      <w:r>
        <w:rPr>
          <w:rFonts w:hint="eastAsia" w:ascii="仿宋" w:hAnsi="仿宋" w:eastAsia="仿宋" w:cs="仿宋"/>
          <w:sz w:val="30"/>
          <w:szCs w:val="30"/>
        </w:rPr>
        <w:t>发出中标通知书和签订合同等事项依法由</w:t>
      </w:r>
      <w:r>
        <w:rPr>
          <w:rFonts w:hint="eastAsia" w:ascii="仿宋" w:hAnsi="仿宋" w:eastAsia="仿宋" w:cs="仿宋"/>
          <w:sz w:val="30"/>
          <w:szCs w:val="30"/>
          <w:lang w:val="en-US" w:eastAsia="zh-CN"/>
        </w:rPr>
        <w:t>招标人</w:t>
      </w:r>
      <w:r>
        <w:rPr>
          <w:rFonts w:hint="eastAsia" w:ascii="仿宋" w:hAnsi="仿宋" w:eastAsia="仿宋" w:cs="仿宋"/>
          <w:sz w:val="30"/>
          <w:szCs w:val="30"/>
        </w:rPr>
        <w:t>自主决定。我</w:t>
      </w:r>
      <w:r>
        <w:rPr>
          <w:rFonts w:hint="eastAsia" w:ascii="仿宋" w:hAnsi="仿宋" w:eastAsia="仿宋" w:cs="仿宋"/>
          <w:sz w:val="30"/>
          <w:szCs w:val="30"/>
          <w:lang w:val="en-US" w:eastAsia="zh-CN"/>
        </w:rPr>
        <w:t>办</w:t>
      </w:r>
      <w:r>
        <w:rPr>
          <w:rFonts w:hint="eastAsia" w:ascii="仿宋" w:hAnsi="仿宋" w:eastAsia="仿宋" w:cs="仿宋"/>
          <w:sz w:val="30"/>
          <w:szCs w:val="30"/>
        </w:rPr>
        <w:t>负责监督</w:t>
      </w:r>
      <w:r>
        <w:rPr>
          <w:rFonts w:hint="eastAsia" w:ascii="仿宋" w:hAnsi="仿宋" w:eastAsia="仿宋" w:cs="仿宋"/>
          <w:sz w:val="30"/>
          <w:szCs w:val="30"/>
          <w:lang w:eastAsia="zh-CN"/>
        </w:rPr>
        <w:t>招标人</w:t>
      </w:r>
      <w:r>
        <w:rPr>
          <w:rFonts w:hint="eastAsia" w:ascii="仿宋" w:hAnsi="仿宋" w:eastAsia="仿宋" w:cs="仿宋"/>
          <w:sz w:val="30"/>
          <w:szCs w:val="30"/>
        </w:rPr>
        <w:t>招标实施过程中是否存在违法违规行为，主要监督的内容有必须进行招标的项目是否不依法进行招标；招标投标活动是否不按法定程序和规则进行，这其中包括：招标项目不具备招标条件，招标人不按照核准方式和原则开展招标工作，招标文件内容不合法，招标、评标过程不公正、不公开、不公平，中标人的确定不合法等</w:t>
      </w:r>
      <w:r>
        <w:rPr>
          <w:rFonts w:hint="eastAsia" w:ascii="仿宋" w:hAnsi="仿宋" w:eastAsia="仿宋" w:cs="仿宋"/>
          <w:sz w:val="30"/>
          <w:szCs w:val="30"/>
          <w:lang w:eastAsia="zh-CN"/>
        </w:rPr>
        <w:t>。</w:t>
      </w:r>
    </w:p>
    <w:p w14:paraId="506310D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0AA5D26B">
      <w:pPr>
        <w:pStyle w:val="7"/>
        <w:keepNext w:val="0"/>
        <w:keepLines w:val="0"/>
        <w:pageBreakBefore w:val="0"/>
        <w:widowControl/>
        <w:suppressLineNumbers w:val="0"/>
        <w:wordWrap/>
        <w:overflowPunct/>
        <w:topLinePunct w:val="0"/>
        <w:bidi w:val="0"/>
        <w:spacing w:before="0" w:beforeAutospacing="0" w:after="0" w:afterAutospacing="0" w:line="440" w:lineRule="exact"/>
        <w:ind w:left="0" w:leftChars="0" w:righ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color="auto" w:fill="FFFFFF"/>
        </w:rPr>
        <w:t>建</w:t>
      </w:r>
      <w:r>
        <w:rPr>
          <w:rFonts w:hint="eastAsia" w:ascii="仿宋" w:hAnsi="仿宋" w:eastAsia="仿宋" w:cs="仿宋"/>
          <w:color w:val="auto"/>
          <w:sz w:val="32"/>
          <w:szCs w:val="32"/>
          <w:shd w:val="clear" w:color="auto" w:fill="FFFFFF"/>
          <w:lang w:eastAsia="zh-CN"/>
        </w:rPr>
        <w:t>筑</w:t>
      </w:r>
      <w:r>
        <w:rPr>
          <w:rFonts w:hint="eastAsia" w:ascii="仿宋" w:hAnsi="仿宋" w:eastAsia="仿宋" w:cs="仿宋"/>
          <w:color w:val="auto"/>
          <w:sz w:val="32"/>
          <w:szCs w:val="32"/>
          <w:shd w:val="clear" w:color="auto" w:fill="FFFFFF"/>
        </w:rPr>
        <w:t>工程招投标是一项严肃且有着严谨程序的工作，加强招投标工作监管，是保障建</w:t>
      </w:r>
      <w:r>
        <w:rPr>
          <w:rFonts w:hint="eastAsia" w:ascii="仿宋" w:hAnsi="仿宋" w:eastAsia="仿宋" w:cs="仿宋"/>
          <w:color w:val="auto"/>
          <w:sz w:val="32"/>
          <w:szCs w:val="32"/>
          <w:shd w:val="clear" w:color="auto" w:fill="FFFFFF"/>
          <w:lang w:eastAsia="zh-CN"/>
        </w:rPr>
        <w:t>筑</w:t>
      </w:r>
      <w:r>
        <w:rPr>
          <w:rFonts w:hint="eastAsia" w:ascii="仿宋" w:hAnsi="仿宋" w:eastAsia="仿宋" w:cs="仿宋"/>
          <w:color w:val="auto"/>
          <w:sz w:val="32"/>
          <w:szCs w:val="32"/>
          <w:shd w:val="clear" w:color="auto" w:fill="FFFFFF"/>
        </w:rPr>
        <w:t>工程项目健康实施的基础性关键环节和良好开端。牢固树立法制意识和廉政意识，规范运作，强化监管，创新机制，推动招投标工作健康有序开展，不断深化廉政建设，有效服务工程建设</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专项</w:t>
      </w:r>
      <w:r>
        <w:rPr>
          <w:rFonts w:hint="eastAsia" w:ascii="仿宋" w:hAnsi="仿宋" w:eastAsia="仿宋" w:cs="仿宋"/>
          <w:color w:val="auto"/>
          <w:sz w:val="32"/>
          <w:szCs w:val="32"/>
          <w:shd w:val="clear" w:color="auto" w:fill="FFFFFF"/>
          <w:lang w:eastAsia="zh-CN"/>
        </w:rPr>
        <w:t>整治行动开展以来，我</w:t>
      </w:r>
      <w:r>
        <w:rPr>
          <w:rFonts w:hint="eastAsia" w:ascii="仿宋" w:hAnsi="仿宋" w:eastAsia="仿宋" w:cs="仿宋"/>
          <w:color w:val="auto"/>
          <w:sz w:val="32"/>
          <w:szCs w:val="32"/>
          <w:shd w:val="clear" w:color="auto" w:fill="FFFFFF"/>
          <w:lang w:val="en-US" w:eastAsia="zh-CN"/>
        </w:rPr>
        <w:t>单位标后稽查执法情况</w:t>
      </w:r>
      <w:r>
        <w:rPr>
          <w:rFonts w:hint="eastAsia" w:ascii="仿宋" w:hAnsi="仿宋" w:eastAsia="仿宋" w:cs="仿宋"/>
          <w:color w:val="auto"/>
          <w:sz w:val="32"/>
          <w:szCs w:val="32"/>
          <w:shd w:val="clear" w:color="auto" w:fill="FFFFFF"/>
          <w:lang w:eastAsia="zh-CN"/>
        </w:rPr>
        <w:t>如下：</w:t>
      </w:r>
    </w:p>
    <w:p w14:paraId="7549A765">
      <w:pPr>
        <w:keepNext w:val="0"/>
        <w:keepLines w:val="0"/>
        <w:pageBreakBefore w:val="0"/>
        <w:widowControl w:val="0"/>
        <w:kinsoku w:val="0"/>
        <w:wordWrap/>
        <w:overflowPunct/>
        <w:topLinePunct w:val="0"/>
        <w:autoSpaceDE w:val="0"/>
        <w:autoSpaceDN w:val="0"/>
        <w:bidi w:val="0"/>
        <w:adjustRightInd w:val="0"/>
        <w:snapToGrid w:val="0"/>
        <w:spacing w:line="440" w:lineRule="exact"/>
        <w:ind w:right="0" w:firstLine="640" w:firstLineChars="200"/>
        <w:jc w:val="both"/>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加大宣传引导、营造良好氛围。今年下半年组织召开一次汨罗市住建领域招投标专项整治大会，组织学习汨罗市住建局《2023年住建领域招投标突出问题专项整治工作方案》，进一步加强住建领域工程建设招投标的监督管理，依法打击工程建设招标投标领域的违法违规行为，有效解决招标投标活动中市场主体反映强烈的突出问題，优化招投标市场营商环境，促进建筑市场健康有序发展。</w:t>
      </w:r>
    </w:p>
    <w:p w14:paraId="15A6C597">
      <w:pPr>
        <w:keepNext w:val="0"/>
        <w:keepLines w:val="0"/>
        <w:pageBreakBefore w:val="0"/>
        <w:widowControl w:val="0"/>
        <w:numPr>
          <w:ilvl w:val="0"/>
          <w:numId w:val="0"/>
        </w:numPr>
        <w:kinsoku/>
        <w:wordWrap/>
        <w:overflowPunct/>
        <w:topLinePunct w:val="0"/>
        <w:autoSpaceDE/>
        <w:autoSpaceDN/>
        <w:bidi w:val="0"/>
        <w:spacing w:line="440" w:lineRule="exact"/>
        <w:ind w:firstLine="664" w:firstLineChars="200"/>
        <w:jc w:val="both"/>
        <w:textAlignment w:val="auto"/>
        <w:rPr>
          <w:rFonts w:hint="default" w:ascii="仿宋" w:hAnsi="仿宋" w:eastAsia="仿宋"/>
          <w:sz w:val="32"/>
          <w:szCs w:val="32"/>
          <w:lang w:val="en-US" w:eastAsia="zh-CN"/>
        </w:rPr>
      </w:pPr>
      <w:r>
        <w:rPr>
          <w:rFonts w:hint="eastAsia" w:ascii="仿宋" w:hAnsi="仿宋" w:eastAsia="仿宋" w:cs="仿宋"/>
          <w:i w:val="0"/>
          <w:caps w:val="0"/>
          <w:color w:val="auto"/>
          <w:spacing w:val="6"/>
          <w:sz w:val="32"/>
          <w:szCs w:val="32"/>
          <w:shd w:val="clear" w:color="auto" w:fill="FFFFFF"/>
        </w:rPr>
        <w:t>加大</w:t>
      </w:r>
      <w:r>
        <w:rPr>
          <w:rFonts w:hint="eastAsia" w:ascii="仿宋" w:hAnsi="仿宋" w:eastAsia="仿宋" w:cs="仿宋"/>
          <w:i w:val="0"/>
          <w:caps w:val="0"/>
          <w:color w:val="auto"/>
          <w:spacing w:val="6"/>
          <w:sz w:val="32"/>
          <w:szCs w:val="32"/>
          <w:shd w:val="clear" w:color="auto" w:fill="FFFFFF"/>
          <w:lang w:val="en-US" w:eastAsia="zh-CN"/>
        </w:rPr>
        <w:t>了</w:t>
      </w:r>
      <w:r>
        <w:rPr>
          <w:rFonts w:hint="eastAsia" w:ascii="仿宋" w:hAnsi="仿宋" w:eastAsia="仿宋" w:cs="仿宋"/>
          <w:i w:val="0"/>
          <w:caps w:val="0"/>
          <w:color w:val="auto"/>
          <w:spacing w:val="6"/>
          <w:sz w:val="32"/>
          <w:szCs w:val="32"/>
          <w:shd w:val="clear" w:color="auto" w:fill="FFFFFF"/>
        </w:rPr>
        <w:t>对失信违法行为的惩戒力度，规范市场主体的从业行为</w:t>
      </w:r>
      <w:r>
        <w:rPr>
          <w:rFonts w:hint="eastAsia" w:ascii="仿宋" w:hAnsi="仿宋" w:eastAsia="仿宋" w:cs="仿宋"/>
          <w:i w:val="0"/>
          <w:caps w:val="0"/>
          <w:color w:val="auto"/>
          <w:spacing w:val="6"/>
          <w:sz w:val="32"/>
          <w:szCs w:val="32"/>
          <w:shd w:val="clear" w:color="auto" w:fill="FFFFFF"/>
          <w:lang w:eastAsia="zh-CN"/>
        </w:rPr>
        <w:t>，</w:t>
      </w:r>
      <w:r>
        <w:rPr>
          <w:rFonts w:hint="eastAsia" w:ascii="仿宋" w:hAnsi="仿宋" w:eastAsia="仿宋" w:cs="仿宋"/>
          <w:i w:val="0"/>
          <w:caps w:val="0"/>
          <w:color w:val="auto"/>
          <w:spacing w:val="6"/>
          <w:sz w:val="32"/>
          <w:szCs w:val="32"/>
          <w:shd w:val="clear" w:color="auto" w:fill="FFFFFF"/>
          <w:lang w:val="en-US" w:eastAsia="zh-CN"/>
        </w:rPr>
        <w:t>压实主体责任制。我单位实行一项目三承诺制，招标人对</w:t>
      </w:r>
      <w:r>
        <w:rPr>
          <w:rFonts w:hint="eastAsia" w:ascii="仿宋" w:hAnsi="仿宋" w:eastAsia="仿宋"/>
          <w:sz w:val="32"/>
          <w:szCs w:val="32"/>
        </w:rPr>
        <w:t>公平</w:t>
      </w:r>
      <w:r>
        <w:rPr>
          <w:rFonts w:hint="eastAsia" w:ascii="仿宋" w:hAnsi="仿宋" w:eastAsia="仿宋"/>
          <w:sz w:val="32"/>
          <w:szCs w:val="32"/>
          <w:lang w:eastAsia="zh-CN"/>
        </w:rPr>
        <w:t>、</w:t>
      </w:r>
      <w:r>
        <w:rPr>
          <w:rFonts w:hint="eastAsia" w:ascii="仿宋" w:hAnsi="仿宋" w:eastAsia="仿宋"/>
          <w:sz w:val="32"/>
          <w:szCs w:val="32"/>
        </w:rPr>
        <w:t>公正</w:t>
      </w:r>
      <w:r>
        <w:rPr>
          <w:rFonts w:hint="eastAsia" w:ascii="仿宋" w:hAnsi="仿宋" w:eastAsia="仿宋"/>
          <w:sz w:val="32"/>
          <w:szCs w:val="32"/>
          <w:lang w:eastAsia="zh-CN"/>
        </w:rPr>
        <w:t>、</w:t>
      </w:r>
      <w:r>
        <w:rPr>
          <w:rFonts w:hint="eastAsia" w:ascii="仿宋" w:hAnsi="仿宋" w:eastAsia="仿宋"/>
          <w:sz w:val="32"/>
          <w:szCs w:val="32"/>
        </w:rPr>
        <w:t>公开招投</w:t>
      </w:r>
      <w:r>
        <w:rPr>
          <w:rFonts w:hint="eastAsia" w:ascii="仿宋" w:hAnsi="仿宋" w:eastAsia="仿宋"/>
          <w:sz w:val="32"/>
          <w:szCs w:val="32"/>
          <w:lang w:eastAsia="zh-CN"/>
        </w:rPr>
        <w:t>，</w:t>
      </w:r>
      <w:r>
        <w:rPr>
          <w:rFonts w:hint="eastAsia" w:ascii="仿宋" w:hAnsi="仿宋" w:eastAsia="仿宋"/>
          <w:sz w:val="32"/>
          <w:szCs w:val="32"/>
          <w:lang w:val="en-US" w:eastAsia="zh-CN"/>
        </w:rPr>
        <w:t>不围标、串标和带有意向性招标进行公开承诺；招标代理机构对</w:t>
      </w:r>
      <w:r>
        <w:rPr>
          <w:rFonts w:hint="eastAsia" w:ascii="仿宋" w:hAnsi="仿宋" w:eastAsia="仿宋"/>
          <w:sz w:val="32"/>
          <w:szCs w:val="32"/>
        </w:rPr>
        <w:t>秉持“严谨、专业、守法、高效”的服务宗旨</w:t>
      </w:r>
      <w:r>
        <w:rPr>
          <w:rFonts w:hint="eastAsia" w:ascii="仿宋" w:hAnsi="仿宋" w:eastAsia="仿宋"/>
          <w:sz w:val="32"/>
          <w:szCs w:val="32"/>
          <w:lang w:val="en-US" w:eastAsia="zh-CN"/>
        </w:rPr>
        <w:t>和不围标、串标进行承诺；中标单位对投标履约、无围标、串标、挂靠、出借资质等行为进行承诺。 秉承宽进、严管、重罚的宗旨，对各责任主体实行承诺履约制，对违法违规现象发现一起，查处一起，决不姑息。</w:t>
      </w:r>
    </w:p>
    <w:p w14:paraId="7585CF4C">
      <w:pPr>
        <w:pStyle w:val="8"/>
        <w:keepNext w:val="0"/>
        <w:keepLines w:val="0"/>
        <w:pageBreakBefore w:val="0"/>
        <w:wordWrap/>
        <w:overflowPunct/>
        <w:topLinePunct w:val="0"/>
        <w:bidi w:val="0"/>
        <w:spacing w:after="0" w:line="440" w:lineRule="exact"/>
        <w:ind w:left="0" w:leftChars="0" w:firstLine="640" w:firstLineChars="200"/>
        <w:jc w:val="both"/>
        <w:rPr>
          <w:rFonts w:hint="default" w:eastAsia="仿宋_GB2312"/>
          <w:kern w:val="0"/>
          <w:sz w:val="32"/>
          <w:szCs w:val="32"/>
          <w:lang w:val="en-US" w:eastAsia="zh-CN"/>
        </w:rPr>
      </w:pPr>
      <w:r>
        <w:rPr>
          <w:rFonts w:hint="eastAsia" w:ascii="仿宋" w:hAnsi="仿宋" w:eastAsia="仿宋" w:cs="仿宋"/>
          <w:color w:val="auto"/>
          <w:sz w:val="32"/>
          <w:szCs w:val="32"/>
          <w:lang w:val="en-US" w:eastAsia="zh-CN"/>
        </w:rPr>
        <w:t>加大了标后稽查力度，严查项目经理、总监等关键岗位人员到位履职情况。严格督促工程项目合同规范签订和履行、农民工工资支付，严厉打击挂靠、非法转包等违法行为。2023年度我单位开展专项标后稽查3次，下发标后稽查整改告知书28份，已经将9起未取得施工许可证擅自开工项目移交住建局法规股进一步核实。对湖南工程机械配套产业园保障性租赁住房建设项目工程总承包，评标委员会全体成员不按照招标文件规定的评标标准和方法评标的做法给予通报批评，并报送汨罗市发改局和岳阳市住房和城乡建设局。收到实名制举报和投诉质疑函各一件，我单位都依法、依规、依程序进行了受理并进行了回复</w:t>
      </w:r>
      <w:r>
        <w:rPr>
          <w:rFonts w:hint="default" w:eastAsia="仿宋_GB2312"/>
          <w:kern w:val="0"/>
          <w:sz w:val="32"/>
          <w:szCs w:val="32"/>
          <w:lang w:val="en-US" w:eastAsia="zh-CN"/>
        </w:rPr>
        <w:t>。</w:t>
      </w:r>
    </w:p>
    <w:p w14:paraId="6C7D286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D9F199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65D29D4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55897A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3D429C2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05E473F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3FCE32E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加强建设工程标后的跟踪管理。加大标后稽查力度，对中标的建设工程进行施工现场检查，分定期检查和不定期抽查两种形式，查处挂靠、转包、违法分包等违法行为。弱化事前审批，强化事后监督。</w:t>
      </w:r>
    </w:p>
    <w:p w14:paraId="23FE701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全面实行工程担保制度。在继续严格执行投标保证金制度的基础上，全面实施工程履约担保及工程款支付担保制度。担保金额按工程造价10%以内计算或按投标下浮率实行。</w:t>
      </w:r>
    </w:p>
    <w:p w14:paraId="07D89A5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经营行为与准入、清出挂靠。加强建设工程项目执法监察，严肃查处招标投标过程中出现的串通投标、以他人名义投标等违法行为。</w:t>
      </w:r>
    </w:p>
    <w:p w14:paraId="4E25D80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281" w:firstLineChars="1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六、</w:t>
      </w:r>
      <w:r>
        <w:rPr>
          <w:rFonts w:ascii="黑体" w:hAnsi="黑体" w:eastAsia="黑体" w:cs="黑体"/>
          <w:b/>
          <w:bCs/>
          <w:spacing w:val="-15"/>
          <w:sz w:val="31"/>
          <w:szCs w:val="31"/>
        </w:rPr>
        <w:t>有关建议</w:t>
      </w:r>
    </w:p>
    <w:p w14:paraId="264BBC7F">
      <w:pPr>
        <w:pStyle w:val="2"/>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建议相关项目业主单位和部门要认真督促施工单位在工程建设中，应本着边施工、边自查、边整改的方式进行，及时发现问题并搞好查缺补漏，完善有关手续。此次检查中发现有些项目存在手续未完备问题，现已全部下发了整改通知书，并责令相关部门在限期内整改结束，如未按规定要求进行整改的，将按照有关规定对相关人员进行责任追究。</w:t>
      </w:r>
    </w:p>
    <w:p w14:paraId="1BA23DB6">
      <w:pPr>
        <w:pStyle w:val="3"/>
        <w:numPr>
          <w:ilvl w:val="0"/>
          <w:numId w:val="8"/>
        </w:numPr>
        <w:ind w:left="0" w:leftChars="0" w:firstLine="640" w:firstLineChars="200"/>
        <w:rPr>
          <w:rFonts w:hint="eastAsia"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建议加大对项目单位和部门的有效管理，严格坚持项目建设备案制度和工作信息通报制度，以便及时掌握工程建设项目的工程进度和相关动态。</w:t>
      </w:r>
    </w:p>
    <w:p w14:paraId="516B119B">
      <w:pPr>
        <w:pStyle w:val="3"/>
        <w:numPr>
          <w:ilvl w:val="0"/>
          <w:numId w:val="0"/>
        </w:numPr>
        <w:rPr>
          <w:rFonts w:hint="default" w:eastAsia="仿宋_GB2312" w:cs="Arial"/>
          <w:snapToGrid w:val="0"/>
          <w:color w:val="000000"/>
          <w:kern w:val="0"/>
          <w:sz w:val="32"/>
          <w:szCs w:val="32"/>
          <w:lang w:val="en-US" w:eastAsia="zh-CN" w:bidi="ar-SA"/>
        </w:rPr>
      </w:pPr>
      <w:r>
        <w:rPr>
          <w:rFonts w:hint="eastAsia"/>
          <w:lang w:val="en-US" w:eastAsia="zh-CN"/>
        </w:rPr>
        <w:t xml:space="preserve">       </w:t>
      </w:r>
      <w:r>
        <w:rPr>
          <w:rFonts w:hint="eastAsia" w:eastAsia="仿宋_GB2312" w:cs="Arial"/>
          <w:snapToGrid w:val="0"/>
          <w:color w:val="000000"/>
          <w:kern w:val="0"/>
          <w:sz w:val="32"/>
          <w:szCs w:val="32"/>
          <w:lang w:val="en-US" w:eastAsia="zh-CN" w:bidi="ar-SA"/>
        </w:rPr>
        <w:t xml:space="preserve"> 3、建议加大对项目资金的监督管理，严格财务制度和项目资金审批，确保到位资金不出现贪污、挪用、截留和挤占的行为发生，使资金真正用在项目建设中，并发挥积极的作用，造福于社会和人民群众。</w:t>
      </w:r>
    </w:p>
    <w:p w14:paraId="1F15EE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七、</w:t>
      </w:r>
      <w:r>
        <w:rPr>
          <w:rFonts w:ascii="黑体" w:hAnsi="黑体" w:eastAsia="黑体" w:cs="黑体"/>
          <w:b/>
          <w:bCs/>
          <w:spacing w:val="-15"/>
          <w:sz w:val="31"/>
          <w:szCs w:val="31"/>
        </w:rPr>
        <w:t>其他需要说明的问题</w:t>
      </w:r>
    </w:p>
    <w:p w14:paraId="3C36B2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黑体" w:hAnsi="黑体" w:eastAsia="黑体" w:cs="黑体"/>
          <w:b/>
          <w:bCs/>
          <w:spacing w:val="-15"/>
          <w:sz w:val="31"/>
          <w:szCs w:val="31"/>
          <w:lang w:val="en-US" w:eastAsia="zh-CN"/>
        </w:rPr>
      </w:pPr>
      <w:r>
        <w:rPr>
          <w:rFonts w:hint="eastAsia" w:ascii="Arial" w:hAnsi="Arial" w:eastAsia="仿宋_GB2312" w:cs="Arial"/>
          <w:snapToGrid w:val="0"/>
          <w:color w:val="000000"/>
          <w:kern w:val="0"/>
          <w:sz w:val="32"/>
          <w:szCs w:val="32"/>
          <w:lang w:val="en-US" w:eastAsia="zh-CN" w:bidi="ar-SA"/>
        </w:rPr>
        <w:t>无</w:t>
      </w:r>
    </w:p>
    <w:p w14:paraId="7D6565C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2F3523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532F89F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00A809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71166BF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171AAB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4C59F1B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2079D79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2138DEED">
      <w:pPr>
        <w:pStyle w:val="8"/>
        <w:rPr>
          <w:rFonts w:hint="eastAsia" w:ascii="Arial" w:hAnsi="Arial" w:eastAsia="仿宋_GB2312" w:cs="Arial"/>
          <w:snapToGrid w:val="0"/>
          <w:color w:val="000000"/>
          <w:kern w:val="0"/>
          <w:sz w:val="32"/>
          <w:szCs w:val="32"/>
          <w:lang w:val="en-US" w:eastAsia="zh-CN" w:bidi="ar-SA"/>
        </w:rPr>
      </w:pPr>
    </w:p>
    <w:p w14:paraId="15C9CE34">
      <w:pPr>
        <w:pStyle w:val="8"/>
        <w:rPr>
          <w:rFonts w:hint="eastAsia" w:ascii="Arial" w:hAnsi="Arial" w:eastAsia="仿宋_GB2312" w:cs="Arial"/>
          <w:snapToGrid w:val="0"/>
          <w:color w:val="000000"/>
          <w:kern w:val="0"/>
          <w:sz w:val="32"/>
          <w:szCs w:val="32"/>
          <w:lang w:val="en-US" w:eastAsia="zh-CN" w:bidi="ar-SA"/>
        </w:rPr>
      </w:pPr>
    </w:p>
    <w:p w14:paraId="4D950DDF">
      <w:pPr>
        <w:pStyle w:val="8"/>
        <w:rPr>
          <w:rFonts w:hint="eastAsia" w:ascii="Arial" w:hAnsi="Arial" w:eastAsia="仿宋_GB2312" w:cs="Arial"/>
          <w:snapToGrid w:val="0"/>
          <w:color w:val="000000"/>
          <w:kern w:val="0"/>
          <w:sz w:val="32"/>
          <w:szCs w:val="32"/>
          <w:lang w:val="en-US" w:eastAsia="zh-CN" w:bidi="ar-SA"/>
        </w:rPr>
      </w:pPr>
    </w:p>
    <w:p w14:paraId="1B52B174">
      <w:pPr>
        <w:pStyle w:val="8"/>
        <w:rPr>
          <w:rFonts w:hint="eastAsia" w:ascii="Arial" w:hAnsi="Arial" w:eastAsia="仿宋_GB2312" w:cs="Arial"/>
          <w:snapToGrid w:val="0"/>
          <w:color w:val="000000"/>
          <w:kern w:val="0"/>
          <w:sz w:val="32"/>
          <w:szCs w:val="32"/>
          <w:lang w:val="en-US" w:eastAsia="zh-CN" w:bidi="ar-SA"/>
        </w:rPr>
      </w:pPr>
    </w:p>
    <w:p w14:paraId="2E47CC72">
      <w:pPr>
        <w:pStyle w:val="8"/>
        <w:rPr>
          <w:rFonts w:hint="eastAsia" w:ascii="Arial" w:hAnsi="Arial" w:eastAsia="仿宋_GB2312" w:cs="Arial"/>
          <w:snapToGrid w:val="0"/>
          <w:color w:val="000000"/>
          <w:kern w:val="0"/>
          <w:sz w:val="32"/>
          <w:szCs w:val="32"/>
          <w:lang w:val="en-US" w:eastAsia="zh-CN" w:bidi="ar-SA"/>
        </w:rPr>
      </w:pPr>
    </w:p>
    <w:p w14:paraId="6B8E5547">
      <w:pPr>
        <w:pStyle w:val="8"/>
        <w:rPr>
          <w:rFonts w:hint="eastAsia" w:ascii="Arial" w:hAnsi="Arial" w:eastAsia="仿宋_GB2312" w:cs="Arial"/>
          <w:snapToGrid w:val="0"/>
          <w:color w:val="000000"/>
          <w:kern w:val="0"/>
          <w:sz w:val="32"/>
          <w:szCs w:val="32"/>
          <w:lang w:val="en-US" w:eastAsia="zh-CN" w:bidi="ar-SA"/>
        </w:rPr>
      </w:pPr>
    </w:p>
    <w:p w14:paraId="0067FE0F">
      <w:pPr>
        <w:pStyle w:val="8"/>
        <w:rPr>
          <w:rFonts w:hint="eastAsia" w:ascii="Arial" w:hAnsi="Arial" w:eastAsia="仿宋_GB2312" w:cs="Arial"/>
          <w:snapToGrid w:val="0"/>
          <w:color w:val="000000"/>
          <w:kern w:val="0"/>
          <w:sz w:val="32"/>
          <w:szCs w:val="32"/>
          <w:lang w:val="en-US" w:eastAsia="zh-CN" w:bidi="ar-SA"/>
        </w:rPr>
      </w:pPr>
    </w:p>
    <w:p w14:paraId="0789E21A">
      <w:pPr>
        <w:pStyle w:val="8"/>
        <w:rPr>
          <w:rFonts w:hint="eastAsia" w:ascii="Arial" w:hAnsi="Arial" w:eastAsia="仿宋_GB2312" w:cs="Arial"/>
          <w:snapToGrid w:val="0"/>
          <w:color w:val="000000"/>
          <w:kern w:val="0"/>
          <w:sz w:val="32"/>
          <w:szCs w:val="32"/>
          <w:lang w:val="en-US" w:eastAsia="zh-CN" w:bidi="ar-SA"/>
        </w:rPr>
      </w:pPr>
    </w:p>
    <w:p w14:paraId="5CEE6427">
      <w:pPr>
        <w:pStyle w:val="8"/>
        <w:rPr>
          <w:rFonts w:hint="eastAsia" w:ascii="Arial" w:hAnsi="Arial" w:eastAsia="仿宋_GB2312" w:cs="Arial"/>
          <w:snapToGrid w:val="0"/>
          <w:color w:val="000000"/>
          <w:kern w:val="0"/>
          <w:sz w:val="32"/>
          <w:szCs w:val="32"/>
          <w:lang w:val="en-US" w:eastAsia="zh-CN" w:bidi="ar-SA"/>
        </w:rPr>
      </w:pPr>
    </w:p>
    <w:p w14:paraId="5133A5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497481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4AF4733D">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工作经费</w:t>
      </w:r>
      <w:r>
        <w:rPr>
          <w:rFonts w:ascii="黑体" w:hAnsi="黑体" w:eastAsia="黑体" w:cs="黑体"/>
          <w:spacing w:val="15"/>
          <w:position w:val="10"/>
          <w:sz w:val="42"/>
          <w:szCs w:val="42"/>
        </w:rPr>
        <w:t>项目支出</w:t>
      </w:r>
    </w:p>
    <w:p w14:paraId="4A08BC5E">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52DE228">
      <w:pPr>
        <w:spacing w:line="246" w:lineRule="auto"/>
        <w:rPr>
          <w:rFonts w:ascii="Arial"/>
          <w:sz w:val="21"/>
        </w:rPr>
      </w:pPr>
    </w:p>
    <w:p w14:paraId="130EB989">
      <w:pPr>
        <w:spacing w:line="246" w:lineRule="auto"/>
        <w:rPr>
          <w:rFonts w:ascii="Arial"/>
          <w:sz w:val="21"/>
        </w:rPr>
      </w:pPr>
    </w:p>
    <w:p w14:paraId="05801872">
      <w:pPr>
        <w:spacing w:line="246" w:lineRule="auto"/>
        <w:rPr>
          <w:rFonts w:ascii="Arial"/>
          <w:sz w:val="21"/>
        </w:rPr>
      </w:pPr>
    </w:p>
    <w:p w14:paraId="5703DE57">
      <w:pPr>
        <w:spacing w:line="246" w:lineRule="auto"/>
        <w:rPr>
          <w:rFonts w:ascii="Arial"/>
          <w:sz w:val="21"/>
        </w:rPr>
      </w:pPr>
    </w:p>
    <w:p w14:paraId="37B500A0">
      <w:pPr>
        <w:spacing w:line="246" w:lineRule="auto"/>
        <w:rPr>
          <w:rFonts w:ascii="Arial"/>
          <w:sz w:val="21"/>
        </w:rPr>
      </w:pPr>
    </w:p>
    <w:p w14:paraId="3958CAFF">
      <w:pPr>
        <w:spacing w:line="246" w:lineRule="auto"/>
        <w:rPr>
          <w:rFonts w:ascii="Arial"/>
          <w:sz w:val="21"/>
        </w:rPr>
      </w:pPr>
    </w:p>
    <w:p w14:paraId="0C68C896">
      <w:pPr>
        <w:spacing w:line="246" w:lineRule="auto"/>
        <w:rPr>
          <w:rFonts w:ascii="Arial"/>
          <w:sz w:val="21"/>
        </w:rPr>
      </w:pPr>
    </w:p>
    <w:p w14:paraId="7D272190">
      <w:pPr>
        <w:spacing w:line="246" w:lineRule="auto"/>
        <w:rPr>
          <w:rFonts w:ascii="Arial"/>
          <w:sz w:val="21"/>
        </w:rPr>
      </w:pPr>
    </w:p>
    <w:p w14:paraId="50069A54">
      <w:pPr>
        <w:spacing w:line="246" w:lineRule="auto"/>
        <w:rPr>
          <w:rFonts w:ascii="Arial"/>
          <w:sz w:val="21"/>
        </w:rPr>
      </w:pPr>
    </w:p>
    <w:p w14:paraId="5ADFBE5B">
      <w:pPr>
        <w:spacing w:line="246" w:lineRule="auto"/>
        <w:rPr>
          <w:rFonts w:ascii="Arial"/>
          <w:sz w:val="21"/>
        </w:rPr>
      </w:pPr>
    </w:p>
    <w:p w14:paraId="0962BD6A">
      <w:pPr>
        <w:spacing w:line="246" w:lineRule="auto"/>
        <w:rPr>
          <w:rFonts w:ascii="Arial"/>
          <w:sz w:val="21"/>
        </w:rPr>
      </w:pPr>
    </w:p>
    <w:p w14:paraId="6A7B9907">
      <w:pPr>
        <w:spacing w:line="246" w:lineRule="auto"/>
        <w:rPr>
          <w:rFonts w:ascii="Arial"/>
          <w:sz w:val="21"/>
        </w:rPr>
      </w:pPr>
    </w:p>
    <w:p w14:paraId="17AA0EEA">
      <w:pPr>
        <w:spacing w:line="246" w:lineRule="auto"/>
        <w:rPr>
          <w:rFonts w:ascii="Arial"/>
          <w:sz w:val="21"/>
        </w:rPr>
      </w:pPr>
    </w:p>
    <w:p w14:paraId="08E19AD4">
      <w:pPr>
        <w:spacing w:line="246" w:lineRule="auto"/>
        <w:rPr>
          <w:rFonts w:ascii="Arial"/>
          <w:sz w:val="21"/>
        </w:rPr>
      </w:pPr>
    </w:p>
    <w:p w14:paraId="06C5856B">
      <w:pPr>
        <w:spacing w:line="246" w:lineRule="auto"/>
        <w:rPr>
          <w:rFonts w:ascii="Arial"/>
          <w:sz w:val="21"/>
        </w:rPr>
      </w:pPr>
    </w:p>
    <w:p w14:paraId="4A2CA6EE">
      <w:pPr>
        <w:spacing w:line="246" w:lineRule="auto"/>
        <w:rPr>
          <w:rFonts w:ascii="Arial"/>
          <w:sz w:val="21"/>
        </w:rPr>
      </w:pPr>
    </w:p>
    <w:p w14:paraId="44A4B5F9">
      <w:pPr>
        <w:spacing w:line="246" w:lineRule="auto"/>
        <w:rPr>
          <w:rFonts w:ascii="Arial"/>
          <w:sz w:val="21"/>
        </w:rPr>
      </w:pPr>
    </w:p>
    <w:p w14:paraId="20A61688">
      <w:pPr>
        <w:spacing w:line="247" w:lineRule="auto"/>
        <w:rPr>
          <w:rFonts w:ascii="Arial"/>
          <w:sz w:val="21"/>
        </w:rPr>
      </w:pPr>
    </w:p>
    <w:p w14:paraId="4FB3CE2C">
      <w:pPr>
        <w:spacing w:line="247" w:lineRule="auto"/>
        <w:rPr>
          <w:rFonts w:ascii="Arial"/>
          <w:sz w:val="21"/>
        </w:rPr>
      </w:pPr>
    </w:p>
    <w:p w14:paraId="021393DD">
      <w:pPr>
        <w:spacing w:line="247" w:lineRule="auto"/>
        <w:rPr>
          <w:rFonts w:ascii="Arial"/>
          <w:sz w:val="21"/>
        </w:rPr>
      </w:pPr>
    </w:p>
    <w:p w14:paraId="27B41AD3">
      <w:pPr>
        <w:spacing w:line="247" w:lineRule="auto"/>
        <w:rPr>
          <w:rFonts w:ascii="Arial"/>
          <w:sz w:val="21"/>
        </w:rPr>
      </w:pPr>
    </w:p>
    <w:p w14:paraId="18C1DB69">
      <w:pPr>
        <w:spacing w:line="247" w:lineRule="auto"/>
        <w:rPr>
          <w:rFonts w:ascii="Arial"/>
          <w:sz w:val="21"/>
        </w:rPr>
      </w:pPr>
    </w:p>
    <w:p w14:paraId="7FBC6262">
      <w:pPr>
        <w:spacing w:line="247" w:lineRule="auto"/>
        <w:rPr>
          <w:rFonts w:ascii="Arial"/>
          <w:sz w:val="21"/>
        </w:rPr>
      </w:pPr>
    </w:p>
    <w:p w14:paraId="52F90B89">
      <w:pPr>
        <w:spacing w:line="247" w:lineRule="auto"/>
        <w:rPr>
          <w:rFonts w:ascii="Arial"/>
          <w:sz w:val="21"/>
        </w:rPr>
      </w:pPr>
    </w:p>
    <w:p w14:paraId="72060A38">
      <w:pPr>
        <w:spacing w:line="247" w:lineRule="auto"/>
        <w:rPr>
          <w:rFonts w:ascii="Arial"/>
          <w:sz w:val="21"/>
        </w:rPr>
      </w:pPr>
    </w:p>
    <w:p w14:paraId="438CCA67">
      <w:pPr>
        <w:spacing w:line="247" w:lineRule="auto"/>
        <w:rPr>
          <w:rFonts w:ascii="Arial"/>
          <w:sz w:val="21"/>
        </w:rPr>
      </w:pPr>
    </w:p>
    <w:p w14:paraId="5D05269B">
      <w:pPr>
        <w:spacing w:line="247" w:lineRule="auto"/>
        <w:rPr>
          <w:rFonts w:ascii="Arial"/>
          <w:sz w:val="21"/>
        </w:rPr>
      </w:pPr>
    </w:p>
    <w:p w14:paraId="7F3F41C0">
      <w:pPr>
        <w:spacing w:line="247" w:lineRule="auto"/>
        <w:rPr>
          <w:rFonts w:ascii="Arial"/>
          <w:sz w:val="21"/>
        </w:rPr>
      </w:pPr>
    </w:p>
    <w:p w14:paraId="569C2CF2">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汨罗市建筑工程服务中心</w:t>
      </w:r>
      <w:r>
        <w:rPr>
          <w:spacing w:val="-22"/>
          <w:sz w:val="27"/>
          <w:szCs w:val="27"/>
          <w:u w:val="single" w:color="auto"/>
        </w:rPr>
        <w:t>(</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14:paraId="40A48C43">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399B2610">
      <w:pPr>
        <w:spacing w:line="223" w:lineRule="auto"/>
        <w:rPr>
          <w:sz w:val="24"/>
          <w:szCs w:val="24"/>
        </w:rPr>
        <w:sectPr>
          <w:footerReference r:id="rId9" w:type="default"/>
          <w:pgSz w:w="11900" w:h="16820"/>
          <w:pgMar w:top="1429" w:right="1782" w:bottom="1158" w:left="1450" w:header="0" w:footer="850" w:gutter="0"/>
          <w:cols w:space="720" w:num="1"/>
        </w:sectPr>
      </w:pPr>
    </w:p>
    <w:p w14:paraId="241F0D28">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79D2E629">
      <w:pPr>
        <w:spacing w:before="190" w:line="227" w:lineRule="auto"/>
        <w:ind w:left="3670"/>
        <w:rPr>
          <w:rFonts w:ascii="楷体" w:hAnsi="楷体" w:eastAsia="楷体" w:cs="楷体"/>
          <w:sz w:val="31"/>
          <w:szCs w:val="31"/>
        </w:rPr>
      </w:pPr>
    </w:p>
    <w:p w14:paraId="1041F89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2EA2E1A0">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304F66C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为建设工程招投标监督管理；建筑业资质管理、建筑业统计、专业技术人员培训；建筑工程质量、安全生产监管、竣工验收备案、检测市场管理；建筑材料价格信息收集、施工定额测编、工程造价管理；建筑工程、非住宅内装饰工程质量安全监管；建筑工程和市场基础设施工程防雷安全监管等工作经费支出。</w:t>
      </w:r>
    </w:p>
    <w:p w14:paraId="7C719F60">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0C224AF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ascii="黑体" w:hAnsi="黑体" w:eastAsia="黑体" w:cs="黑体"/>
          <w:b/>
          <w:bCs/>
          <w:spacing w:val="-15"/>
          <w:sz w:val="31"/>
          <w:szCs w:val="31"/>
          <w:lang w:val="en-US" w:eastAsia="zh-CN"/>
        </w:rPr>
        <w:t xml:space="preserve">     </w:t>
      </w:r>
      <w:r>
        <w:rPr>
          <w:rFonts w:hint="eastAsia" w:eastAsia="仿宋_GB2312"/>
          <w:kern w:val="0"/>
          <w:sz w:val="32"/>
          <w:szCs w:val="32"/>
          <w:lang w:val="en-US" w:eastAsia="zh-CN"/>
        </w:rPr>
        <w:t>2023年项目资金334.74万元，全部为财政拨款资金；此项目334.74万元为有关业务工作经费开支。本项目支出时依据单位财务管理制度，领导层层审核把关。</w:t>
      </w:r>
    </w:p>
    <w:p w14:paraId="1BBFF148">
      <w:pPr>
        <w:pStyle w:val="2"/>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left="0" w:leftChars="0" w:right="0"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3060D06C">
      <w:pPr>
        <w:pStyle w:val="3"/>
        <w:numPr>
          <w:ilvl w:val="0"/>
          <w:numId w:val="0"/>
        </w:numPr>
        <w:ind w:firstLine="640" w:firstLineChars="200"/>
        <w:rPr>
          <w:rFonts w:hint="default"/>
          <w:lang w:val="en-US" w:eastAsia="zh-CN"/>
        </w:rPr>
      </w:pPr>
      <w:r>
        <w:rPr>
          <w:rFonts w:hint="eastAsia" w:eastAsia="仿宋_GB2312" w:cs="Arial"/>
          <w:snapToGrid w:val="0"/>
          <w:color w:val="000000"/>
          <w:kern w:val="0"/>
          <w:sz w:val="32"/>
          <w:szCs w:val="32"/>
          <w:lang w:val="en-US" w:eastAsia="zh-CN" w:bidi="ar-SA"/>
        </w:rPr>
        <w:t>本项目全年支出334.73万元，任务已基本完成</w:t>
      </w:r>
      <w:r>
        <w:rPr>
          <w:rFonts w:hint="eastAsia" w:ascii="Arial" w:hAnsi="Arial" w:eastAsia="仿宋_GB2312" w:cs="Arial"/>
          <w:snapToGrid w:val="0"/>
          <w:color w:val="000000"/>
          <w:kern w:val="0"/>
          <w:sz w:val="32"/>
          <w:szCs w:val="32"/>
          <w:lang w:val="en-US" w:eastAsia="zh-CN" w:bidi="ar-SA"/>
        </w:rPr>
        <w:t>。</w:t>
      </w:r>
    </w:p>
    <w:p w14:paraId="2DB24B6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rPr>
        <w:t>绩效评价工作情况</w:t>
      </w:r>
    </w:p>
    <w:p w14:paraId="6DB2512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一）夯实基础，积蓄高质量发展动能。为推动建筑业稳定发展，守牢建筑领域安全生产底线，我们迎难而上，不断锤炼本领，提升服务水平，全力推进建筑领域各项工作任务实现预期目标。一是内部发力提本领、强技能。我们积极探索突破工学矛盾，设立“周三课堂”，组织干职工开展质量安全、试验检测、行业管理、党风廉政等知识学习与测试，通过集中学习、讨论交流，提升干职工的专业技能和理论知识，形成了积极向上的学习氛围。二是带动行业蓄动能、谋发展。班子带头深入企业，走访调研，了解企业生产经营中的难点堵点，提供技术指导与服务，帮助企业项目降本增效、纾困解难题；组织企业开展安全月、质量安全观摩、专业技能培训，带动企业提高管理水平，提升安全生产意识。三是形成合力同提升、共进步。在单位内部，开展各种形式的学习与活动，通过党建、团建、拓展、集中学习讨论等形形式，增进干职工之间交流与学习，在学习与活动中提升能力，增进友谊，形成了和谐友好、乐观向上的团队氛围，而且调动了职工的工作热情,促进了日常工作中的协调与联动。在对外工作中，我们积极与住建系统以及其他业务相关单位沟通联系，主动跨单位跨部门进行工作联动，帮助企业和项目、群众解决实际问题，服务工作更优质开展。</w:t>
      </w:r>
    </w:p>
    <w:p w14:paraId="41F8D9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二）抓实安全生产，提供高质量发展保障。全年监管房屋工程项目101个，总建筑面积约285.17万平方米，总造价约51.53亿元，市政工程项目11个，总造价约6.83亿元。全年竣工验收项目共38个，目前在建房屋和市政项目共74个（房屋工程68个，市政工程6个），其中在建项目44个，停工项目16个，未开工项目14个。受全球经济下行影响，建筑领域不景气的背景下，我们更多的是优化服务、提供技术指导，促进行业安全发展。一是加强质量安全宣传和指导，加强行业教育，通过安全生产月、安全质量观摩、安全生产大讲堂、微信公众号和视频号“建工大安”等方式，加强新安全生产法、房屋市政工程生产安全重大事故隐患判定标准（2022版）、特种设备和高处作业知识、文明创建和扬尘防治等知识宣传，提升从业人员安全生产知识熟悉度，增强自我保护意识；通过提醒、警示约谈，限期整改、停工整改、行政处罚、立案查处等多种手段，多种形式敦促参与建设主体责任单位提高安全生产意识，履行安全生产责任，全年组织召开全市质量安全管理专项会议13次，打非治违专项会议4次，召开质量安全警示约谈会11次，召开扬尘防治约谈会2次。二是严格督促隐患整改，受全球经济下行波及，房地产、工业项目受到了较大的影响，考虑到各项目的难度和进一步优化全市营商环境，我们更多的是采用查隐患、督整改的办法严控项目质量安全。坚决做到该停工整改的停工整改，该限期整改的限期整改，对敷衍整改的坚决立案查处，绝不带病施工。特别是涉起重机械设备违法违规的，发现一起，查处一起，绝不姑息迁就。全年共开展专项检查11次，对65个项目进行了825次检查，共下发隐患整改通知书232份、下发停工整改通知书45份，下发催办通知13份，消除质量安全隐患2092条，记录红黄牌101份，记录不良行为29起，2023年共移交案件调线索17起，记项目安全考评不合格6份。将强执法深入到建筑施工的各个环节，覆盖了包括工业项目、市政项目的所有项目，形成了全过程、全方位、无死角盲区的严监管新局面。三是强化危大工程管控，我们从起重机械设备入手，加大危大工程管控。委托第三方专业检测机构对全市在用起重机械设备开展了4次全覆盖监督比对检测，检测中共发现安全隐患930余处，强制拆除1台、现场封停9台；严格落实“季度强制检测，存在重大安全隐患的一律封停或强制拆除，重大环节监管不到位，操作违规的一律严处”的起重设备管控机制，使这最易失控、最易发生较大以上事故的重大危险源得到强有力管控，极大降低了发生较大以上安全事故的概率。四是开展安全生产打非治违，按照上级相关工作安排，吸取长沙4.29自建民房倒塌事故教训，结合安全生产专项整治三年行动，强力开展了住建领域安全生产大检查打非治违专项整治工作，对全市违建项目进行排查整治。集中约谈了未办施工许可、未竣工验收备案等违法建设项目的责任单位主要负责人，针对每个违法项目具体情况明确了整治目标期限任务和责任人，明确专人指导督促项目限时整改。专项整治行动以来，借助集中约谈会开展集中培训告知3次，组织专班上门现场指导4次，接受业务咨询指导40余次，指导项目整改。整治行动取得了较好的成效。</w:t>
      </w:r>
    </w:p>
    <w:p w14:paraId="34231FD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三）优化服务质量，提升高质量发展品质。在抓好安全生产工作同时，坚持提升行业管理和服务水平。推动建筑业高质量发展，开展建筑业“三解三送三优”（送政策、送温暖、送信心，解基层之难、解企业之难，解群众之难，优作风、优服务、优环境）服务工作，确定6家我市建筑业骨干企业、确定4家专精特新企业，并针对性开展服务，引导企业做到做强。积极配合汨罗市统计局较好地完成全市建筑施工企业在省统计联网直报平台的季度报表上报和四上企业入网等工作，今年已完成2家四上企业申报。今年完成新申报/增项家劳务公司资质16家，对12家建筑业企业进行了资质动态核查。组织19人次参加特种作业人员培训、考核。严格实名制管理，督促省监管平台上在建工程项目部建立实名制人脸识别考勤通道，并执行上、下班考勤管理；督促施工单位设立农民工工资发放专户按月发放农民工工资。联合市劳动监察大队定期开展“根治欠薪”专项检查，协助劳动监察大队协调解决农民工工资欠薪事件40件。加强商品混凝土管理工作，每月对全市范围内预拌混凝土搅拌站点巡查，自该项工作开展以来已拆除无资质混凝土搅拌站（点）33家，关停1家。对全市范围内6家预拌商品混凝土企业开展安全生产检查，结合省超限超载领导小组及汨罗市超限超载领导小组对我市预拌商品混凝土公司进行抽查发现的问题进行动态管理，督促企业完善其内部监管系统，确保数据准确及时上传至省监管平台。抓好招投标监管，2023年度公开招标项目共计14个，总金额78089.7763万元。加强对招投标活动的监督，加强事中事后监管，开展住建领域招投标突出问题专项整治工作，进一步规范住建领域招投标工作。开展专项标后稽查3次，下发标后稽查整改告知书28份，将9起未取得施工许可证擅自开工项目移交住建局法规股立案查处，完成省厅交办案件3个、岳阳市局交办线索8条、汨罗市纪委交办线索6条。依法依规处理投诉2个，举报1个。按照局党组统一部署完成汨罗市落实省委第三轮巡视共性问题“未巡先改”自查整改工作。严把材料检测关，立业检测严格按照检测标准要求开展试验检测。综合材料和实体检测情况建立了不合格台帐，并及时通报质监站，针对不合格样品及时跟踪，消除质量隐患，更好地确保了工程质量。做好造价与竣工备案服务，动态采集建材价格信息，并及时上报岳阳市造价站；为企业、项目提供代订《岳阳工程造价》服务，及时为企业提供造价信息；组织发改、财评、审计等单位和造价从业人员参加“岳阳市建设工程成本管理及全过程造价咨询专题市场讲座”，提升造价人员专技技能水平。压缩竣工备案办理时间，全面实行线上备案，降低企业成本，对符合要求的项目，按规定在2个工作日内完成备案手续，共办理建设工程项目竣工验收备案82个,工程总造价350773.89万元。其中房建类81个，工程总造价350391.39万元，建筑面积1913714.87平方米；市政工程1个，工程总造价382.5万元。加强检测、监理企业监管，对在我市开展业务的检测、监理企业的机进行信息采集，每季度对全市在建项目检测、监理机构日常行为开展检查，督促相关企业加强管理，落实整改，对相关违法违规行为进行了调查，并将相关线索移送住建局法规股办理，通过加强管理，检测、监理企业对质量安全的认识和重视程度稳步提高，管理水平也逐步提升。抓好乡村振兴、文明城市创建等中心工作，中心支部班子成员与监测户、脱贫户结对联系帮扶，落实好帮扶责任，巩固拓展脱贫攻坚成果；推动集体经济稳步发展，积极主动为企业争取低息贷款，带动本村就业增收。组织支部党员到联点高塘社区凯华尊品小区开展3次文明城市创建“两进”活动，向住户、商户宣传文明创建，开展卫生清洁志愿活动，提升联点社区环境卫生水平；组建在建项目文明创建工作专班，全面开展督查，督促项目在施工围挡、公益广告、施工现场、宿舍、食堂卫生等方面全面提标，迎检期间，开展“一对一”服务，确保建筑项目迎检效果。办好巡视交办整改、信访投诉，提升群众满意度，近年建筑领域快速发展，交房量大幅增加，有关房屋质量安全的信访量上升，我们组织投诉信访处理专班，分级分类跟踪办理，重要信访事项一把手亲子督办，责任压实到站股室负责人，做到件件有回复。省委巡视期间，成立工资表专班负责交办巡视组交办事项，落实每个信访事项均与信访人见面沟通了解和反馈办理情况，办理施工扰民、工程款结算、交房问题等各类交办件25件。全年共办理建筑领域投诉、信访、交办284件（12345信箱239件、舆情11件、信访26件、市长信箱8件）</w:t>
      </w:r>
      <w:r>
        <w:rPr>
          <w:rFonts w:hint="eastAsia" w:eastAsia="仿宋_GB2312"/>
          <w:kern w:val="0"/>
          <w:sz w:val="32"/>
          <w:szCs w:val="32"/>
          <w:lang w:val="en-US" w:eastAsia="zh-CN"/>
        </w:rPr>
        <w:t>。</w:t>
      </w:r>
    </w:p>
    <w:p w14:paraId="3A9B02A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58BED53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55"/>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绩效评价工作按照“统一组织、分工负责、分步实施”原则进行，我中心成立了由主任任组长、相关业务股室负责人为成员组成的绩效自评工作组，由办公室具体牵头，相关业务科室配合，组织专人开展绩效自评工作，并组织召开2023年绩效评价工作专题会议</w:t>
      </w:r>
      <w:r>
        <w:rPr>
          <w:rFonts w:hint="default" w:eastAsia="仿宋_GB2312"/>
          <w:kern w:val="0"/>
          <w:sz w:val="32"/>
          <w:szCs w:val="32"/>
          <w:lang w:val="en-US" w:eastAsia="zh-CN"/>
        </w:rPr>
        <w:t>。</w:t>
      </w:r>
    </w:p>
    <w:p w14:paraId="6A8A0AD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2466D80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7F37FE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2AF311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429B99F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37D2A05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27FE2D0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建设工程监管智慧平台利用率还不够，还需进一步提高智慧平台使用率，借助科技手段提高管理效能。</w:t>
      </w:r>
    </w:p>
    <w:p w14:paraId="2CE045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napToGrid w:val="0"/>
          <w:color w:val="000000"/>
          <w:spacing w:val="-15"/>
          <w:kern w:val="0"/>
          <w:sz w:val="31"/>
          <w:szCs w:val="31"/>
          <w:lang w:val="en-US" w:eastAsia="zh-CN" w:bidi="ar-SA"/>
        </w:rPr>
        <w:t>六</w:t>
      </w:r>
      <w:r>
        <w:rPr>
          <w:rFonts w:hint="eastAsia" w:ascii="黑体" w:hAnsi="黑体" w:eastAsia="黑体" w:cs="黑体"/>
          <w:b/>
          <w:bCs/>
          <w:snapToGrid w:val="0"/>
          <w:color w:val="000000"/>
          <w:spacing w:val="-15"/>
          <w:kern w:val="0"/>
          <w:sz w:val="31"/>
          <w:szCs w:val="31"/>
          <w:lang w:val="en-US" w:eastAsia="en-US" w:bidi="ar-SA"/>
        </w:rPr>
        <w:t>、</w:t>
      </w:r>
      <w:r>
        <w:rPr>
          <w:rFonts w:ascii="黑体" w:hAnsi="黑体" w:eastAsia="黑体" w:cs="黑体"/>
          <w:b/>
          <w:bCs/>
          <w:spacing w:val="-15"/>
          <w:sz w:val="31"/>
          <w:szCs w:val="31"/>
        </w:rPr>
        <w:t>有关建议</w:t>
      </w:r>
    </w:p>
    <w:p w14:paraId="35CC1BE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无</w:t>
      </w:r>
    </w:p>
    <w:p w14:paraId="0A3499C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napToGrid w:val="0"/>
          <w:color w:val="000000"/>
          <w:spacing w:val="-15"/>
          <w:kern w:val="0"/>
          <w:sz w:val="31"/>
          <w:szCs w:val="31"/>
          <w:lang w:val="en-US" w:eastAsia="zh-CN" w:bidi="ar-SA"/>
        </w:rPr>
        <w:t>七</w:t>
      </w:r>
      <w:r>
        <w:rPr>
          <w:rFonts w:hint="eastAsia" w:ascii="黑体" w:hAnsi="黑体" w:eastAsia="黑体" w:cs="黑体"/>
          <w:b/>
          <w:bCs/>
          <w:snapToGrid w:val="0"/>
          <w:color w:val="000000"/>
          <w:spacing w:val="-15"/>
          <w:kern w:val="0"/>
          <w:sz w:val="31"/>
          <w:szCs w:val="31"/>
          <w:lang w:val="en-US" w:eastAsia="en-US" w:bidi="ar-SA"/>
        </w:rPr>
        <w:t>、</w:t>
      </w:r>
      <w:r>
        <w:rPr>
          <w:rFonts w:ascii="黑体" w:hAnsi="黑体" w:eastAsia="黑体" w:cs="黑体"/>
          <w:b/>
          <w:bCs/>
          <w:spacing w:val="-15"/>
          <w:sz w:val="31"/>
          <w:szCs w:val="31"/>
        </w:rPr>
        <w:t>其他需要说明的问题</w:t>
      </w:r>
    </w:p>
    <w:p w14:paraId="7E5FA72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黑体" w:hAnsi="黑体" w:eastAsia="黑体" w:cs="黑体"/>
          <w:b/>
          <w:bCs/>
          <w:spacing w:val="-15"/>
          <w:sz w:val="31"/>
          <w:szCs w:val="31"/>
          <w:lang w:val="en-US" w:eastAsia="zh-CN"/>
        </w:rPr>
      </w:pPr>
      <w:r>
        <w:rPr>
          <w:rFonts w:hint="eastAsia" w:ascii="Arial" w:hAnsi="Arial" w:eastAsia="仿宋_GB2312" w:cs="Arial"/>
          <w:snapToGrid w:val="0"/>
          <w:color w:val="000000"/>
          <w:kern w:val="0"/>
          <w:sz w:val="32"/>
          <w:szCs w:val="32"/>
          <w:lang w:val="en-US" w:eastAsia="zh-CN" w:bidi="ar-SA"/>
        </w:rPr>
        <w:t>无</w:t>
      </w:r>
    </w:p>
    <w:p w14:paraId="0997BAA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6259F3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0D6D29D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3DAE86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044E8E6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p>
    <w:p w14:paraId="6FD4AC5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Arial" w:hAnsi="Arial" w:eastAsia="仿宋_GB2312" w:cs="Arial"/>
          <w:snapToGrid w:val="0"/>
          <w:color w:val="000000"/>
          <w:kern w:val="0"/>
          <w:sz w:val="32"/>
          <w:szCs w:val="32"/>
          <w:lang w:val="en-US" w:eastAsia="zh-CN" w:bidi="ar-SA"/>
        </w:rPr>
      </w:pPr>
    </w:p>
    <w:sectPr>
      <w:footerReference r:id="rId10"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9460"/>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5A82FB24">
        <w:pPr>
          <w:pStyle w:val="5"/>
          <w:jc w:val="right"/>
          <w:rPr>
            <w:rFonts w:asciiTheme="minorEastAsia" w:hAnsiTheme="minorEastAsia" w:eastAsiaTheme="minorEastAsia"/>
            <w:kern w:val="0"/>
          </w:rPr>
        </w:pPr>
      </w:p>
    </w:sdtContent>
  </w:sdt>
  <w:p w14:paraId="7D52CFFC">
    <w:pPr>
      <w:spacing w:line="14" w:lineRule="auto"/>
      <w:jc w:val="left"/>
      <w:rPr>
        <w:kern w:val="0"/>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64672"/>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233ACFC4">
        <w:pPr>
          <w:pStyle w:val="5"/>
          <w:jc w:val="right"/>
          <w:rPr>
            <w:rFonts w:asciiTheme="minorEastAsia" w:hAnsiTheme="minorEastAsia" w:eastAsiaTheme="minorEastAsia"/>
            <w:kern w:val="0"/>
          </w:rPr>
        </w:pPr>
      </w:p>
    </w:sdtContent>
  </w:sdt>
  <w:p w14:paraId="1CD19AD5">
    <w:pPr>
      <w:spacing w:line="14" w:lineRule="auto"/>
      <w:jc w:val="left"/>
      <w:rPr>
        <w:kern w:val="0"/>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D0645">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A2591">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EBA09"/>
    <w:multiLevelType w:val="singleLevel"/>
    <w:tmpl w:val="9B4EBA09"/>
    <w:lvl w:ilvl="0" w:tentative="0">
      <w:start w:val="2"/>
      <w:numFmt w:val="chineseCounting"/>
      <w:suff w:val="nothing"/>
      <w:lvlText w:val="（%1）"/>
      <w:lvlJc w:val="left"/>
      <w:rPr>
        <w:rFonts w:hint="eastAsia"/>
      </w:rPr>
    </w:lvl>
  </w:abstractNum>
  <w:abstractNum w:abstractNumId="1">
    <w:nsid w:val="B980ABC8"/>
    <w:multiLevelType w:val="singleLevel"/>
    <w:tmpl w:val="B980ABC8"/>
    <w:lvl w:ilvl="0" w:tentative="0">
      <w:start w:val="8"/>
      <w:numFmt w:val="chineseCounting"/>
      <w:suff w:val="nothing"/>
      <w:lvlText w:val="%1、"/>
      <w:lvlJc w:val="left"/>
      <w:rPr>
        <w:rFonts w:hint="eastAsia"/>
      </w:rPr>
    </w:lvl>
  </w:abstractNum>
  <w:abstractNum w:abstractNumId="2">
    <w:nsid w:val="F5BCA05B"/>
    <w:multiLevelType w:val="singleLevel"/>
    <w:tmpl w:val="F5BCA05B"/>
    <w:lvl w:ilvl="0" w:tentative="0">
      <w:start w:val="1"/>
      <w:numFmt w:val="chineseCounting"/>
      <w:lvlText w:val="(%1)"/>
      <w:lvlJc w:val="left"/>
      <w:pPr>
        <w:tabs>
          <w:tab w:val="left" w:pos="312"/>
        </w:tabs>
      </w:pPr>
      <w:rPr>
        <w:rFonts w:hint="eastAsia"/>
      </w:rPr>
    </w:lvl>
  </w:abstractNum>
  <w:abstractNum w:abstractNumId="3">
    <w:nsid w:val="02391D1E"/>
    <w:multiLevelType w:val="singleLevel"/>
    <w:tmpl w:val="02391D1E"/>
    <w:lvl w:ilvl="0" w:tentative="0">
      <w:start w:val="4"/>
      <w:numFmt w:val="chineseCounting"/>
      <w:suff w:val="nothing"/>
      <w:lvlText w:val="%1、"/>
      <w:lvlJc w:val="left"/>
      <w:rPr>
        <w:rFonts w:hint="eastAsia"/>
      </w:rPr>
    </w:lvl>
  </w:abstractNum>
  <w:abstractNum w:abstractNumId="4">
    <w:nsid w:val="0FC66A46"/>
    <w:multiLevelType w:val="singleLevel"/>
    <w:tmpl w:val="0FC66A46"/>
    <w:lvl w:ilvl="0" w:tentative="0">
      <w:start w:val="1"/>
      <w:numFmt w:val="chineseCounting"/>
      <w:lvlText w:val="(%1)"/>
      <w:lvlJc w:val="left"/>
      <w:pPr>
        <w:tabs>
          <w:tab w:val="left" w:pos="312"/>
        </w:tabs>
      </w:pPr>
      <w:rPr>
        <w:rFonts w:hint="eastAsia"/>
      </w:rPr>
    </w:lvl>
  </w:abstractNum>
  <w:abstractNum w:abstractNumId="5">
    <w:nsid w:val="236A846F"/>
    <w:multiLevelType w:val="singleLevel"/>
    <w:tmpl w:val="236A846F"/>
    <w:lvl w:ilvl="0" w:tentative="0">
      <w:start w:val="1"/>
      <w:numFmt w:val="chineseCounting"/>
      <w:lvlText w:val="(%1)"/>
      <w:lvlJc w:val="left"/>
      <w:pPr>
        <w:tabs>
          <w:tab w:val="left" w:pos="312"/>
        </w:tabs>
      </w:pPr>
      <w:rPr>
        <w:rFonts w:hint="eastAsia"/>
      </w:rPr>
    </w:lvl>
  </w:abstractNum>
  <w:abstractNum w:abstractNumId="6">
    <w:nsid w:val="31981F5F"/>
    <w:multiLevelType w:val="singleLevel"/>
    <w:tmpl w:val="31981F5F"/>
    <w:lvl w:ilvl="0" w:tentative="0">
      <w:start w:val="1"/>
      <w:numFmt w:val="chineseCounting"/>
      <w:suff w:val="nothing"/>
      <w:lvlText w:val="%1、"/>
      <w:lvlJc w:val="left"/>
      <w:rPr>
        <w:rFonts w:hint="eastAsia"/>
      </w:rPr>
    </w:lvl>
  </w:abstractNum>
  <w:abstractNum w:abstractNumId="7">
    <w:nsid w:val="73E3C9C1"/>
    <w:multiLevelType w:val="singleLevel"/>
    <w:tmpl w:val="73E3C9C1"/>
    <w:lvl w:ilvl="0" w:tentative="0">
      <w:start w:val="1"/>
      <w:numFmt w:val="decimal"/>
      <w:suff w:val="nothing"/>
      <w:lvlText w:val="%1、"/>
      <w:lvlJc w:val="left"/>
    </w:lvl>
  </w:abstractNum>
  <w:abstractNum w:abstractNumId="8">
    <w:nsid w:val="7924DA7C"/>
    <w:multiLevelType w:val="singleLevel"/>
    <w:tmpl w:val="7924DA7C"/>
    <w:lvl w:ilvl="0" w:tentative="0">
      <w:start w:val="1"/>
      <w:numFmt w:val="chineseCounting"/>
      <w:suff w:val="nothing"/>
      <w:lvlText w:val="%1、"/>
      <w:lvlJc w:val="left"/>
      <w:rPr>
        <w:rFonts w:hint="eastAsia"/>
      </w:rPr>
    </w:lvl>
  </w:abstractNum>
  <w:num w:numId="1">
    <w:abstractNumId w:val="6"/>
  </w:num>
  <w:num w:numId="2">
    <w:abstractNumId w:val="0"/>
  </w:num>
  <w:num w:numId="3">
    <w:abstractNumId w:val="3"/>
  </w:num>
  <w:num w:numId="4">
    <w:abstractNumId w:val="1"/>
  </w:num>
  <w:num w:numId="5">
    <w:abstractNumId w:val="4"/>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Y5MmRlNzQwNmE5Y2I3ZWQ3MTRlN2Q1NDljNjQ2MTcifQ=="/>
  </w:docVars>
  <w:rsids>
    <w:rsidRoot w:val="00000000"/>
    <w:rsid w:val="002D7495"/>
    <w:rsid w:val="01AF3811"/>
    <w:rsid w:val="02024CBE"/>
    <w:rsid w:val="021E09CB"/>
    <w:rsid w:val="02D33B27"/>
    <w:rsid w:val="03795BF7"/>
    <w:rsid w:val="044D4B3F"/>
    <w:rsid w:val="064601BD"/>
    <w:rsid w:val="086E756B"/>
    <w:rsid w:val="0ACF37E5"/>
    <w:rsid w:val="0B400BC6"/>
    <w:rsid w:val="0E68228D"/>
    <w:rsid w:val="0EA6787F"/>
    <w:rsid w:val="111E393A"/>
    <w:rsid w:val="15276E52"/>
    <w:rsid w:val="163D0D06"/>
    <w:rsid w:val="18D6557A"/>
    <w:rsid w:val="19D32FBC"/>
    <w:rsid w:val="1E6A4395"/>
    <w:rsid w:val="215E5600"/>
    <w:rsid w:val="21B513F2"/>
    <w:rsid w:val="25557A3D"/>
    <w:rsid w:val="26EA5ED7"/>
    <w:rsid w:val="27A93B82"/>
    <w:rsid w:val="2A5B6AC9"/>
    <w:rsid w:val="2AE00186"/>
    <w:rsid w:val="2DDF4F82"/>
    <w:rsid w:val="2E2D12BB"/>
    <w:rsid w:val="2EB51C01"/>
    <w:rsid w:val="2FEB168A"/>
    <w:rsid w:val="308216BE"/>
    <w:rsid w:val="308223E0"/>
    <w:rsid w:val="314E1A63"/>
    <w:rsid w:val="330C044A"/>
    <w:rsid w:val="34207846"/>
    <w:rsid w:val="34FE1149"/>
    <w:rsid w:val="37C7052E"/>
    <w:rsid w:val="3A550786"/>
    <w:rsid w:val="3B7A130F"/>
    <w:rsid w:val="3E5F70C5"/>
    <w:rsid w:val="3EB36B35"/>
    <w:rsid w:val="3FA12B99"/>
    <w:rsid w:val="42562C81"/>
    <w:rsid w:val="43FF1F66"/>
    <w:rsid w:val="44B81CF1"/>
    <w:rsid w:val="46C95B1B"/>
    <w:rsid w:val="48A0743E"/>
    <w:rsid w:val="494A1329"/>
    <w:rsid w:val="4B200152"/>
    <w:rsid w:val="4C95098C"/>
    <w:rsid w:val="4CC052CA"/>
    <w:rsid w:val="4D0A7566"/>
    <w:rsid w:val="4E2E1F82"/>
    <w:rsid w:val="4F8B6063"/>
    <w:rsid w:val="50132FC4"/>
    <w:rsid w:val="503F54A0"/>
    <w:rsid w:val="50681F00"/>
    <w:rsid w:val="51CD1C5A"/>
    <w:rsid w:val="520F6343"/>
    <w:rsid w:val="52FA3F96"/>
    <w:rsid w:val="55850F17"/>
    <w:rsid w:val="57AE6D93"/>
    <w:rsid w:val="595A3F87"/>
    <w:rsid w:val="59DC5527"/>
    <w:rsid w:val="5AB562B1"/>
    <w:rsid w:val="5B797238"/>
    <w:rsid w:val="5CB40203"/>
    <w:rsid w:val="5FB623A7"/>
    <w:rsid w:val="64387BE5"/>
    <w:rsid w:val="661D6C4A"/>
    <w:rsid w:val="68594982"/>
    <w:rsid w:val="6E3851B0"/>
    <w:rsid w:val="748A428C"/>
    <w:rsid w:val="76F5303D"/>
    <w:rsid w:val="774D7D9A"/>
    <w:rsid w:val="784167CA"/>
    <w:rsid w:val="79D465B4"/>
    <w:rsid w:val="7D2233E7"/>
    <w:rsid w:val="7E0233A8"/>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rPr>
      <w:rFonts w:ascii="仿宋" w:hAnsi="仿宋" w:eastAsia="仿宋" w:cs="仿宋"/>
      <w:sz w:val="34"/>
      <w:szCs w:val="34"/>
      <w:lang w:val="en-US" w:eastAsia="en-US" w:bidi="ar-SA"/>
    </w:rPr>
  </w:style>
  <w:style w:type="paragraph" w:customStyle="1" w:styleId="3">
    <w:name w:val="正文首行缩进1"/>
    <w:basedOn w:val="1"/>
    <w:autoRedefine/>
    <w:qFormat/>
    <w:uiPriority w:val="99"/>
    <w:pPr>
      <w:spacing w:after="120"/>
      <w:ind w:firstLine="420" w:firstLineChars="100"/>
    </w:pPr>
  </w:style>
  <w:style w:type="paragraph" w:styleId="4">
    <w:name w:val="Body Text Indent"/>
    <w:basedOn w:val="1"/>
    <w:qFormat/>
    <w:uiPriority w:val="0"/>
    <w:pPr>
      <w:spacing w:after="120"/>
      <w:ind w:left="420" w:leftChars="200"/>
    </w:pPr>
  </w:style>
  <w:style w:type="paragraph" w:styleId="5">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Arial" w:hAnsi="Arial" w:eastAsia="Arial" w:cs="Arial"/>
      <w:sz w:val="21"/>
      <w:szCs w:val="21"/>
      <w:lang w:val="en-US" w:eastAsia="en-US" w:bidi="ar-SA"/>
    </w:rPr>
  </w:style>
  <w:style w:type="paragraph" w:styleId="13">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4">
    <w:name w:val="15"/>
    <w:basedOn w:val="10"/>
    <w:qFormat/>
    <w:uiPriority w:val="0"/>
    <w:rPr>
      <w:rFonts w:hint="default" w:ascii="Times New Roman" w:eastAsia="楷体_GB2312" w:cs="楷体_GB2312"/>
      <w:sz w:val="32"/>
      <w:szCs w:val="32"/>
    </w:rPr>
  </w:style>
  <w:style w:type="character" w:customStyle="1" w:styleId="15">
    <w:name w:val="20"/>
    <w:basedOn w:val="10"/>
    <w:qFormat/>
    <w:uiPriority w:val="0"/>
    <w:rPr>
      <w:rFonts w:hint="default" w:ascii="Times New Roman" w:eastAsia="楷体_GB2312" w:cs="楷体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43</Pages>
  <Words>19808</Words>
  <Characters>20724</Characters>
  <TotalTime>1</TotalTime>
  <ScaleCrop>false</ScaleCrop>
  <LinksUpToDate>false</LinksUpToDate>
  <CharactersWithSpaces>21018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李加贝</cp:lastModifiedBy>
  <cp:lastPrinted>2024-05-21T14:05:00Z</cp:lastPrinted>
  <dcterms:modified xsi:type="dcterms:W3CDTF">2024-10-22T07:21:21Z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