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E0" w:rsidRDefault="00AC4681">
      <w:pPr>
        <w:pStyle w:val="a5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4F1FE0" w:rsidRDefault="00AC4681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4F1FE0" w:rsidRDefault="00AC4681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4F1FE0" w:rsidRDefault="004F1FE0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4F1FE0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4F1FE0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93.33%</w:t>
            </w:r>
          </w:p>
        </w:tc>
      </w:tr>
      <w:tr w:rsidR="004F1FE0">
        <w:trPr>
          <w:trHeight w:val="35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4F1FE0">
        <w:trPr>
          <w:trHeight w:val="369"/>
        </w:trPr>
        <w:tc>
          <w:tcPr>
            <w:tcW w:w="3271" w:type="dxa"/>
            <w:vAlign w:val="center"/>
          </w:tcPr>
          <w:p w:rsidR="004F1FE0" w:rsidRDefault="00AC468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0.46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0.11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370"/>
        </w:trPr>
        <w:tc>
          <w:tcPr>
            <w:tcW w:w="3271" w:type="dxa"/>
            <w:vAlign w:val="center"/>
          </w:tcPr>
          <w:p w:rsidR="004F1FE0" w:rsidRDefault="00AC4681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36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340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0.46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0.11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405.93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394.12</w:t>
            </w:r>
          </w:p>
        </w:tc>
      </w:tr>
      <w:tr w:rsidR="004F1FE0">
        <w:trPr>
          <w:trHeight w:val="35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398.93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387.12</w:t>
            </w:r>
          </w:p>
        </w:tc>
      </w:tr>
      <w:tr w:rsidR="004F1FE0">
        <w:trPr>
          <w:trHeight w:val="35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35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4F1FE0" w:rsidRDefault="00AC4681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</w:tr>
      <w:tr w:rsidR="004F1FE0">
        <w:trPr>
          <w:trHeight w:val="359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文物保护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7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53.28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135.96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52.36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3.17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1.8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3.13</w:t>
            </w:r>
          </w:p>
        </w:tc>
      </w:tr>
      <w:tr w:rsidR="004F1FE0">
        <w:trPr>
          <w:trHeight w:val="360"/>
        </w:trPr>
        <w:tc>
          <w:tcPr>
            <w:tcW w:w="3271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2.57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4.2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3.25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0.35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0.26</w:t>
            </w:r>
          </w:p>
        </w:tc>
      </w:tr>
      <w:tr w:rsidR="004F1FE0">
        <w:trPr>
          <w:trHeight w:val="350"/>
        </w:trPr>
        <w:tc>
          <w:tcPr>
            <w:tcW w:w="3271" w:type="dxa"/>
            <w:vAlign w:val="center"/>
          </w:tcPr>
          <w:p w:rsidR="004F1FE0" w:rsidRDefault="00AC468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65</w:t>
            </w:r>
          </w:p>
        </w:tc>
        <w:tc>
          <w:tcPr>
            <w:tcW w:w="2039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299</w:t>
            </w:r>
          </w:p>
        </w:tc>
        <w:tc>
          <w:tcPr>
            <w:tcW w:w="1983" w:type="dxa"/>
            <w:gridSpan w:val="2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55</w:t>
            </w:r>
          </w:p>
        </w:tc>
      </w:tr>
      <w:tr w:rsidR="004F1FE0">
        <w:trPr>
          <w:trHeight w:val="369"/>
        </w:trPr>
        <w:tc>
          <w:tcPr>
            <w:tcW w:w="3271" w:type="dxa"/>
            <w:vAlign w:val="center"/>
          </w:tcPr>
          <w:p w:rsidR="004F1FE0" w:rsidRDefault="00AC468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1069"/>
        </w:trPr>
        <w:tc>
          <w:tcPr>
            <w:tcW w:w="3271" w:type="dxa"/>
            <w:tcBorders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4F1FE0">
        <w:trPr>
          <w:trHeight w:val="345"/>
        </w:trPr>
        <w:tc>
          <w:tcPr>
            <w:tcW w:w="3271" w:type="dxa"/>
            <w:vAlign w:val="center"/>
          </w:tcPr>
          <w:p w:rsidR="004F1FE0" w:rsidRDefault="00AC4681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4F1FE0" w:rsidRDefault="00AC4681">
            <w:pPr>
              <w:ind w:firstLine="420"/>
              <w:jc w:val="center"/>
              <w:rPr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坚持勤俭节约、廉洁自律、严格控制单位经费和项目经费管理。</w:t>
            </w:r>
          </w:p>
        </w:tc>
      </w:tr>
    </w:tbl>
    <w:p w:rsidR="004F1FE0" w:rsidRDefault="00AC4681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4F1FE0" w:rsidRDefault="00AC4681" w:rsidP="00D415DA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陈敏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2024.10.22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15074057688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4F1FE0" w:rsidRDefault="004F1FE0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4F1F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4F1FE0" w:rsidRDefault="00AC4681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4F1FE0" w:rsidRDefault="00AC4681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4F1FE0" w:rsidRDefault="004F1FE0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4F1FE0">
        <w:trPr>
          <w:trHeight w:val="484"/>
        </w:trPr>
        <w:tc>
          <w:tcPr>
            <w:tcW w:w="1074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汨罗市考古研究和文物保护中心</w:t>
            </w:r>
          </w:p>
        </w:tc>
      </w:tr>
      <w:tr w:rsidR="004F1FE0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4F1FE0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F1FE0" w:rsidRDefault="00AC4681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300.73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622.36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622.36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4F1FE0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AC4681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</w:p>
        </w:tc>
      </w:tr>
      <w:tr w:rsidR="004F1FE0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622.36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AC4681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>
              <w:rPr>
                <w:rFonts w:ascii="仿宋_GB2312" w:eastAsia="仿宋_GB2312" w:hAnsi="宋体" w:cs="宋体"/>
              </w:rPr>
              <w:t>228.24</w:t>
            </w:r>
          </w:p>
        </w:tc>
      </w:tr>
      <w:tr w:rsidR="004F1FE0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AC4681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>
              <w:rPr>
                <w:rFonts w:ascii="仿宋_GB2312" w:eastAsia="仿宋_GB2312" w:hAnsi="宋体" w:cs="宋体"/>
              </w:rPr>
              <w:t>394.12</w:t>
            </w:r>
          </w:p>
        </w:tc>
      </w:tr>
      <w:tr w:rsidR="004F1FE0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4F1FE0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4F1FE0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1.</w:t>
            </w:r>
            <w:r>
              <w:rPr>
                <w:rFonts w:ascii="仿宋_GB2312" w:eastAsia="仿宋_GB2312" w:hint="eastAsia"/>
                <w:lang w:eastAsia="zh-CN"/>
              </w:rPr>
              <w:t>启动汨罗山墓群安防建设工程和继续进行墓群考古发掘工作；</w:t>
            </w: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2.</w:t>
            </w:r>
            <w:r>
              <w:rPr>
                <w:rFonts w:ascii="仿宋_GB2312" w:eastAsia="仿宋_GB2312" w:hint="eastAsia"/>
                <w:lang w:eastAsia="zh-CN"/>
              </w:rPr>
              <w:t>力争</w:t>
            </w:r>
            <w:r>
              <w:rPr>
                <w:rFonts w:ascii="仿宋_GB2312" w:eastAsia="仿宋_GB2312"/>
                <w:lang w:eastAsia="zh-CN"/>
              </w:rPr>
              <w:t>23</w:t>
            </w:r>
            <w:r>
              <w:rPr>
                <w:rFonts w:ascii="仿宋_GB2312" w:eastAsia="仿宋_GB2312" w:hint="eastAsia"/>
                <w:lang w:eastAsia="zh-CN"/>
              </w:rPr>
              <w:t>年底完成闵氏宗祠维护修缮工程；</w:t>
            </w: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3.</w:t>
            </w:r>
            <w:r>
              <w:rPr>
                <w:rFonts w:ascii="仿宋_GB2312" w:eastAsia="仿宋_GB2312" w:hint="eastAsia"/>
                <w:lang w:eastAsia="zh-CN"/>
              </w:rPr>
              <w:t>完成汨罗市博物馆的备案工作和精品文物展陈工作；</w:t>
            </w: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4.</w:t>
            </w:r>
            <w:r>
              <w:rPr>
                <w:rFonts w:ascii="仿宋_GB2312" w:eastAsia="仿宋_GB2312" w:hint="eastAsia"/>
                <w:lang w:eastAsia="zh-CN"/>
              </w:rPr>
              <w:t>做好文物文化保护遗产宣传，加强文物安全巡查。</w:t>
            </w:r>
          </w:p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5.</w:t>
            </w:r>
            <w:r>
              <w:rPr>
                <w:rFonts w:ascii="仿宋_GB2312" w:eastAsia="仿宋_GB2312" w:hint="eastAsia"/>
                <w:lang w:eastAsia="zh-CN"/>
              </w:rPr>
              <w:t>参与各级政府与主管部门组织布置的其他工作。</w:t>
            </w:r>
          </w:p>
        </w:tc>
        <w:tc>
          <w:tcPr>
            <w:tcW w:w="4260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完成汨罗市博物馆的备案工作和精品文物展陈工作；启动汨罗山墓群安防建设工程和继续进行墓群考古发掘工作；完成文物文化保护遗产宣传，加强文物安全巡查。</w:t>
            </w:r>
          </w:p>
        </w:tc>
      </w:tr>
      <w:tr w:rsidR="004F1FE0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文物修复、修缮、考古、发掘、打击文物犯罪行为出成绩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按年初计划目标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按年初计划目标完成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考古工作成果突出文物保护亮点纷呈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对馆藏文物进行定级工作、对县保单位进行维护。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圆满完成</w:t>
            </w:r>
            <w:r>
              <w:rPr>
                <w:rFonts w:ascii="仿宋_GB2312" w:eastAsia="仿宋_GB2312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按时间节点稳步推进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即时完成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即时完成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1148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优化资源配置，提高财政资金使用率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带动相关产业发展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通过各项活动增长本地旅游业的发展，带动了各项文化市场经济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让全市人民了解汨罗文化事业</w:t>
            </w: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4F1FE0" w:rsidRDefault="00AC468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有效改善</w:t>
            </w:r>
          </w:p>
          <w:p w:rsidR="004F1FE0" w:rsidRDefault="004F1FE0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有效改善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深化历史增加文化底蕴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恢复生态系统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有效改善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各文物单位更好的体现历史底蕴，提升城市品位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长期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满足了群众对文化生活的需求，提高了群众的文化素养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4F1FE0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非常满意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大于或等于</w:t>
            </w:r>
            <w:r>
              <w:rPr>
                <w:rFonts w:ascii="仿宋_GB2312" w:eastAsia="仿宋_GB2312"/>
              </w:rPr>
              <w:t>95%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按年初计划目标完成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预算批复金额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控制预算数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100%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2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F1FE0">
        <w:trPr>
          <w:trHeight w:val="901"/>
        </w:trPr>
        <w:tc>
          <w:tcPr>
            <w:tcW w:w="6988" w:type="dxa"/>
            <w:gridSpan w:val="6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</w:t>
            </w:r>
          </w:p>
        </w:tc>
        <w:tc>
          <w:tcPr>
            <w:tcW w:w="142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4F1FE0" w:rsidRDefault="004F1FE0">
      <w:pPr>
        <w:spacing w:before="293" w:line="236" w:lineRule="auto"/>
        <w:rPr>
          <w:rFonts w:ascii="仿宋_GB2312" w:eastAsia="仿宋_GB2312" w:hAnsi="宋体" w:cs="宋体"/>
          <w:lang w:eastAsia="zh-CN"/>
        </w:rPr>
      </w:pPr>
    </w:p>
    <w:p w:rsidR="004F1FE0" w:rsidRDefault="004F1FE0">
      <w:pPr>
        <w:spacing w:before="293" w:line="236" w:lineRule="auto"/>
        <w:rPr>
          <w:rFonts w:ascii="仿宋_GB2312" w:eastAsia="仿宋_GB2312" w:hAnsi="宋体" w:cs="宋体"/>
          <w:lang w:eastAsia="zh-CN"/>
        </w:rPr>
      </w:pPr>
    </w:p>
    <w:p w:rsidR="004F1FE0" w:rsidRDefault="00AC4681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>陈敏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 w:hint="eastAsia"/>
          <w:lang w:eastAsia="zh-CN"/>
        </w:rPr>
        <w:t>2024.10.14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>15074057688</w:t>
      </w:r>
      <w:r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4F1FE0" w:rsidRDefault="00AC4681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4F1FE0" w:rsidRDefault="00AC4681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4F1FE0" w:rsidRDefault="004F1FE0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4F1FE0">
        <w:trPr>
          <w:trHeight w:val="514"/>
          <w:jc w:val="center"/>
        </w:trPr>
        <w:tc>
          <w:tcPr>
            <w:tcW w:w="1054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文物保护</w:t>
            </w: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汨罗市文化旅游广电局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汨罗市考古研究和文物保护中心</w:t>
            </w:r>
          </w:p>
        </w:tc>
      </w:tr>
      <w:tr w:rsidR="004F1FE0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项目资金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394.12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394.12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F1FE0" w:rsidRDefault="00AC4681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F1FE0" w:rsidRDefault="00AC4681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4F1FE0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4F1FE0">
        <w:trPr>
          <w:trHeight w:val="265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以保护、管理、利用好文物，传承和弘扬传统文化。严格贯彻落实文物保护的“十六字”方针，合理利用好文物，不但能使广大群众充分感受中华传统文化的魅力，提高科学文化素质。</w:t>
            </w:r>
          </w:p>
        </w:tc>
        <w:tc>
          <w:tcPr>
            <w:tcW w:w="4140" w:type="dxa"/>
            <w:gridSpan w:val="4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Theme="minorEastAsia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、启动汨罗山墓群安防建设工程和继续进行墓群考古发掘工作；争取闵氏宗祠二期修缮维护经费，力争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年底完成闵氏宗祠维护修缮工程。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、完成汨罗市博物馆的备案工作和精品文物展陈工作；申报中共湘北特委—长乐街旧址维护修缮计划和馆藏文物预防性保护计划；启动《汨罗市文物志》、《汨罗市文物史话》编纂工作；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、在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9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月底完成馆藏文物的认定评级工作；</w:t>
            </w:r>
          </w:p>
        </w:tc>
      </w:tr>
      <w:tr w:rsidR="004F1FE0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4F1FE0" w:rsidRDefault="004F1FE0">
            <w:pPr>
              <w:ind w:firstLine="420"/>
              <w:rPr>
                <w:rFonts w:ascii="仿宋_GB2312" w:eastAsia="仿宋_GB2312" w:hAnsi="宋体" w:cs="宋体"/>
                <w:lang w:eastAsia="zh-CN"/>
              </w:rPr>
            </w:pPr>
          </w:p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4F1FE0">
        <w:trPr>
          <w:trHeight w:val="1771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文物修复、修缮、考古、发掘、打击文物犯罪行为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按年初计划目标完成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完成年初计划目标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1553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考古工作成果突出文物保护亮点纷呈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完成馆藏文物定级工作、对县保单位进行维护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圆满完成</w:t>
            </w:r>
            <w:r>
              <w:rPr>
                <w:rFonts w:ascii="仿宋_GB2312" w:eastAsia="仿宋_GB2312" w:hAnsi="宋体" w:cs="宋体"/>
                <w:lang w:eastAsia="zh-CN"/>
              </w:rPr>
              <w:t>100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%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1677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项目完成及时性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按计划完成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4F1FE0">
        <w:trPr>
          <w:trHeight w:val="1755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优化资源配置提高财政资金使用率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带动相关产业发展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1095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让全市人民了解汨罗文化事业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有效改善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深化历史增加文化底蕴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恢复生态系统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有效改善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各文物单位更好的体现历史底蕴提升城市品位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后续监管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非常满意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确保群众满意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≥</w:t>
            </w:r>
            <w:r>
              <w:rPr>
                <w:rFonts w:ascii="仿宋_GB2312" w:eastAsia="仿宋_GB2312" w:hAnsi="宋体" w:cs="宋体"/>
              </w:rPr>
              <w:t>95%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4F1FE0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指标批复金额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7</w:t>
            </w:r>
            <w:r>
              <w:rPr>
                <w:rFonts w:ascii="仿宋_GB2312" w:eastAsia="仿宋_GB2312" w:hAnsi="宋体" w:cs="宋体" w:hint="eastAsia"/>
              </w:rPr>
              <w:t>万元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394.12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8</w:t>
            </w:r>
          </w:p>
        </w:tc>
        <w:tc>
          <w:tcPr>
            <w:tcW w:w="1383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2023</w:t>
            </w:r>
            <w:r>
              <w:rPr>
                <w:rFonts w:ascii="仿宋_GB2312" w:eastAsia="仿宋_GB2312" w:hAnsi="宋体" w:cs="宋体" w:hint="eastAsia"/>
              </w:rPr>
              <w:t>年度上级专项划拨</w:t>
            </w:r>
          </w:p>
        </w:tc>
      </w:tr>
      <w:tr w:rsidR="004F1FE0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无不良</w:t>
            </w:r>
            <w:r>
              <w:rPr>
                <w:rFonts w:ascii="仿宋_GB2312" w:eastAsia="仿宋_GB2312" w:hint="eastAsia"/>
                <w:lang w:eastAsia="zh-CN"/>
              </w:rPr>
              <w:t>影响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无不良</w:t>
            </w:r>
            <w:r>
              <w:rPr>
                <w:rFonts w:ascii="仿宋_GB2312" w:eastAsia="仿宋_GB2312" w:hint="eastAsia"/>
                <w:lang w:eastAsia="zh-CN"/>
              </w:rPr>
              <w:t>影响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无不良</w:t>
            </w:r>
            <w:r>
              <w:rPr>
                <w:rFonts w:ascii="仿宋_GB2312" w:eastAsia="仿宋_GB2312" w:hint="eastAsia"/>
                <w:lang w:eastAsia="zh-CN"/>
              </w:rPr>
              <w:t>影响</w:t>
            </w:r>
          </w:p>
        </w:tc>
        <w:tc>
          <w:tcPr>
            <w:tcW w:w="109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无不良</w:t>
            </w:r>
            <w:r>
              <w:rPr>
                <w:rFonts w:ascii="仿宋_GB2312" w:eastAsia="仿宋_GB2312" w:hint="eastAsia"/>
                <w:lang w:eastAsia="zh-CN"/>
              </w:rPr>
              <w:t>影响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4F1FE0">
        <w:trPr>
          <w:trHeight w:val="611"/>
          <w:jc w:val="center"/>
        </w:trPr>
        <w:tc>
          <w:tcPr>
            <w:tcW w:w="6549" w:type="dxa"/>
            <w:gridSpan w:val="6"/>
            <w:vAlign w:val="center"/>
          </w:tcPr>
          <w:p w:rsidR="004F1FE0" w:rsidRDefault="00AC468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4F1FE0" w:rsidRDefault="00AC468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4F1FE0" w:rsidRDefault="004F1FE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4F1FE0" w:rsidRDefault="00AC4681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一个一级项目支出一张表。如，业务工作经费，运行维护经费，其他事业发展类资金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</w:t>
      </w:r>
      <w:r>
        <w:rPr>
          <w:rFonts w:ascii="仿宋_GB2312" w:eastAsia="仿宋_GB2312" w:hAnsi="宋体" w:cs="宋体"/>
          <w:lang w:eastAsia="zh-CN"/>
        </w:rPr>
        <w:t>.</w:t>
      </w:r>
    </w:p>
    <w:p w:rsidR="004F1FE0" w:rsidRDefault="004F1FE0">
      <w:pPr>
        <w:ind w:firstLine="420"/>
        <w:rPr>
          <w:rFonts w:ascii="宋体" w:eastAsia="宋体" w:hAnsi="宋体" w:cs="宋体"/>
          <w:lang w:eastAsia="zh-CN"/>
        </w:rPr>
      </w:pPr>
    </w:p>
    <w:p w:rsidR="004F1FE0" w:rsidRDefault="00AC4681">
      <w:pPr>
        <w:rPr>
          <w:rFonts w:ascii="仿宋_GB2312" w:eastAsia="仿宋_GB2312" w:hAnsi="宋体" w:cs="宋体"/>
          <w:lang w:eastAsia="zh-CN"/>
        </w:rPr>
        <w:sectPr w:rsidR="004F1FE0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填表人：陈敏</w:t>
      </w:r>
      <w:r>
        <w:rPr>
          <w:rFonts w:ascii="仿宋_GB2312" w:eastAsia="仿宋_GB2312" w:hAnsi="宋体" w:cs="宋体" w:hint="eastAsia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 w:hint="eastAsia"/>
          <w:lang w:eastAsia="zh-CN"/>
        </w:rPr>
        <w:t xml:space="preserve">2021.10.16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 w:hint="eastAsia"/>
          <w:lang w:eastAsia="zh-CN"/>
        </w:rPr>
        <w:t xml:space="preserve">15074057688   </w:t>
      </w:r>
      <w:r>
        <w:rPr>
          <w:rFonts w:ascii="仿宋_GB2312" w:eastAsia="仿宋_GB2312" w:hAnsi="宋体" w:cs="宋体" w:hint="eastAsia"/>
          <w:lang w:eastAsia="zh-CN"/>
        </w:rPr>
        <w:t>单位负责人签字</w:t>
      </w:r>
      <w:r>
        <w:rPr>
          <w:rFonts w:ascii="仿宋_GB2312" w:eastAsia="仿宋_GB2312" w:hAnsi="宋体" w:cs="宋体" w:hint="eastAsia"/>
          <w:lang w:eastAsia="zh-CN"/>
        </w:rPr>
        <w:t>:</w:t>
      </w:r>
    </w:p>
    <w:p w:rsidR="004F1FE0" w:rsidRDefault="00AC4681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4</w:t>
      </w:r>
    </w:p>
    <w:p w:rsidR="004F1FE0" w:rsidRDefault="004F1FE0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4F1FE0" w:rsidRDefault="004F1FE0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4F1FE0" w:rsidRDefault="00AC4681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年度汨罗市考古研究和文物保护</w:t>
      </w:r>
    </w:p>
    <w:p w:rsidR="004F1FE0" w:rsidRDefault="00AC4681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中心部门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4F1FE0" w:rsidRDefault="00AC4681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4F1FE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4F1FE0" w:rsidRDefault="00AC4681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单位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)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盖章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)</w:t>
      </w:r>
    </w:p>
    <w:p w:rsidR="004F1FE0" w:rsidRDefault="00AC4681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年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 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 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4F1FE0" w:rsidRDefault="00AC4681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此页为封面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)</w:t>
      </w:r>
    </w:p>
    <w:p w:rsidR="004F1FE0" w:rsidRDefault="004F1FE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4F1FE0" w:rsidRDefault="004F1FE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4F1FE0" w:rsidRDefault="004F1FE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4F1FE0" w:rsidRDefault="004F1FE0">
      <w:pPr>
        <w:pStyle w:val="a5"/>
        <w:rPr>
          <w:rFonts w:asciiTheme="minorEastAsia" w:eastAsiaTheme="minorEastAsia" w:hAnsiTheme="minorEastAsia"/>
          <w:lang w:eastAsia="zh-CN"/>
        </w:rPr>
      </w:pPr>
    </w:p>
    <w:p w:rsidR="00D415DA" w:rsidRDefault="00D415DA">
      <w:pPr>
        <w:spacing w:line="560" w:lineRule="exact"/>
        <w:jc w:val="center"/>
        <w:rPr>
          <w:rFonts w:ascii="黑体" w:eastAsia="黑体" w:hAnsi="黑体" w:cs="黑体" w:hint="eastAsia"/>
          <w:spacing w:val="16"/>
          <w:sz w:val="44"/>
          <w:szCs w:val="44"/>
          <w:lang w:eastAsia="zh-CN"/>
        </w:rPr>
      </w:pPr>
    </w:p>
    <w:p w:rsidR="004F1FE0" w:rsidRDefault="00AC4681" w:rsidP="00D415DA">
      <w:pPr>
        <w:spacing w:line="640" w:lineRule="exact"/>
        <w:jc w:val="center"/>
        <w:rPr>
          <w:rFonts w:ascii="黑体" w:eastAsia="黑体" w:hAnsi="黑体" w:cs="黑体"/>
          <w:spacing w:val="16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16"/>
          <w:sz w:val="44"/>
          <w:szCs w:val="44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4"/>
          <w:szCs w:val="44"/>
          <w:lang w:eastAsia="zh-CN"/>
        </w:rPr>
        <w:t>3</w:t>
      </w:r>
      <w:r>
        <w:rPr>
          <w:rFonts w:ascii="黑体" w:eastAsia="黑体" w:hAnsi="黑体" w:cs="黑体"/>
          <w:spacing w:val="16"/>
          <w:sz w:val="44"/>
          <w:szCs w:val="44"/>
          <w:lang w:eastAsia="zh-CN"/>
        </w:rPr>
        <w:t>年度考古研究和文物保护中心</w:t>
      </w:r>
    </w:p>
    <w:p w:rsidR="004F1FE0" w:rsidRDefault="00AC4681" w:rsidP="00D415DA">
      <w:pPr>
        <w:spacing w:line="640" w:lineRule="exact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44"/>
          <w:szCs w:val="44"/>
          <w:lang w:eastAsia="zh-CN"/>
        </w:rPr>
        <w:t>部门整体支出绩效</w:t>
      </w:r>
      <w:r>
        <w:rPr>
          <w:rFonts w:ascii="黑体" w:eastAsia="黑体" w:hAnsi="黑体" w:cs="黑体" w:hint="eastAsia"/>
          <w:spacing w:val="16"/>
          <w:sz w:val="44"/>
          <w:szCs w:val="44"/>
          <w:lang w:eastAsia="zh-CN"/>
        </w:rPr>
        <w:t>自评报告</w:t>
      </w:r>
    </w:p>
    <w:p w:rsidR="00D415DA" w:rsidRDefault="00D415DA">
      <w:pPr>
        <w:spacing w:before="211" w:line="224" w:lineRule="auto"/>
        <w:ind w:firstLineChars="200" w:firstLine="640"/>
        <w:jc w:val="both"/>
        <w:rPr>
          <w:rFonts w:ascii="方正黑体_GBK" w:eastAsia="方正黑体_GBK" w:hAnsi="仿宋" w:cs="仿宋" w:hint="eastAsia"/>
          <w:sz w:val="32"/>
          <w:szCs w:val="32"/>
          <w:lang w:eastAsia="zh-CN"/>
        </w:rPr>
      </w:pPr>
    </w:p>
    <w:p w:rsidR="004F1FE0" w:rsidRDefault="00AC4681">
      <w:pPr>
        <w:spacing w:before="211" w:line="224" w:lineRule="auto"/>
        <w:ind w:firstLineChars="200"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一、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4F1FE0" w:rsidRDefault="00AC4681">
      <w:pPr>
        <w:spacing w:line="600" w:lineRule="exact"/>
        <w:ind w:firstLineChars="250" w:firstLine="80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（一）职能职责</w:t>
      </w:r>
    </w:p>
    <w:p w:rsidR="004F1FE0" w:rsidRDefault="00AC4681">
      <w:pPr>
        <w:pStyle w:val="a7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加强文物保护利用，促进文物事业发展。负责做好或配合上级文物业务部门对市域范围内地下文物的调查、勘探、和考古发掘工作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负责文保单位“四有”资料收集整理及建档工作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负责协助做好文物保护工程全流程管理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文物调查、勘探、考古发掘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依法做好可移动文物保护工作。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（二）机构设置及人员情况</w:t>
      </w:r>
    </w:p>
    <w:p w:rsidR="004F1FE0" w:rsidRDefault="00AC4681">
      <w:pPr>
        <w:pStyle w:val="a7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仿宋" w:cs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汨罗市考古研究和文物保护中心属全额编制的事业单位，隶属汨罗市文化旅游广电新闻出版局二级单位。会计属独立会计核算单位。共有人数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人，其中：在职人员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人，退休人员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人。劳务派遣人员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4F1FE0" w:rsidRDefault="00AC4681">
      <w:pPr>
        <w:pStyle w:val="a8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4F1FE0" w:rsidRDefault="00AC4681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年度财政拨款基本支出为</w:t>
      </w:r>
      <w:r>
        <w:rPr>
          <w:rFonts w:ascii="仿宋" w:eastAsia="仿宋" w:hAnsi="仿宋" w:cs="仿宋" w:hint="eastAsia"/>
          <w:sz w:val="32"/>
          <w:szCs w:val="32"/>
        </w:rPr>
        <w:t>228.24</w:t>
      </w:r>
      <w:r>
        <w:rPr>
          <w:rFonts w:ascii="仿宋" w:eastAsia="仿宋" w:hAnsi="仿宋" w:cs="仿宋" w:hint="eastAsia"/>
          <w:sz w:val="32"/>
          <w:szCs w:val="32"/>
        </w:rPr>
        <w:t>万元，其中：人员经费</w:t>
      </w:r>
      <w:r>
        <w:rPr>
          <w:rFonts w:ascii="仿宋" w:eastAsia="仿宋" w:hAnsi="仿宋" w:cs="仿宋" w:hint="eastAsia"/>
          <w:sz w:val="32"/>
          <w:szCs w:val="32"/>
        </w:rPr>
        <w:t>175.87</w:t>
      </w:r>
      <w:r>
        <w:rPr>
          <w:rFonts w:ascii="仿宋" w:eastAsia="仿宋" w:hAnsi="仿宋" w:cs="仿宋" w:hint="eastAsia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sz w:val="32"/>
          <w:szCs w:val="32"/>
        </w:rPr>
        <w:t>77.05%,</w:t>
      </w:r>
      <w:r>
        <w:rPr>
          <w:rFonts w:ascii="仿宋" w:eastAsia="仿宋" w:hAnsi="仿宋" w:cs="仿宋" w:hint="eastAsia"/>
          <w:sz w:val="32"/>
          <w:szCs w:val="32"/>
        </w:rPr>
        <w:t>主要包括基本工资、津贴补贴、绩效工资、机关事业单位基本养老保险缴费、职工基本医疗保险缴费、其他社会保障缴费、住房公积金、生活补助、奖励金、其他对个人和家庭的补助支出；公用经</w:t>
      </w:r>
      <w:r>
        <w:rPr>
          <w:rFonts w:ascii="仿宋" w:eastAsia="仿宋" w:hAnsi="仿宋" w:cs="仿宋" w:hint="eastAsia"/>
          <w:sz w:val="32"/>
          <w:szCs w:val="32"/>
        </w:rPr>
        <w:t>费</w:t>
      </w:r>
      <w:r>
        <w:rPr>
          <w:rFonts w:ascii="仿宋" w:eastAsia="仿宋" w:hAnsi="仿宋" w:cs="仿宋" w:hint="eastAsia"/>
          <w:sz w:val="32"/>
          <w:szCs w:val="32"/>
        </w:rPr>
        <w:t>52.36</w:t>
      </w:r>
      <w:r>
        <w:rPr>
          <w:rFonts w:ascii="仿宋" w:eastAsia="仿宋" w:hAnsi="仿宋" w:cs="仿宋" w:hint="eastAsia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sz w:val="32"/>
          <w:szCs w:val="32"/>
        </w:rPr>
        <w:t>22.94%</w:t>
      </w:r>
      <w:r>
        <w:rPr>
          <w:rFonts w:ascii="仿宋" w:eastAsia="仿宋" w:hAnsi="仿宋" w:cs="仿宋" w:hint="eastAsia"/>
          <w:sz w:val="32"/>
          <w:szCs w:val="32"/>
        </w:rPr>
        <w:t>，主要包括主要包括办公费、印刷费、咨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询费、邮电费、差旅费、维修（护）费、租赁费、培训费、公务接待费、劳务费、工会经费、其他交通费用、其他商品和服务支出。</w:t>
      </w:r>
    </w:p>
    <w:p w:rsidR="004F1FE0" w:rsidRDefault="00AC4681">
      <w:pPr>
        <w:pStyle w:val="a8"/>
        <w:numPr>
          <w:ilvl w:val="0"/>
          <w:numId w:val="1"/>
        </w:numPr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4F1FE0" w:rsidRDefault="00AC4681">
      <w:pPr>
        <w:pStyle w:val="a8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年项目支出年初决算数为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394.12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万元，是指单位为完成特定行政工作任务或事业发展目标而发生的支出，包括有关业务工作经费和运行维护经费。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年度本单位无政府性基金安排的支出</w:t>
      </w:r>
    </w:p>
    <w:p w:rsidR="004F1FE0" w:rsidRDefault="00AC4681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国有资本经营预算支出情况</w:t>
      </w:r>
    </w:p>
    <w:p w:rsidR="004F1FE0" w:rsidRDefault="00AC4681">
      <w:pPr>
        <w:pStyle w:val="a8"/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年度本单位无国有资本经营安排的支出。</w:t>
      </w:r>
    </w:p>
    <w:p w:rsidR="004F1FE0" w:rsidRDefault="00AC4681">
      <w:pPr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napToGrid/>
          <w:sz w:val="32"/>
          <w:szCs w:val="32"/>
          <w:lang w:eastAsia="zh-CN"/>
        </w:rPr>
        <w:t>年度本单位无社会保险基金安排的支出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4F1FE0" w:rsidRDefault="00AC4681">
      <w:pPr>
        <w:pStyle w:val="Bodytext1"/>
        <w:spacing w:line="581" w:lineRule="exact"/>
        <w:ind w:firstLine="640"/>
        <w:jc w:val="both"/>
      </w:pP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全面贯彻落实学习二十大精神，坚持不懈抓好党风廉政建设和意识形态工作，为创建清廉湖南、清廉汨罗、清廉文旅作出贡献。积极争资争项，启动汨罗山墓群安防建设工程和继续进行墓群考古发掘工作；争取闵氏宗祠二期修缮维护经费，力争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23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年底完成闵氏宗祠维护修缮工程；积极推动仇鳌墓维护的工作验收；配合省考古所做好汨罗抽水蓄能电站建设地下文物调查勘探工作；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2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月底完成汨罗市博物馆的备案工作和精品文物展陈工作；申报中共湘北特委—长乐街旧址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维护修缮计划和馆藏文物预防性保护计划；启动四普全国文物普查工作；启动《汨罗市文物志》、《汨罗市文物史话》编纂工作；积极配合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lastRenderedPageBreak/>
        <w:t>开展楚文化遗址公园创建工作，完成汨罗山及楚文化考古工作站建设挂牌工作；力争汨罗山墓群文物保护建设项目和汨罗山墓群周边商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--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东周墓葬及遗址考古发掘标本库房建设项目纳入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23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年中央财政预算项目库；争取将屈原祭祀广场纳入长江国家文化公园和端午文化园项目中；在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9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月底完成馆藏文物的认定评级工作；端午节前，数字文创产品争取出成果；年底前完成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20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处县级文物保护单位的文物安全公告公示牌；以及上级下达的各项</w:t>
      </w:r>
      <w:r>
        <w:rPr>
          <w:rFonts w:ascii="仿宋" w:eastAsia="仿宋" w:hAnsi="仿宋" w:cs="仿宋" w:hint="eastAsia"/>
          <w:snapToGrid/>
          <w:sz w:val="32"/>
          <w:szCs w:val="32"/>
          <w:lang w:val="en-US" w:eastAsia="zh-CN" w:bidi="ar-SA"/>
        </w:rPr>
        <w:t>中心工作任务。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、整体支出绩效存在的问题及原因分析为：决算数大于预算数，原因是经费预算不足。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、项目支出绩效存在的问题及原因分析为：决算数大于预算数，原因是项目经费预算不足。</w:t>
      </w:r>
    </w:p>
    <w:p w:rsidR="004F1FE0" w:rsidRDefault="00AC4681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下一步改进措施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、加强学习，积极参加及定期举行业务培训，加强财务人员及项目负责人的业务学习。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、加强预算绩效分析，进一步加强预算资金支出的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结果跟踪，更有效地使用各项资金。</w:t>
      </w:r>
    </w:p>
    <w:p w:rsidR="004F1FE0" w:rsidRDefault="004F1FE0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4F1FE0" w:rsidRDefault="00AC4681">
      <w:pPr>
        <w:numPr>
          <w:ilvl w:val="0"/>
          <w:numId w:val="3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lastRenderedPageBreak/>
        <w:t>部门整体支出绩效自评结果拟应用和公开情况</w:t>
      </w:r>
    </w:p>
    <w:p w:rsidR="004F1FE0" w:rsidRDefault="00AC4681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已公开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、项目支出绩效自评表（每个一级项目支出一张表）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4F1FE0" w:rsidRDefault="00AC4681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4F1FE0" w:rsidRDefault="004F1FE0">
      <w:pPr>
        <w:spacing w:line="600" w:lineRule="exact"/>
        <w:jc w:val="both"/>
        <w:rPr>
          <w:rFonts w:eastAsia="仿宋_GB2312"/>
          <w:sz w:val="32"/>
          <w:szCs w:val="32"/>
          <w:lang w:eastAsia="zh-CN"/>
        </w:rPr>
      </w:pPr>
    </w:p>
    <w:p w:rsidR="00D415DA" w:rsidRDefault="00D415DA">
      <w:pPr>
        <w:spacing w:line="267" w:lineRule="auto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4F1FE0" w:rsidRDefault="00AC4681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4F1FE0" w:rsidRDefault="004F1FE0">
      <w:pPr>
        <w:spacing w:before="201" w:line="578" w:lineRule="exact"/>
        <w:ind w:left="2169"/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</w:pPr>
    </w:p>
    <w:p w:rsidR="004F1FE0" w:rsidRDefault="004F1FE0">
      <w:pPr>
        <w:spacing w:before="201" w:line="578" w:lineRule="exact"/>
        <w:ind w:left="2169"/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</w:pPr>
    </w:p>
    <w:p w:rsidR="004F1FE0" w:rsidRDefault="004F1FE0">
      <w:pPr>
        <w:spacing w:before="201" w:line="578" w:lineRule="exact"/>
        <w:ind w:left="2169"/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</w:pPr>
    </w:p>
    <w:p w:rsidR="004F1FE0" w:rsidRDefault="00AC4681">
      <w:pPr>
        <w:spacing w:before="201" w:line="578" w:lineRule="exact"/>
        <w:jc w:val="center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  <w:r>
        <w:rPr>
          <w:rFonts w:ascii="宋体" w:eastAsia="宋体" w:hAnsi="宋体" w:cs="宋体" w:hint="eastAsia"/>
          <w:b/>
          <w:bCs/>
          <w:spacing w:val="15"/>
          <w:position w:val="10"/>
          <w:sz w:val="48"/>
          <w:szCs w:val="48"/>
          <w:lang w:eastAsia="zh-CN"/>
        </w:rPr>
        <w:t>2023</w:t>
      </w:r>
      <w:r>
        <w:rPr>
          <w:rFonts w:ascii="宋体" w:eastAsia="宋体" w:hAnsi="宋体" w:cs="宋体" w:hint="eastAsia"/>
          <w:b/>
          <w:bCs/>
          <w:spacing w:val="15"/>
          <w:position w:val="10"/>
          <w:sz w:val="48"/>
          <w:szCs w:val="48"/>
          <w:lang w:eastAsia="zh-CN"/>
        </w:rPr>
        <w:t>年度文物保护项目支出</w:t>
      </w:r>
    </w:p>
    <w:p w:rsidR="004F1FE0" w:rsidRDefault="00AC4681">
      <w:pPr>
        <w:spacing w:before="1" w:line="220" w:lineRule="auto"/>
        <w:jc w:val="center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  <w:r>
        <w:rPr>
          <w:rFonts w:ascii="宋体" w:eastAsia="宋体" w:hAnsi="宋体" w:cs="宋体" w:hint="eastAsia"/>
          <w:b/>
          <w:bCs/>
          <w:spacing w:val="10"/>
          <w:sz w:val="48"/>
          <w:szCs w:val="48"/>
          <w:lang w:eastAsia="zh-CN"/>
        </w:rPr>
        <w:t>绩效自评报告</w:t>
      </w: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6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4F1FE0">
      <w:pPr>
        <w:spacing w:line="247" w:lineRule="auto"/>
        <w:rPr>
          <w:lang w:eastAsia="zh-CN"/>
        </w:rPr>
      </w:pPr>
    </w:p>
    <w:p w:rsidR="004F1FE0" w:rsidRDefault="00AC4681">
      <w:pPr>
        <w:pStyle w:val="a3"/>
        <w:spacing w:before="89" w:line="221" w:lineRule="auto"/>
        <w:ind w:left="2270"/>
        <w:rPr>
          <w:sz w:val="32"/>
          <w:szCs w:val="32"/>
          <w:lang w:eastAsia="zh-CN"/>
        </w:rPr>
      </w:pPr>
      <w:r>
        <w:rPr>
          <w:spacing w:val="-22"/>
          <w:sz w:val="32"/>
          <w:szCs w:val="32"/>
          <w:lang w:eastAsia="zh-CN"/>
        </w:rPr>
        <w:t>部</w:t>
      </w:r>
      <w:r>
        <w:rPr>
          <w:spacing w:val="-22"/>
          <w:sz w:val="32"/>
          <w:szCs w:val="32"/>
          <w:lang w:eastAsia="zh-CN"/>
        </w:rPr>
        <w:t xml:space="preserve"> </w:t>
      </w:r>
      <w:r>
        <w:rPr>
          <w:spacing w:val="-22"/>
          <w:sz w:val="32"/>
          <w:szCs w:val="32"/>
          <w:lang w:eastAsia="zh-CN"/>
        </w:rPr>
        <w:t>门</w:t>
      </w:r>
      <w:r>
        <w:rPr>
          <w:spacing w:val="-22"/>
          <w:sz w:val="32"/>
          <w:szCs w:val="32"/>
          <w:lang w:eastAsia="zh-CN"/>
        </w:rPr>
        <w:t xml:space="preserve"> ( </w:t>
      </w:r>
      <w:r>
        <w:rPr>
          <w:spacing w:val="-22"/>
          <w:sz w:val="32"/>
          <w:szCs w:val="32"/>
          <w:lang w:eastAsia="zh-CN"/>
        </w:rPr>
        <w:t>单位</w:t>
      </w:r>
      <w:r>
        <w:rPr>
          <w:spacing w:val="-22"/>
          <w:sz w:val="32"/>
          <w:szCs w:val="32"/>
          <w:lang w:eastAsia="zh-CN"/>
        </w:rPr>
        <w:t>)</w:t>
      </w:r>
      <w:r>
        <w:rPr>
          <w:spacing w:val="-22"/>
          <w:sz w:val="32"/>
          <w:szCs w:val="32"/>
          <w:lang w:eastAsia="zh-CN"/>
        </w:rPr>
        <w:t>名称：</w:t>
      </w:r>
      <w:r>
        <w:rPr>
          <w:spacing w:val="-22"/>
          <w:sz w:val="32"/>
          <w:szCs w:val="32"/>
          <w:u w:val="single"/>
          <w:lang w:eastAsia="zh-CN"/>
        </w:rPr>
        <w:t xml:space="preserve">   (</w:t>
      </w:r>
      <w:r>
        <w:rPr>
          <w:spacing w:val="-22"/>
          <w:sz w:val="32"/>
          <w:szCs w:val="32"/>
          <w:u w:val="single"/>
          <w:lang w:eastAsia="zh-CN"/>
        </w:rPr>
        <w:t>盖章</w:t>
      </w:r>
      <w:r>
        <w:rPr>
          <w:spacing w:val="-22"/>
          <w:sz w:val="32"/>
          <w:szCs w:val="32"/>
          <w:u w:val="single"/>
          <w:lang w:eastAsia="zh-CN"/>
        </w:rPr>
        <w:t>)</w:t>
      </w:r>
    </w:p>
    <w:p w:rsidR="004F1FE0" w:rsidRDefault="00AC4681">
      <w:pPr>
        <w:pStyle w:val="a3"/>
        <w:spacing w:before="289" w:line="610" w:lineRule="exact"/>
        <w:ind w:left="3490"/>
        <w:rPr>
          <w:sz w:val="32"/>
          <w:szCs w:val="32"/>
          <w:lang w:eastAsia="zh-CN"/>
        </w:rPr>
      </w:pPr>
      <w:r>
        <w:rPr>
          <w:spacing w:val="-13"/>
          <w:position w:val="26"/>
          <w:sz w:val="32"/>
          <w:szCs w:val="32"/>
          <w:lang w:eastAsia="zh-CN"/>
        </w:rPr>
        <w:t>年</w:t>
      </w:r>
      <w:r>
        <w:rPr>
          <w:spacing w:val="-13"/>
          <w:position w:val="26"/>
          <w:sz w:val="32"/>
          <w:szCs w:val="32"/>
          <w:lang w:eastAsia="zh-CN"/>
        </w:rPr>
        <w:t xml:space="preserve">   </w:t>
      </w:r>
      <w:r>
        <w:rPr>
          <w:spacing w:val="-13"/>
          <w:position w:val="26"/>
          <w:sz w:val="32"/>
          <w:szCs w:val="32"/>
          <w:lang w:eastAsia="zh-CN"/>
        </w:rPr>
        <w:t>月</w:t>
      </w:r>
      <w:r w:rsidR="00D415DA">
        <w:rPr>
          <w:rFonts w:hint="eastAsia"/>
          <w:spacing w:val="-13"/>
          <w:position w:val="26"/>
          <w:sz w:val="32"/>
          <w:szCs w:val="32"/>
          <w:lang w:eastAsia="zh-CN"/>
        </w:rPr>
        <w:t xml:space="preserve">  </w:t>
      </w:r>
      <w:r>
        <w:rPr>
          <w:spacing w:val="-13"/>
          <w:position w:val="26"/>
          <w:sz w:val="32"/>
          <w:szCs w:val="32"/>
          <w:lang w:eastAsia="zh-CN"/>
        </w:rPr>
        <w:t>日</w:t>
      </w:r>
    </w:p>
    <w:p w:rsidR="004F1FE0" w:rsidRDefault="00AC4681">
      <w:pPr>
        <w:pStyle w:val="a3"/>
        <w:spacing w:before="1" w:line="223" w:lineRule="auto"/>
        <w:ind w:left="3560"/>
        <w:rPr>
          <w:sz w:val="32"/>
          <w:szCs w:val="32"/>
          <w:lang w:eastAsia="zh-CN"/>
        </w:rPr>
      </w:pPr>
      <w:r>
        <w:rPr>
          <w:spacing w:val="7"/>
          <w:sz w:val="32"/>
          <w:szCs w:val="32"/>
          <w:lang w:eastAsia="zh-CN"/>
        </w:rPr>
        <w:t>(</w:t>
      </w:r>
      <w:r>
        <w:rPr>
          <w:spacing w:val="7"/>
          <w:sz w:val="32"/>
          <w:szCs w:val="32"/>
          <w:lang w:eastAsia="zh-CN"/>
        </w:rPr>
        <w:t>此面为封面</w:t>
      </w:r>
      <w:r>
        <w:rPr>
          <w:spacing w:val="7"/>
          <w:sz w:val="32"/>
          <w:szCs w:val="32"/>
          <w:lang w:eastAsia="zh-CN"/>
        </w:rPr>
        <w:t>)</w:t>
      </w:r>
    </w:p>
    <w:p w:rsidR="004F1FE0" w:rsidRDefault="004F1FE0">
      <w:pPr>
        <w:spacing w:line="223" w:lineRule="auto"/>
        <w:rPr>
          <w:sz w:val="32"/>
          <w:szCs w:val="32"/>
          <w:lang w:eastAsia="zh-CN"/>
        </w:rPr>
        <w:sectPr w:rsidR="004F1FE0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4F1FE0" w:rsidRDefault="00AC4681">
      <w:pPr>
        <w:spacing w:before="137" w:line="221" w:lineRule="auto"/>
        <w:jc w:val="center"/>
        <w:rPr>
          <w:rFonts w:ascii="宋体" w:eastAsia="宋体" w:hAnsi="宋体" w:cs="宋体"/>
          <w:b/>
          <w:bCs/>
          <w:spacing w:val="6"/>
          <w:sz w:val="48"/>
          <w:szCs w:val="4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6"/>
          <w:sz w:val="48"/>
          <w:szCs w:val="48"/>
          <w:lang w:eastAsia="zh-CN"/>
        </w:rPr>
        <w:lastRenderedPageBreak/>
        <w:t>项目支出绩效评价报告</w:t>
      </w:r>
    </w:p>
    <w:p w:rsidR="004F1FE0" w:rsidRDefault="004F1FE0">
      <w:pPr>
        <w:spacing w:before="137" w:line="221" w:lineRule="auto"/>
        <w:jc w:val="center"/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</w:pPr>
    </w:p>
    <w:p w:rsidR="004F1FE0" w:rsidRDefault="00AC4681">
      <w:pPr>
        <w:pStyle w:val="a8"/>
        <w:numPr>
          <w:ilvl w:val="0"/>
          <w:numId w:val="4"/>
        </w:numPr>
        <w:spacing w:line="560" w:lineRule="exact"/>
        <w:ind w:firstLineChars="0"/>
        <w:outlineLvl w:val="0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项目支出基本情况</w:t>
      </w:r>
    </w:p>
    <w:p w:rsidR="004F1FE0" w:rsidRDefault="00AC4681">
      <w:pPr>
        <w:spacing w:line="520" w:lineRule="exact"/>
        <w:ind w:firstLineChars="200" w:firstLine="640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汨罗市考古研究和文物保护中心隶属汨罗市文旅广新局，事业单位，全额预算，独立法人，独立核算，现有编制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人。汨罗市考古研究和文物保护中心严格执行《中华人民共和国文物保护法》，认真贯彻“保护为主、抢救第一、合理利用、加强管理”的文物工作方针，结合自身实际，求真务实，强化管理，开拓创新，文物保护工作取得一定的成绩。全域内现有全国重点文物保护单位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处，省级文物保护单位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处，岳阳市市级文物保护单位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处，市（县）级文物保护单位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110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处。</w:t>
      </w:r>
    </w:p>
    <w:p w:rsidR="004F1FE0" w:rsidRDefault="00AC4681">
      <w:pPr>
        <w:pStyle w:val="a8"/>
        <w:spacing w:line="560" w:lineRule="exact"/>
        <w:ind w:left="592" w:firstLineChars="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5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pacing w:val="-15"/>
          <w:sz w:val="32"/>
          <w:szCs w:val="32"/>
          <w:lang w:eastAsia="zh-CN"/>
        </w:rPr>
        <w:t>一</w:t>
      </w:r>
      <w:r>
        <w:rPr>
          <w:rFonts w:ascii="仿宋" w:eastAsia="仿宋" w:hAnsi="仿宋" w:cs="仿宋" w:hint="eastAsia"/>
          <w:spacing w:val="-15"/>
          <w:sz w:val="32"/>
          <w:szCs w:val="32"/>
          <w:lang w:eastAsia="zh-CN"/>
        </w:rPr>
        <w:t>）、项目支出概况。</w:t>
      </w:r>
    </w:p>
    <w:p w:rsidR="004F1FE0" w:rsidRDefault="00AC4681" w:rsidP="00D415DA">
      <w:pPr>
        <w:pStyle w:val="a8"/>
        <w:spacing w:line="520" w:lineRule="exact"/>
        <w:ind w:firstLine="640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月下达文物保护专项资金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万元，汨预专（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0001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指标文号。汨罗山墓群安全技术防范系统工程资金分两笔到账，第一笔资金到账时间：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日，汨罗山墓群安全技术防范系统工程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万元（湘财文指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[2023]47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号）到账。第二笔资金到账时间：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日，汨罗山墓群安全技术防范系统工程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万元（湘财文指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[2023]0164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号）到账。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日，仇鳌墓工程经费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万元（湘财预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[2023]0164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号）到账。专项资金已支出文物保护经费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394.12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万元。</w:t>
      </w:r>
    </w:p>
    <w:p w:rsidR="004F1FE0" w:rsidRDefault="00AC4681">
      <w:pPr>
        <w:pStyle w:val="a8"/>
        <w:spacing w:line="560" w:lineRule="exact"/>
        <w:ind w:left="592" w:firstLineChars="0" w:firstLine="0"/>
        <w:jc w:val="both"/>
        <w:rPr>
          <w:rFonts w:ascii="仿宋" w:eastAsia="仿宋" w:hAnsi="仿宋" w:cs="仿宋"/>
          <w:spacing w:val="-1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（</w:t>
      </w: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二</w:t>
      </w: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）、项目资金使用管理情况</w:t>
      </w:r>
    </w:p>
    <w:p w:rsidR="004F1FE0" w:rsidRDefault="00AC4681" w:rsidP="00D415DA">
      <w:pPr>
        <w:pStyle w:val="a8"/>
        <w:spacing w:line="520" w:lineRule="exact"/>
        <w:ind w:firstLine="640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资金使用情况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: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专项资金共支出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394.12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万元，文物保护保护点广告公示牌、文物保护单位日常维护修缮、文物保</w:t>
      </w:r>
      <w:r>
        <w:rPr>
          <w:rFonts w:eastAsia="仿宋_GB2312" w:hint="eastAsia"/>
          <w:sz w:val="32"/>
          <w:szCs w:val="32"/>
          <w:lang w:eastAsia="zh-CN"/>
        </w:rPr>
        <w:lastRenderedPageBreak/>
        <w:t>护单位守护、馆藏文物收藏及鉴定、汨罗山墓群安全技术防范系统工程、仇鳌墓工程等。</w:t>
      </w:r>
    </w:p>
    <w:p w:rsidR="004F1FE0" w:rsidRDefault="00AC4681" w:rsidP="00D415DA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资金管理情况：我所严格按照财政部、国家文物局《关于印发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&lt;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国家重点文物保护专项补助资金管理办法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&gt;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的通知》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财教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[2013]116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号）、《关于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&lt;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国家重点文物保护专项补助资金管理办法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&gt;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的补充通知》（财文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[2016]26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号）、《湖南省文物保护专项补足资金管理办法》等规定、文物保护的法律法规和财务会计制度执行，建立专项台账，做到专款专用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4F1FE0" w:rsidRDefault="00AC4681" w:rsidP="00D415DA">
      <w:pPr>
        <w:pStyle w:val="Bodytext1"/>
        <w:spacing w:line="581" w:lineRule="exact"/>
        <w:ind w:firstLineChars="200" w:firstLine="590"/>
        <w:jc w:val="both"/>
        <w:rPr>
          <w:rFonts w:ascii="仿宋" w:eastAsia="仿宋" w:hAnsi="仿宋" w:cs="仿宋"/>
          <w:spacing w:val="6"/>
          <w:position w:val="16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5"/>
          <w:sz w:val="31"/>
          <w:szCs w:val="31"/>
          <w:lang w:val="en-US" w:eastAsia="zh-CN"/>
        </w:rPr>
        <w:t>（三）、</w:t>
      </w: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项目支出绩效目标完成程度</w:t>
      </w:r>
    </w:p>
    <w:p w:rsidR="004F1FE0" w:rsidRDefault="00AC4681">
      <w:pPr>
        <w:pStyle w:val="Bodytext1"/>
        <w:spacing w:line="581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启动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汨罗山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墓群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安防建设工程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继续进行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墓群考古发掘工作；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争取闵氏宗祠二期修缮维护经费，力争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年底完成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闵氏宗祠维护修缮工程；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积极推动仇鳌墓维护的工作验收；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、配合省考古所做好汨罗</w:t>
      </w:r>
      <w:r>
        <w:rPr>
          <w:rFonts w:ascii="仿宋" w:eastAsia="仿宋" w:hAnsi="仿宋" w:cs="仿宋" w:hint="eastAsia"/>
          <w:sz w:val="32"/>
          <w:szCs w:val="32"/>
        </w:rPr>
        <w:t>抽水蓄能电站建设地下文物调查勘探工作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月底完成汨罗市博物馆的备案工作和精品文物展陈工作。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、申报中共湘北特委—长乐街旧址维护修缮计划和馆藏文物预防性保护计划；启动四普全国文物普查工作。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启动《汨罗市文物志》、《汨罗市文物史话》编纂工作；积极配合开展楚文化遗址公园创建工作，完成汨罗山及楚文化考古工作站建设挂牌工作；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力争汨罗山墓群文物保护建设项目和汨罗山墓群周边商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--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东周墓葬及遗址考古发掘标本库房建设项目纳入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年中央财政预算项目库；争取将屈原祭祀广场纳入长江国家文化公园和端午文化园项目中。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、在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月底完成馆藏文物的认定评级工作；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lastRenderedPageBreak/>
        <w:t>端午节前，数字文创产品争取出成果；年底前完成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处县级文物保护单位的文物安全公告公示牌；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以及上级下达的各项中心工作任务。</w:t>
      </w:r>
    </w:p>
    <w:p w:rsidR="004F1FE0" w:rsidRDefault="00AC4681" w:rsidP="00D415DA">
      <w:pPr>
        <w:spacing w:line="560" w:lineRule="exact"/>
        <w:ind w:firstLineChars="200" w:firstLine="613"/>
        <w:jc w:val="both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二、绩效评价工作情况</w:t>
      </w:r>
    </w:p>
    <w:p w:rsidR="004F1FE0" w:rsidRDefault="00AC4681">
      <w:pPr>
        <w:spacing w:line="52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主要目标以保护、管理、</w:t>
      </w:r>
      <w:r>
        <w:rPr>
          <w:rFonts w:eastAsia="仿宋_GB2312" w:hint="eastAsia"/>
          <w:sz w:val="32"/>
          <w:szCs w:val="32"/>
          <w:lang w:eastAsia="zh-CN"/>
        </w:rPr>
        <w:t>利用好文物，传承和弘扬传统文化。严格贯彻落实文物保护的“十六字”方针，合理利用好文物，不但能使广大群众充分感受中华传统文化的魅力，提高科学文化素质。</w:t>
      </w:r>
    </w:p>
    <w:p w:rsidR="004F1FE0" w:rsidRDefault="00AC4681" w:rsidP="00D415DA">
      <w:pPr>
        <w:spacing w:line="560" w:lineRule="exact"/>
        <w:ind w:firstLineChars="200" w:firstLine="613"/>
        <w:outlineLvl w:val="0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三</w:t>
      </w: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、项目支出主要绩效及评价结论</w:t>
      </w:r>
    </w:p>
    <w:p w:rsidR="004F1FE0" w:rsidRDefault="00AC4681">
      <w:pPr>
        <w:spacing w:line="52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从各线履职及履职效益整体来看，文物保护项目实施效果较好，大家相互配合，共同进步。从社会效益来看，我中心以保护、管理、利用好文物，传承和弘扬传统文化为主要目标，不但能使广大群众充分感受中华传统文化的魅力，也能提高全民科学文化素质。从成本、时间指标来看，严格按照年初预算来完成各项任务，年度开支控制在预算及财政规定范围内。从生态效益</w:t>
      </w:r>
      <w:r>
        <w:rPr>
          <w:rFonts w:eastAsia="仿宋_GB2312" w:hint="eastAsia"/>
          <w:sz w:val="32"/>
          <w:szCs w:val="32"/>
          <w:lang w:eastAsia="zh-CN"/>
        </w:rPr>
        <w:t>来看，保护了文物资源的可持续利用，恢复了生态系统，美化了汨罗市容市貌，提高了人民生活标准。各线对各自承担的任务按计划时间进度进行，高质量、高标准完成。</w:t>
      </w:r>
    </w:p>
    <w:p w:rsidR="004F1FE0" w:rsidRDefault="00AC4681">
      <w:pPr>
        <w:spacing w:line="52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年度文物保护项目支出绩效评价自评为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98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4F1FE0" w:rsidRDefault="00AC4681" w:rsidP="00D415DA">
      <w:pPr>
        <w:spacing w:line="560" w:lineRule="exact"/>
        <w:ind w:firstLineChars="200" w:firstLine="613"/>
        <w:outlineLvl w:val="0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四、</w:t>
      </w: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绩效评价指标分析</w:t>
      </w:r>
    </w:p>
    <w:p w:rsidR="004F1FE0" w:rsidRDefault="00AC4681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（</w:t>
      </w:r>
      <w:r>
        <w:rPr>
          <w:rFonts w:eastAsia="仿宋_GB2312" w:hint="eastAsia"/>
          <w:sz w:val="32"/>
          <w:szCs w:val="32"/>
          <w:lang w:eastAsia="zh-CN"/>
        </w:rPr>
        <w:t>一</w:t>
      </w:r>
      <w:r>
        <w:rPr>
          <w:rFonts w:eastAsia="仿宋_GB2312" w:hint="eastAsia"/>
          <w:sz w:val="32"/>
          <w:szCs w:val="32"/>
          <w:lang w:eastAsia="zh-CN"/>
        </w:rPr>
        <w:t>）、项目支出决策情况</w:t>
      </w:r>
    </w:p>
    <w:p w:rsidR="004F1FE0" w:rsidRDefault="00AC4681">
      <w:pPr>
        <w:spacing w:line="52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我所严格按照财政部、国家文物局《关于印发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&lt;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国家重点文物保护专项补助资金管理办法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&gt;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的通知》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(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财教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[2013]116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号）、《关于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&lt;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国家重点文物保护专项补助资金管理办法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&gt;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的补充通知》（财文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[2016]26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号）、《湖南省文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物保护专项补足资金管理办法》等规定、文物保护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的法律法规和财务会计制度执行，建立专项台账，做到专款专用。</w:t>
      </w:r>
    </w:p>
    <w:p w:rsidR="004F1FE0" w:rsidRDefault="00AC4681">
      <w:pPr>
        <w:spacing w:line="560" w:lineRule="exact"/>
        <w:ind w:left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（</w:t>
      </w:r>
      <w:r>
        <w:rPr>
          <w:rFonts w:eastAsia="仿宋_GB2312" w:hint="eastAsia"/>
          <w:sz w:val="32"/>
          <w:szCs w:val="32"/>
          <w:lang w:eastAsia="zh-CN"/>
        </w:rPr>
        <w:t>二</w:t>
      </w:r>
      <w:r>
        <w:rPr>
          <w:rFonts w:eastAsia="仿宋_GB2312" w:hint="eastAsia"/>
          <w:sz w:val="32"/>
          <w:szCs w:val="32"/>
          <w:lang w:eastAsia="zh-CN"/>
        </w:rPr>
        <w:t>）、项目执行过程情况</w:t>
      </w:r>
    </w:p>
    <w:p w:rsidR="004F1FE0" w:rsidRDefault="00AC4681">
      <w:pPr>
        <w:spacing w:line="560" w:lineRule="exact"/>
        <w:ind w:left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资金投入及执行根据合同支付资金，已拨付到位。</w:t>
      </w:r>
    </w:p>
    <w:p w:rsidR="004F1FE0" w:rsidRDefault="00AC4681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（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）、项目支出产出情况</w:t>
      </w:r>
    </w:p>
    <w:p w:rsidR="004F1FE0" w:rsidRDefault="00AC468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）数量指标：完成项目启动工作。</w:t>
      </w:r>
    </w:p>
    <w:p w:rsidR="004F1FE0" w:rsidRDefault="00AC4681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）质量指标：项目质量达标按计划全部完成。</w:t>
      </w:r>
    </w:p>
    <w:p w:rsidR="004F1FE0" w:rsidRDefault="00AC468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）时效指标：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年度内完成。</w:t>
      </w:r>
    </w:p>
    <w:p w:rsidR="004F1FE0" w:rsidRDefault="00AC4681">
      <w:pPr>
        <w:spacing w:line="52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）成本指标：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394.12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万元。</w:t>
      </w:r>
    </w:p>
    <w:p w:rsidR="004F1FE0" w:rsidRDefault="00AC4681">
      <w:pPr>
        <w:pStyle w:val="a8"/>
        <w:spacing w:line="560" w:lineRule="exact"/>
        <w:ind w:left="592" w:firstLineChars="0" w:firstLine="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（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）、项目支出效益情况</w:t>
      </w:r>
    </w:p>
    <w:p w:rsidR="004F1FE0" w:rsidRDefault="00AC4681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）经济效益：对当地旅游休闲、文化等产业发展起较大的带动作用。</w:t>
      </w:r>
    </w:p>
    <w:p w:rsidR="004F1FE0" w:rsidRDefault="00AC4681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）社会效益：促进文物资源的可持续利用和保护。</w:t>
      </w:r>
    </w:p>
    <w:p w:rsidR="004F1FE0" w:rsidRDefault="00AC4681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）生态效益：恢复生态系统。</w:t>
      </w:r>
    </w:p>
    <w:p w:rsidR="004F1FE0" w:rsidRDefault="00AC4681">
      <w:pPr>
        <w:pStyle w:val="a8"/>
        <w:spacing w:line="520" w:lineRule="exact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）可持续影响：提升群众全民文物保护意识。</w:t>
      </w:r>
    </w:p>
    <w:p w:rsidR="004F1FE0" w:rsidRDefault="00AC4681" w:rsidP="00D415DA">
      <w:pPr>
        <w:spacing w:line="560" w:lineRule="exact"/>
        <w:ind w:firstLineChars="200" w:firstLine="613"/>
        <w:outlineLvl w:val="0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五、主要经验及做法、存在的问题及原因分析</w:t>
      </w:r>
    </w:p>
    <w:p w:rsidR="004F1FE0" w:rsidRDefault="00AC4681">
      <w:pPr>
        <w:spacing w:line="52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区域内不可移动文物数量较大，都处于野外，基层文物部门保护难度大；文保资金短缺，保护工作难以施展；文物技术保护方面的专业人才匮乏。建议提高文物保护工作质量，人才培养是关键，加强文保人才队伍建设至关重要。</w:t>
      </w:r>
    </w:p>
    <w:p w:rsidR="004F1FE0" w:rsidRDefault="00AC4681" w:rsidP="00D415DA">
      <w:pPr>
        <w:spacing w:line="560" w:lineRule="exact"/>
        <w:ind w:firstLineChars="200" w:firstLine="613"/>
        <w:outlineLvl w:val="0"/>
        <w:rPr>
          <w:rFonts w:ascii="仿宋" w:eastAsia="仿宋" w:hAnsi="仿宋" w:cs="仿宋"/>
          <w:b/>
          <w:bCs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六、有关建议</w:t>
      </w:r>
    </w:p>
    <w:p w:rsidR="004F1FE0" w:rsidRDefault="00AC4681">
      <w:pPr>
        <w:spacing w:line="560" w:lineRule="exact"/>
        <w:ind w:firstLineChars="550" w:firstLine="176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  <w:r>
        <w:rPr>
          <w:rFonts w:eastAsia="仿宋_GB2312" w:hint="eastAsia"/>
          <w:sz w:val="32"/>
          <w:szCs w:val="32"/>
          <w:lang w:eastAsia="zh-CN"/>
        </w:rPr>
        <w:t xml:space="preserve"> </w:t>
      </w:r>
    </w:p>
    <w:p w:rsidR="004F1FE0" w:rsidRDefault="00AC4681" w:rsidP="00D415DA">
      <w:pPr>
        <w:spacing w:line="560" w:lineRule="exact"/>
        <w:ind w:firstLineChars="200" w:firstLine="613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15"/>
          <w:sz w:val="32"/>
          <w:szCs w:val="32"/>
          <w:lang w:eastAsia="zh-CN"/>
        </w:rPr>
        <w:t>七、其他需要说明的问题</w:t>
      </w:r>
    </w:p>
    <w:p w:rsidR="004F1FE0" w:rsidRDefault="00AC4681">
      <w:pPr>
        <w:spacing w:line="560" w:lineRule="exact"/>
        <w:ind w:firstLineChars="550" w:firstLine="176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</w:p>
    <w:sectPr w:rsidR="004F1FE0" w:rsidSect="004F1FE0">
      <w:footerReference w:type="default" r:id="rId15"/>
      <w:pgSz w:w="11900" w:h="16820"/>
      <w:pgMar w:top="1440" w:right="1800" w:bottom="1440" w:left="18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81" w:rsidRDefault="00AC4681" w:rsidP="004F1FE0">
      <w:r>
        <w:separator/>
      </w:r>
    </w:p>
  </w:endnote>
  <w:endnote w:type="continuationSeparator" w:id="1">
    <w:p w:rsidR="00AC4681" w:rsidRDefault="00AC4681" w:rsidP="004F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F1FE0" w:rsidRDefault="004F1FE0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C468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681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AC4681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F1FE0" w:rsidRDefault="004F1FE0">
    <w:pPr>
      <w:pStyle w:val="a5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F1FE0" w:rsidRDefault="004F1FE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4F1FE0" w:rsidRDefault="004F1FE0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4F1FE0" w:rsidRDefault="004F1FE0">
        <w:pPr>
          <w:pStyle w:val="a5"/>
          <w:jc w:val="right"/>
          <w:rPr>
            <w:rFonts w:asciiTheme="minorEastAsia" w:eastAsiaTheme="minorEastAsia" w:hAnsiTheme="minorEastAsia"/>
          </w:rPr>
        </w:pPr>
      </w:p>
    </w:sdtContent>
  </w:sdt>
  <w:p w:rsidR="004F1FE0" w:rsidRDefault="004F1FE0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81" w:rsidRDefault="00AC4681" w:rsidP="004F1FE0">
      <w:r>
        <w:separator/>
      </w:r>
    </w:p>
  </w:footnote>
  <w:footnote w:type="continuationSeparator" w:id="1">
    <w:p w:rsidR="00AC4681" w:rsidRDefault="00AC4681" w:rsidP="004F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0" w:rsidRDefault="004F1F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B92D6"/>
    <w:multiLevelType w:val="singleLevel"/>
    <w:tmpl w:val="98AB92D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ACE03D"/>
    <w:multiLevelType w:val="singleLevel"/>
    <w:tmpl w:val="C5ACE03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C6686"/>
    <w:multiLevelType w:val="multilevel"/>
    <w:tmpl w:val="59AC6686"/>
    <w:lvl w:ilvl="0">
      <w:start w:val="1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20"/>
      </w:pPr>
    </w:lvl>
    <w:lvl w:ilvl="2">
      <w:start w:val="1"/>
      <w:numFmt w:val="lowerRoman"/>
      <w:lvlText w:val="%3."/>
      <w:lvlJc w:val="right"/>
      <w:pPr>
        <w:ind w:left="1852" w:hanging="420"/>
      </w:pPr>
    </w:lvl>
    <w:lvl w:ilvl="3">
      <w:start w:val="1"/>
      <w:numFmt w:val="decimal"/>
      <w:lvlText w:val="%4."/>
      <w:lvlJc w:val="left"/>
      <w:pPr>
        <w:ind w:left="2272" w:hanging="420"/>
      </w:pPr>
    </w:lvl>
    <w:lvl w:ilvl="4">
      <w:start w:val="1"/>
      <w:numFmt w:val="lowerLetter"/>
      <w:lvlText w:val="%5)"/>
      <w:lvlJc w:val="left"/>
      <w:pPr>
        <w:ind w:left="2692" w:hanging="420"/>
      </w:pPr>
    </w:lvl>
    <w:lvl w:ilvl="5">
      <w:start w:val="1"/>
      <w:numFmt w:val="lowerRoman"/>
      <w:lvlText w:val="%6."/>
      <w:lvlJc w:val="right"/>
      <w:pPr>
        <w:ind w:left="3112" w:hanging="420"/>
      </w:pPr>
    </w:lvl>
    <w:lvl w:ilvl="6">
      <w:start w:val="1"/>
      <w:numFmt w:val="decimal"/>
      <w:lvlText w:val="%7."/>
      <w:lvlJc w:val="left"/>
      <w:pPr>
        <w:ind w:left="3532" w:hanging="420"/>
      </w:pPr>
    </w:lvl>
    <w:lvl w:ilvl="7">
      <w:start w:val="1"/>
      <w:numFmt w:val="lowerLetter"/>
      <w:lvlText w:val="%8)"/>
      <w:lvlJc w:val="left"/>
      <w:pPr>
        <w:ind w:left="3952" w:hanging="420"/>
      </w:pPr>
    </w:lvl>
    <w:lvl w:ilvl="8">
      <w:start w:val="1"/>
      <w:numFmt w:val="lowerRoman"/>
      <w:lvlText w:val="%9."/>
      <w:lvlJc w:val="right"/>
      <w:pPr>
        <w:ind w:left="4372" w:hanging="420"/>
      </w:pPr>
    </w:lvl>
  </w:abstractNum>
  <w:abstractNum w:abstractNumId="3">
    <w:nsid w:val="67A80507"/>
    <w:multiLevelType w:val="singleLevel"/>
    <w:tmpl w:val="67A8050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TJiY2I2ZThlMzZmNzhjOTMyNzE4ZDk5MzlkZjA0OTMifQ=="/>
  </w:docVars>
  <w:rsids>
    <w:rsidRoot w:val="008F49A5"/>
    <w:rsid w:val="000030BB"/>
    <w:rsid w:val="000C2012"/>
    <w:rsid w:val="00167461"/>
    <w:rsid w:val="001B5841"/>
    <w:rsid w:val="00222E0E"/>
    <w:rsid w:val="00227F3A"/>
    <w:rsid w:val="00234570"/>
    <w:rsid w:val="00281D25"/>
    <w:rsid w:val="002957E0"/>
    <w:rsid w:val="002B17F3"/>
    <w:rsid w:val="002C5021"/>
    <w:rsid w:val="002F3E8E"/>
    <w:rsid w:val="00330DD6"/>
    <w:rsid w:val="003725ED"/>
    <w:rsid w:val="003C1849"/>
    <w:rsid w:val="00414BC2"/>
    <w:rsid w:val="0046026E"/>
    <w:rsid w:val="00470985"/>
    <w:rsid w:val="00480F96"/>
    <w:rsid w:val="00481D19"/>
    <w:rsid w:val="004943D8"/>
    <w:rsid w:val="004B7066"/>
    <w:rsid w:val="004C112F"/>
    <w:rsid w:val="004F1FE0"/>
    <w:rsid w:val="00567DBF"/>
    <w:rsid w:val="006905CC"/>
    <w:rsid w:val="00704938"/>
    <w:rsid w:val="00723B06"/>
    <w:rsid w:val="008F49A5"/>
    <w:rsid w:val="0095436A"/>
    <w:rsid w:val="00966152"/>
    <w:rsid w:val="009905ED"/>
    <w:rsid w:val="009D625F"/>
    <w:rsid w:val="00A07554"/>
    <w:rsid w:val="00A24D69"/>
    <w:rsid w:val="00AC4681"/>
    <w:rsid w:val="00AF6FE9"/>
    <w:rsid w:val="00BC3A43"/>
    <w:rsid w:val="00BD6DFE"/>
    <w:rsid w:val="00CD03B6"/>
    <w:rsid w:val="00CD724F"/>
    <w:rsid w:val="00D415DA"/>
    <w:rsid w:val="00D75248"/>
    <w:rsid w:val="00D76B6D"/>
    <w:rsid w:val="00DC4140"/>
    <w:rsid w:val="00EB5436"/>
    <w:rsid w:val="00ED581C"/>
    <w:rsid w:val="00F06B50"/>
    <w:rsid w:val="00F4589C"/>
    <w:rsid w:val="00F53664"/>
    <w:rsid w:val="00F53B77"/>
    <w:rsid w:val="00F55A26"/>
    <w:rsid w:val="00F63067"/>
    <w:rsid w:val="00F63BA1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72273A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4867932"/>
    <w:rsid w:val="6E3851B0"/>
    <w:rsid w:val="784167CA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4F1FE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4F1FE0"/>
    <w:rPr>
      <w:rFonts w:ascii="仿宋" w:eastAsia="仿宋" w:hAnsi="仿宋" w:cs="仿宋"/>
      <w:sz w:val="34"/>
      <w:szCs w:val="34"/>
    </w:rPr>
  </w:style>
  <w:style w:type="paragraph" w:styleId="a4">
    <w:name w:val="Balloon Text"/>
    <w:basedOn w:val="a"/>
    <w:link w:val="Char"/>
    <w:qFormat/>
    <w:rsid w:val="004F1FE0"/>
    <w:rPr>
      <w:sz w:val="18"/>
      <w:szCs w:val="18"/>
    </w:rPr>
  </w:style>
  <w:style w:type="paragraph" w:styleId="a5">
    <w:name w:val="footer"/>
    <w:autoRedefine/>
    <w:uiPriority w:val="99"/>
    <w:qFormat/>
    <w:rsid w:val="004F1FE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header"/>
    <w:basedOn w:val="a"/>
    <w:autoRedefine/>
    <w:qFormat/>
    <w:rsid w:val="004F1F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4F1FE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eastAsia="宋体" w:hAnsi="Calibri" w:cs="Times New Roman"/>
      <w:snapToGrid/>
      <w:color w:val="auto"/>
      <w:sz w:val="24"/>
      <w:szCs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4F1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4F1FE0"/>
  </w:style>
  <w:style w:type="paragraph" w:styleId="a8">
    <w:name w:val="List Paragraph"/>
    <w:autoRedefine/>
    <w:uiPriority w:val="99"/>
    <w:unhideWhenUsed/>
    <w:qFormat/>
    <w:rsid w:val="004F1FE0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customStyle="1" w:styleId="Default">
    <w:name w:val="Default"/>
    <w:qFormat/>
    <w:rsid w:val="004F1FE0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Bodytext1">
    <w:name w:val="Body text|1"/>
    <w:basedOn w:val="a"/>
    <w:autoRedefine/>
    <w:qFormat/>
    <w:rsid w:val="004F1FE0"/>
    <w:pPr>
      <w:widowControl w:val="0"/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">
    <w:name w:val="批注框文本 Char"/>
    <w:basedOn w:val="a0"/>
    <w:link w:val="a4"/>
    <w:qFormat/>
    <w:rsid w:val="004F1FE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SR191</cp:lastModifiedBy>
  <cp:revision>23</cp:revision>
  <cp:lastPrinted>2024-10-14T02:00:00Z</cp:lastPrinted>
  <dcterms:created xsi:type="dcterms:W3CDTF">2024-04-19T21:25:00Z</dcterms:created>
  <dcterms:modified xsi:type="dcterms:W3CDTF">2024-10-22T01:39:00Z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82B586A07A1F4F059CAC67634B56511E_13</vt:lpwstr>
  </property>
</Properties>
</file>