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r>
              <w:rPr>
                <w:rFonts w:hint="eastAsia" w:ascii="仿宋_GB2312" w:eastAsia="仿宋_GB2312"/>
                <w:kern w:val="0"/>
              </w:rPr>
              <w:t>8</w:t>
            </w:r>
          </w:p>
        </w:tc>
        <w:tc>
          <w:tcPr>
            <w:tcW w:w="2039" w:type="dxa"/>
            <w:gridSpan w:val="2"/>
            <w:vAlign w:val="center"/>
          </w:tcPr>
          <w:p w14:paraId="1D47B16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rPr>
              <w:t>1</w:t>
            </w:r>
            <w:r>
              <w:rPr>
                <w:rFonts w:hint="eastAsia" w:ascii="仿宋_GB2312" w:eastAsia="仿宋_GB2312"/>
                <w:kern w:val="0"/>
                <w:lang w:val="en-US" w:eastAsia="zh-CN"/>
              </w:rPr>
              <w:t>1</w:t>
            </w:r>
          </w:p>
        </w:tc>
        <w:tc>
          <w:tcPr>
            <w:tcW w:w="1983" w:type="dxa"/>
            <w:gridSpan w:val="2"/>
            <w:vAlign w:val="center"/>
          </w:tcPr>
          <w:p w14:paraId="06F2846E">
            <w:pPr>
              <w:spacing w:line="240" w:lineRule="auto"/>
              <w:ind w:firstLine="420"/>
              <w:jc w:val="center"/>
              <w:rPr>
                <w:rFonts w:ascii="仿宋_GB2312" w:eastAsia="仿宋_GB2312"/>
                <w:kern w:val="0"/>
              </w:rPr>
            </w:pPr>
            <w:r>
              <w:rPr>
                <w:rFonts w:hint="eastAsia" w:ascii="仿宋_GB2312" w:eastAsia="仿宋_GB2312"/>
                <w:kern w:val="0"/>
              </w:rPr>
              <w:t>137.50%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rPr>
              <w:t>0</w:t>
            </w:r>
          </w:p>
        </w:tc>
        <w:tc>
          <w:tcPr>
            <w:tcW w:w="2039" w:type="dxa"/>
            <w:gridSpan w:val="2"/>
            <w:vAlign w:val="center"/>
          </w:tcPr>
          <w:p w14:paraId="1D6514E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rPr>
              <w:t>1.</w:t>
            </w:r>
            <w:r>
              <w:rPr>
                <w:rFonts w:hint="eastAsia" w:ascii="仿宋_GB2312" w:eastAsia="仿宋_GB2312"/>
                <w:kern w:val="0"/>
                <w:lang w:val="en-US" w:eastAsia="zh-CN"/>
              </w:rPr>
              <w:t>1</w:t>
            </w:r>
          </w:p>
        </w:tc>
        <w:tc>
          <w:tcPr>
            <w:tcW w:w="1983" w:type="dxa"/>
            <w:gridSpan w:val="2"/>
            <w:vAlign w:val="center"/>
          </w:tcPr>
          <w:p w14:paraId="7DFA6482">
            <w:pPr>
              <w:spacing w:line="240" w:lineRule="auto"/>
              <w:ind w:firstLine="420"/>
              <w:jc w:val="center"/>
              <w:rPr>
                <w:rFonts w:ascii="仿宋_GB2312" w:eastAsia="仿宋_GB2312"/>
                <w:kern w:val="0"/>
              </w:rPr>
            </w:pPr>
            <w:r>
              <w:rPr>
                <w:rFonts w:hint="eastAsia" w:ascii="仿宋_GB2312" w:eastAsia="仿宋_GB2312"/>
                <w:kern w:val="0"/>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474BB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1BD74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9420B7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A16158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D0A1ED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407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02D38B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229920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0</w:t>
            </w:r>
          </w:p>
        </w:tc>
        <w:tc>
          <w:tcPr>
            <w:tcW w:w="2039" w:type="dxa"/>
            <w:gridSpan w:val="2"/>
            <w:shd w:val="clear" w:color="auto" w:fill="auto"/>
            <w:vAlign w:val="center"/>
          </w:tcPr>
          <w:p w14:paraId="672289AD">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rPr>
              <w:t>1.</w:t>
            </w:r>
            <w:r>
              <w:rPr>
                <w:rFonts w:hint="eastAsia" w:ascii="仿宋_GB2312" w:eastAsia="仿宋_GB2312"/>
                <w:kern w:val="0"/>
                <w:lang w:val="en-US" w:eastAsia="zh-CN"/>
              </w:rPr>
              <w:t>1</w:t>
            </w:r>
          </w:p>
        </w:tc>
        <w:tc>
          <w:tcPr>
            <w:tcW w:w="1983" w:type="dxa"/>
            <w:gridSpan w:val="2"/>
            <w:shd w:val="clear" w:color="auto" w:fill="auto"/>
            <w:vAlign w:val="center"/>
          </w:tcPr>
          <w:p w14:paraId="7985B411">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331.99</w:t>
            </w:r>
          </w:p>
        </w:tc>
        <w:tc>
          <w:tcPr>
            <w:tcW w:w="2039" w:type="dxa"/>
            <w:gridSpan w:val="2"/>
            <w:vAlign w:val="center"/>
          </w:tcPr>
          <w:p w14:paraId="56A401C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137.25</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42DDA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2E8DC00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31C696E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1F7D72B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331.99</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137.25</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r>
              <w:rPr>
                <w:rFonts w:hint="eastAsia" w:ascii="仿宋_GB2312" w:eastAsia="仿宋_GB2312"/>
                <w:kern w:val="0"/>
              </w:rPr>
              <w:t>26.05</w:t>
            </w:r>
          </w:p>
        </w:tc>
        <w:tc>
          <w:tcPr>
            <w:tcW w:w="2039" w:type="dxa"/>
            <w:gridSpan w:val="2"/>
            <w:vAlign w:val="center"/>
          </w:tcPr>
          <w:p w14:paraId="050E075D">
            <w:pPr>
              <w:spacing w:line="240" w:lineRule="auto"/>
              <w:ind w:firstLine="420"/>
              <w:jc w:val="center"/>
              <w:rPr>
                <w:rFonts w:ascii="仿宋_GB2312" w:eastAsia="仿宋_GB2312"/>
                <w:kern w:val="0"/>
              </w:rPr>
            </w:pPr>
            <w:r>
              <w:rPr>
                <w:rFonts w:hint="eastAsia" w:ascii="仿宋_GB2312" w:eastAsia="仿宋_GB2312"/>
                <w:kern w:val="0"/>
              </w:rPr>
              <w:t>18.29</w:t>
            </w:r>
          </w:p>
        </w:tc>
        <w:tc>
          <w:tcPr>
            <w:tcW w:w="1983" w:type="dxa"/>
            <w:gridSpan w:val="2"/>
            <w:vAlign w:val="center"/>
          </w:tcPr>
          <w:p w14:paraId="7357305D">
            <w:pPr>
              <w:spacing w:line="240" w:lineRule="auto"/>
              <w:ind w:firstLine="420"/>
              <w:jc w:val="center"/>
              <w:rPr>
                <w:rFonts w:ascii="仿宋_GB2312" w:eastAsia="仿宋_GB2312"/>
                <w:kern w:val="0"/>
              </w:rPr>
            </w:pPr>
            <w:r>
              <w:rPr>
                <w:rFonts w:hint="eastAsia" w:ascii="仿宋_GB2312" w:eastAsia="仿宋_GB2312"/>
                <w:kern w:val="0"/>
              </w:rPr>
              <w:t>48.62</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ascii="仿宋_GB2312" w:eastAsia="仿宋_GB2312"/>
                <w:kern w:val="0"/>
              </w:rPr>
            </w:pPr>
            <w:r>
              <w:rPr>
                <w:rFonts w:hint="eastAsia" w:ascii="仿宋_GB2312" w:eastAsia="仿宋_GB2312"/>
                <w:kern w:val="0"/>
              </w:rPr>
              <w:t>3.48</w:t>
            </w:r>
          </w:p>
        </w:tc>
        <w:tc>
          <w:tcPr>
            <w:tcW w:w="2039" w:type="dxa"/>
            <w:gridSpan w:val="2"/>
            <w:vAlign w:val="center"/>
          </w:tcPr>
          <w:p w14:paraId="7BB02F1D">
            <w:pPr>
              <w:spacing w:line="240" w:lineRule="auto"/>
              <w:ind w:firstLine="420"/>
              <w:jc w:val="center"/>
              <w:rPr>
                <w:rFonts w:ascii="仿宋_GB2312" w:eastAsia="仿宋_GB2312"/>
                <w:kern w:val="0"/>
              </w:rPr>
            </w:pPr>
            <w:r>
              <w:rPr>
                <w:rFonts w:hint="eastAsia" w:ascii="仿宋_GB2312" w:eastAsia="仿宋_GB2312"/>
                <w:kern w:val="0"/>
              </w:rPr>
              <w:t>1.3</w:t>
            </w:r>
          </w:p>
        </w:tc>
        <w:tc>
          <w:tcPr>
            <w:tcW w:w="1983" w:type="dxa"/>
            <w:gridSpan w:val="2"/>
            <w:vAlign w:val="center"/>
          </w:tcPr>
          <w:p w14:paraId="087A3549">
            <w:pPr>
              <w:spacing w:line="240" w:lineRule="auto"/>
              <w:ind w:firstLine="420"/>
              <w:jc w:val="center"/>
              <w:rPr>
                <w:rFonts w:ascii="仿宋_GB2312" w:eastAsia="仿宋_GB2312"/>
                <w:kern w:val="0"/>
              </w:rPr>
            </w:pPr>
            <w:r>
              <w:rPr>
                <w:rFonts w:hint="eastAsia" w:ascii="仿宋_GB2312" w:eastAsia="仿宋_GB2312"/>
                <w:kern w:val="0"/>
              </w:rPr>
              <w:t>48.08</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ascii="仿宋_GB2312" w:eastAsia="仿宋_GB2312"/>
                <w:kern w:val="0"/>
              </w:rPr>
            </w:pPr>
            <w:r>
              <w:rPr>
                <w:rFonts w:hint="eastAsia" w:ascii="仿宋_GB2312" w:eastAsia="仿宋_GB2312"/>
                <w:kern w:val="0"/>
              </w:rPr>
              <w:t>4.84</w:t>
            </w:r>
          </w:p>
        </w:tc>
        <w:tc>
          <w:tcPr>
            <w:tcW w:w="2039" w:type="dxa"/>
            <w:gridSpan w:val="2"/>
            <w:vAlign w:val="center"/>
          </w:tcPr>
          <w:p w14:paraId="31E21FE8">
            <w:pPr>
              <w:spacing w:line="240" w:lineRule="auto"/>
              <w:ind w:firstLine="420"/>
              <w:jc w:val="center"/>
              <w:rPr>
                <w:rFonts w:ascii="仿宋_GB2312" w:eastAsia="仿宋_GB2312"/>
                <w:kern w:val="0"/>
              </w:rPr>
            </w:pPr>
            <w:r>
              <w:rPr>
                <w:rFonts w:hint="eastAsia" w:ascii="仿宋_GB2312" w:eastAsia="仿宋_GB2312"/>
                <w:kern w:val="0"/>
              </w:rPr>
              <w:t>3.08</w:t>
            </w:r>
          </w:p>
        </w:tc>
        <w:tc>
          <w:tcPr>
            <w:tcW w:w="1983" w:type="dxa"/>
            <w:gridSpan w:val="2"/>
            <w:vAlign w:val="center"/>
          </w:tcPr>
          <w:p w14:paraId="4FD74531">
            <w:pPr>
              <w:spacing w:line="240" w:lineRule="auto"/>
              <w:ind w:firstLine="420"/>
              <w:jc w:val="center"/>
              <w:rPr>
                <w:rFonts w:ascii="仿宋_GB2312" w:eastAsia="仿宋_GB2312"/>
                <w:kern w:val="0"/>
              </w:rPr>
            </w:pPr>
            <w:r>
              <w:rPr>
                <w:rFonts w:hint="eastAsia" w:ascii="仿宋_GB2312" w:eastAsia="仿宋_GB2312"/>
                <w:kern w:val="0"/>
              </w:rPr>
              <w:t>0.071</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ascii="仿宋_GB2312" w:eastAsia="仿宋_GB2312"/>
                <w:kern w:val="0"/>
              </w:rPr>
            </w:pPr>
            <w:r>
              <w:rPr>
                <w:rFonts w:hint="eastAsia" w:ascii="仿宋_GB2312" w:eastAsia="仿宋_GB2312"/>
                <w:kern w:val="0"/>
              </w:rPr>
              <w:t>0.33</w:t>
            </w:r>
          </w:p>
        </w:tc>
        <w:tc>
          <w:tcPr>
            <w:tcW w:w="2039" w:type="dxa"/>
            <w:gridSpan w:val="2"/>
            <w:vAlign w:val="center"/>
          </w:tcPr>
          <w:p w14:paraId="467174B3">
            <w:pPr>
              <w:spacing w:line="240" w:lineRule="auto"/>
              <w:ind w:firstLine="420"/>
              <w:jc w:val="center"/>
              <w:rPr>
                <w:rFonts w:ascii="仿宋_GB2312" w:eastAsia="仿宋_GB2312"/>
                <w:kern w:val="0"/>
              </w:rPr>
            </w:pPr>
            <w:r>
              <w:rPr>
                <w:rFonts w:hint="eastAsia" w:ascii="仿宋_GB2312" w:eastAsia="仿宋_GB2312"/>
                <w:kern w:val="0"/>
              </w:rPr>
              <w:t>1.1</w:t>
            </w:r>
          </w:p>
        </w:tc>
        <w:tc>
          <w:tcPr>
            <w:tcW w:w="1983" w:type="dxa"/>
            <w:gridSpan w:val="2"/>
            <w:vAlign w:val="center"/>
          </w:tcPr>
          <w:p w14:paraId="550E4F9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r>
              <w:rPr>
                <w:rFonts w:hint="eastAsia" w:ascii="仿宋_GB2312" w:eastAsia="仿宋_GB2312"/>
                <w:kern w:val="0"/>
              </w:rPr>
              <w:t>285</w:t>
            </w:r>
          </w:p>
        </w:tc>
        <w:tc>
          <w:tcPr>
            <w:tcW w:w="2039" w:type="dxa"/>
            <w:gridSpan w:val="2"/>
            <w:vAlign w:val="center"/>
          </w:tcPr>
          <w:p w14:paraId="18AD1802">
            <w:pPr>
              <w:spacing w:line="240" w:lineRule="auto"/>
              <w:ind w:firstLine="420"/>
              <w:jc w:val="center"/>
              <w:rPr>
                <w:rFonts w:ascii="仿宋_GB2312" w:eastAsia="仿宋_GB2312"/>
                <w:kern w:val="0"/>
              </w:rPr>
            </w:pPr>
            <w:r>
              <w:rPr>
                <w:rFonts w:hint="eastAsia" w:ascii="仿宋_GB2312" w:eastAsia="仿宋_GB2312"/>
                <w:kern w:val="0"/>
              </w:rPr>
              <w:t>261</w:t>
            </w:r>
          </w:p>
        </w:tc>
        <w:tc>
          <w:tcPr>
            <w:tcW w:w="1983" w:type="dxa"/>
            <w:gridSpan w:val="2"/>
            <w:vAlign w:val="center"/>
          </w:tcPr>
          <w:p w14:paraId="4363E711">
            <w:pPr>
              <w:spacing w:line="240" w:lineRule="auto"/>
              <w:ind w:firstLine="420"/>
              <w:jc w:val="center"/>
              <w:rPr>
                <w:rFonts w:ascii="仿宋_GB2312" w:eastAsia="仿宋_GB2312"/>
                <w:kern w:val="0"/>
              </w:rPr>
            </w:pPr>
            <w:r>
              <w:rPr>
                <w:rFonts w:hint="eastAsia" w:ascii="仿宋_GB2312" w:eastAsia="仿宋_GB2312"/>
                <w:kern w:val="0"/>
              </w:rPr>
              <w:t>165</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欧阳清</w:t>
      </w:r>
      <w:r>
        <w:rPr>
          <w:rFonts w:ascii="仿宋_GB2312" w:hAnsi="宋体" w:eastAsia="仿宋_GB2312" w:cs="宋体"/>
          <w:snapToGrid w:val="0"/>
          <w:color w:val="000000"/>
          <w:sz w:val="21"/>
          <w:szCs w:val="21"/>
          <w:lang w:val="en-US" w:eastAsia="zh-CN" w:bidi="ar-SA"/>
        </w:rPr>
        <w:t xml:space="preserve"> </w:t>
      </w:r>
      <w:bookmarkStart w:id="0" w:name="_GoBack"/>
      <w:bookmarkEnd w:id="0"/>
      <w:r>
        <w:rPr>
          <w:rFonts w:ascii="仿宋_GB2312" w:hAnsi="宋体" w:eastAsia="仿宋_GB2312" w:cs="宋体"/>
          <w:snapToGrid w:val="0"/>
          <w:color w:val="000000"/>
          <w:sz w:val="21"/>
          <w:szCs w:val="21"/>
          <w:lang w:val="en-US" w:eastAsia="zh-CN" w:bidi="ar-SA"/>
        </w:rPr>
        <w:t xml:space="preserve">填报日期：  </w:t>
      </w:r>
      <w:r>
        <w:rPr>
          <w:rFonts w:hint="eastAsia" w:ascii="仿宋_GB2312" w:hAnsi="宋体" w:eastAsia="仿宋_GB2312" w:cs="宋体"/>
          <w:snapToGrid w:val="0"/>
          <w:color w:val="000000"/>
          <w:sz w:val="21"/>
          <w:szCs w:val="21"/>
          <w:lang w:val="en-US" w:eastAsia="zh-CN" w:bidi="ar-SA"/>
        </w:rPr>
        <w:t>2024.5.21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18573137282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罗浩波</w:t>
      </w:r>
    </w:p>
    <w:p w14:paraId="4E92F2CB">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51"/>
        <w:gridCol w:w="717"/>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汨罗市屈原纪念馆</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51"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717"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ascii="仿宋_GB2312" w:eastAsia="仿宋_GB2312"/>
                <w:kern w:val="0"/>
              </w:rPr>
            </w:pPr>
            <w:r>
              <w:rPr>
                <w:rFonts w:hint="eastAsia" w:ascii="仿宋_GB2312" w:eastAsia="仿宋_GB2312"/>
                <w:kern w:val="0"/>
              </w:rPr>
              <w:t>133.08</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301.82</w:t>
            </w:r>
          </w:p>
        </w:tc>
        <w:tc>
          <w:tcPr>
            <w:tcW w:w="1251"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rPr>
              <w:t>301.82</w:t>
            </w:r>
          </w:p>
        </w:tc>
        <w:tc>
          <w:tcPr>
            <w:tcW w:w="717"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00%</w:t>
            </w:r>
          </w:p>
        </w:tc>
        <w:tc>
          <w:tcPr>
            <w:tcW w:w="1423" w:type="dxa"/>
            <w:vAlign w:val="center"/>
          </w:tcPr>
          <w:p w14:paraId="4BE68CE2">
            <w:pPr>
              <w:spacing w:line="240" w:lineRule="auto"/>
              <w:ind w:firstLine="420"/>
              <w:jc w:val="center"/>
              <w:rPr>
                <w:rFonts w:ascii="仿宋_GB2312" w:eastAsia="仿宋_GB2312"/>
                <w:kern w:val="0"/>
              </w:rPr>
            </w:pPr>
            <w:r>
              <w:rPr>
                <w:rFonts w:hint="eastAsia" w:ascii="仿宋_GB2312" w:eastAsia="仿宋_GB2312"/>
                <w:kern w:val="0"/>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其中：一般公共预算：301.82</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其中：基本支出：164.47</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0.0</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项目支出：137.25</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330D976">
            <w:pPr>
              <w:spacing w:line="240" w:lineRule="auto"/>
              <w:ind w:firstLine="420"/>
              <w:jc w:val="center"/>
              <w:rPr>
                <w:rFonts w:hint="eastAsia" w:ascii="仿宋_GB2312" w:eastAsia="仿宋_GB2312"/>
                <w:kern w:val="0"/>
              </w:rPr>
            </w:pPr>
            <w:r>
              <w:rPr>
                <w:rFonts w:hint="eastAsia" w:ascii="仿宋_GB2312" w:eastAsia="仿宋_GB2312"/>
                <w:kern w:val="0"/>
              </w:rPr>
              <w:t>一、把文物安全贯穿于全年工作的始终</w:t>
            </w:r>
          </w:p>
          <w:p w14:paraId="22D4D497">
            <w:pPr>
              <w:spacing w:line="240" w:lineRule="auto"/>
              <w:ind w:firstLine="420"/>
              <w:jc w:val="center"/>
              <w:rPr>
                <w:rFonts w:hint="eastAsia" w:ascii="仿宋_GB2312" w:eastAsia="仿宋_GB2312"/>
                <w:kern w:val="0"/>
              </w:rPr>
            </w:pPr>
            <w:r>
              <w:rPr>
                <w:rFonts w:hint="eastAsia" w:ascii="仿宋_GB2312" w:eastAsia="仿宋_GB2312"/>
                <w:kern w:val="0"/>
              </w:rPr>
              <w:t>把文物安全摆在屈子祠工作的首位并贯穿始终，这是永恒不变的。</w:t>
            </w:r>
          </w:p>
          <w:p w14:paraId="2EC873C5">
            <w:pPr>
              <w:spacing w:line="240" w:lineRule="auto"/>
              <w:ind w:firstLine="420"/>
              <w:jc w:val="center"/>
              <w:rPr>
                <w:rFonts w:hint="eastAsia" w:ascii="仿宋_GB2312" w:eastAsia="仿宋_GB2312"/>
                <w:kern w:val="0"/>
              </w:rPr>
            </w:pPr>
            <w:r>
              <w:rPr>
                <w:rFonts w:hint="eastAsia" w:ascii="仿宋_GB2312" w:eastAsia="仿宋_GB2312"/>
                <w:kern w:val="0"/>
              </w:rPr>
              <w:t>1、进一步落实巡查制度</w:t>
            </w:r>
          </w:p>
          <w:p w14:paraId="5E5D8150">
            <w:pPr>
              <w:spacing w:line="240" w:lineRule="auto"/>
              <w:ind w:firstLine="420"/>
              <w:jc w:val="center"/>
              <w:rPr>
                <w:rFonts w:hint="eastAsia" w:ascii="仿宋_GB2312" w:eastAsia="仿宋_GB2312"/>
                <w:kern w:val="0"/>
              </w:rPr>
            </w:pPr>
            <w:r>
              <w:rPr>
                <w:rFonts w:hint="eastAsia" w:ascii="仿宋_GB2312" w:eastAsia="仿宋_GB2312"/>
                <w:kern w:val="0"/>
              </w:rPr>
              <w:t>制定安全巡查纪律，严格执行安全巡查制度。树立安全责任重于泰山的意识，加强安全知识培训，认真履职。白班时间段，由组长安排人员轮流对玉笥山景区进行两次以上的巡查，并做好巡查记录（打鸟狩猎、违建乱搭、森林防火、破坏植被、乱砍乱伐、安全隐患排查及地质灾害隐患）。以大庙，展室安全防火为核心工作，认真巡查，排除隐患，及时处置。景区内严禁烟火，馆内严禁吸烟。燃放鞭炮，香烛、垃圾、落叶由专人负责在指定地点进行焚烧。</w:t>
            </w:r>
          </w:p>
          <w:p w14:paraId="394CA9F9">
            <w:pPr>
              <w:spacing w:line="240" w:lineRule="auto"/>
              <w:ind w:firstLine="420"/>
              <w:jc w:val="center"/>
              <w:rPr>
                <w:rFonts w:hint="eastAsia" w:ascii="仿宋_GB2312" w:eastAsia="仿宋_GB2312"/>
                <w:kern w:val="0"/>
              </w:rPr>
            </w:pPr>
            <w:r>
              <w:rPr>
                <w:rFonts w:hint="eastAsia" w:ascii="仿宋_GB2312" w:eastAsia="仿宋_GB2312"/>
                <w:kern w:val="0"/>
              </w:rPr>
              <w:t>2、进一步加强值班制度</w:t>
            </w:r>
          </w:p>
          <w:p w14:paraId="5E4D351E">
            <w:pPr>
              <w:spacing w:line="240" w:lineRule="auto"/>
              <w:ind w:firstLine="420"/>
              <w:jc w:val="center"/>
              <w:rPr>
                <w:rFonts w:hint="eastAsia" w:ascii="仿宋_GB2312" w:eastAsia="仿宋_GB2312"/>
                <w:kern w:val="0"/>
              </w:rPr>
            </w:pPr>
            <w:r>
              <w:rPr>
                <w:rFonts w:hint="eastAsia" w:ascii="仿宋_GB2312" w:eastAsia="仿宋_GB2312"/>
                <w:kern w:val="0"/>
              </w:rPr>
              <w:t>将所以上班人员分为两班，有常勇和杨曦两位副馆长作为带班领导，由常勇主管，采取轮级管理的考核办法。按时上、下班、签到，保持良好工作形象，文明用语，不准进行与工作无关的活动；严格执行来客登记采取凭有效证件实名制登记办法；上班时间不得串岗，大门口保证至少有两人以上在岗。</w:t>
            </w:r>
          </w:p>
          <w:p w14:paraId="1045B3C2">
            <w:pPr>
              <w:spacing w:line="240" w:lineRule="auto"/>
              <w:ind w:firstLine="420"/>
              <w:jc w:val="center"/>
              <w:rPr>
                <w:rFonts w:hint="eastAsia" w:ascii="仿宋_GB2312" w:eastAsia="仿宋_GB2312"/>
                <w:kern w:val="0"/>
              </w:rPr>
            </w:pPr>
            <w:r>
              <w:rPr>
                <w:rFonts w:hint="eastAsia" w:ascii="仿宋_GB2312" w:eastAsia="仿宋_GB2312"/>
                <w:kern w:val="0"/>
              </w:rPr>
              <w:t>3、进一步加强卫生清扫制度</w:t>
            </w:r>
          </w:p>
          <w:p w14:paraId="6612ED1B">
            <w:pPr>
              <w:spacing w:line="240" w:lineRule="auto"/>
              <w:ind w:firstLine="420"/>
              <w:jc w:val="center"/>
              <w:rPr>
                <w:rFonts w:hint="eastAsia" w:ascii="仿宋_GB2312" w:eastAsia="仿宋_GB2312"/>
                <w:kern w:val="0"/>
              </w:rPr>
            </w:pPr>
            <w:r>
              <w:rPr>
                <w:rFonts w:hint="eastAsia" w:ascii="仿宋_GB2312" w:eastAsia="仿宋_GB2312"/>
                <w:kern w:val="0"/>
              </w:rPr>
              <w:t>树立正确的卫生观意识，认真清扫好各自卫生区域，做到不留死角，不任务式。每月底馆内组织一次大扫除，保持岗位全天候卫生清洁，要求在安全巡查过程中，一并观察卫生情况，及时清理白色垃圾，路边枯枝等。</w:t>
            </w:r>
          </w:p>
          <w:p w14:paraId="61125203">
            <w:pPr>
              <w:spacing w:line="240" w:lineRule="auto"/>
              <w:ind w:firstLine="420"/>
              <w:jc w:val="center"/>
              <w:rPr>
                <w:rFonts w:hint="eastAsia" w:ascii="仿宋_GB2312" w:eastAsia="仿宋_GB2312"/>
                <w:kern w:val="0"/>
              </w:rPr>
            </w:pPr>
            <w:r>
              <w:rPr>
                <w:rFonts w:hint="eastAsia" w:ascii="仿宋_GB2312" w:eastAsia="仿宋_GB2312"/>
                <w:kern w:val="0"/>
              </w:rPr>
              <w:t>二、项目方面</w:t>
            </w:r>
          </w:p>
          <w:p w14:paraId="33A157A6">
            <w:pPr>
              <w:spacing w:line="240" w:lineRule="auto"/>
              <w:ind w:firstLine="420"/>
              <w:jc w:val="center"/>
              <w:rPr>
                <w:rFonts w:hint="eastAsia" w:ascii="仿宋_GB2312" w:eastAsia="仿宋_GB2312"/>
                <w:kern w:val="0"/>
              </w:rPr>
            </w:pPr>
            <w:r>
              <w:rPr>
                <w:rFonts w:hint="eastAsia" w:ascii="仿宋_GB2312" w:eastAsia="仿宋_GB2312"/>
                <w:kern w:val="0"/>
              </w:rPr>
              <w:t>1、展示工程顺利推进。完成了神龛、雕塑、沙盘、疆域图等定制产品的设计定型。完成了所有电子屏展示内容的审定。启动了神龛后移工程，完成了电子屏的采购。完成了复原陈列件的采购。预计十月底可以全面完工。</w:t>
            </w:r>
          </w:p>
          <w:p w14:paraId="3915B5AD">
            <w:pPr>
              <w:spacing w:line="240" w:lineRule="auto"/>
              <w:ind w:firstLine="420"/>
              <w:jc w:val="center"/>
              <w:rPr>
                <w:rFonts w:hint="eastAsia" w:ascii="仿宋_GB2312" w:eastAsia="仿宋_GB2312"/>
                <w:kern w:val="0"/>
              </w:rPr>
            </w:pPr>
            <w:r>
              <w:rPr>
                <w:rFonts w:hint="eastAsia" w:ascii="仿宋_GB2312" w:eastAsia="仿宋_GB2312"/>
                <w:kern w:val="0"/>
              </w:rPr>
              <w:t>2、安防工程于4月6日顺利通过岳阳市局专家领导初验，已申请省局终验，预计7月份完成。</w:t>
            </w:r>
          </w:p>
          <w:p w14:paraId="7E7AE08F">
            <w:pPr>
              <w:spacing w:line="240" w:lineRule="auto"/>
              <w:ind w:firstLine="420"/>
              <w:jc w:val="center"/>
              <w:rPr>
                <w:rFonts w:hint="eastAsia" w:ascii="仿宋_GB2312" w:eastAsia="仿宋_GB2312"/>
                <w:kern w:val="0"/>
              </w:rPr>
            </w:pPr>
            <w:r>
              <w:rPr>
                <w:rFonts w:hint="eastAsia" w:ascii="仿宋_GB2312" w:eastAsia="仿宋_GB2312"/>
                <w:kern w:val="0"/>
              </w:rPr>
              <w:t>3、白蚁防治工程已完工百分之八十，白蚁检测设备正在定制中，预计7月底安装完毕。</w:t>
            </w:r>
          </w:p>
          <w:p w14:paraId="797694C2">
            <w:pPr>
              <w:spacing w:line="240" w:lineRule="auto"/>
              <w:ind w:firstLine="420"/>
              <w:jc w:val="center"/>
              <w:rPr>
                <w:rFonts w:hint="eastAsia" w:ascii="仿宋_GB2312" w:eastAsia="仿宋_GB2312"/>
                <w:kern w:val="0"/>
              </w:rPr>
            </w:pPr>
            <w:r>
              <w:rPr>
                <w:rFonts w:hint="eastAsia" w:ascii="仿宋_GB2312" w:eastAsia="仿宋_GB2312"/>
                <w:kern w:val="0"/>
              </w:rPr>
              <w:t>4、配合市纪委完成了廉洁基地建设。目前交付我馆使用。</w:t>
            </w:r>
          </w:p>
          <w:p w14:paraId="023B069F">
            <w:pPr>
              <w:spacing w:line="240" w:lineRule="auto"/>
              <w:ind w:firstLine="420"/>
              <w:jc w:val="center"/>
              <w:rPr>
                <w:rFonts w:hint="eastAsia" w:ascii="仿宋_GB2312" w:eastAsia="仿宋_GB2312"/>
                <w:kern w:val="0"/>
              </w:rPr>
            </w:pPr>
            <w:r>
              <w:rPr>
                <w:rFonts w:hint="eastAsia" w:ascii="仿宋_GB2312" w:eastAsia="仿宋_GB2312"/>
                <w:kern w:val="0"/>
              </w:rPr>
              <w:t>5、屈原碑林修缮工程于6月份完工，目前已交付我馆使用。</w:t>
            </w:r>
          </w:p>
          <w:p w14:paraId="5630C8FD">
            <w:pPr>
              <w:spacing w:line="240" w:lineRule="auto"/>
              <w:ind w:firstLine="420"/>
              <w:jc w:val="center"/>
              <w:rPr>
                <w:rFonts w:ascii="仿宋_GB2312" w:eastAsia="仿宋_GB2312"/>
                <w:kern w:val="0"/>
              </w:rPr>
            </w:pPr>
          </w:p>
        </w:tc>
        <w:tc>
          <w:tcPr>
            <w:tcW w:w="4260" w:type="dxa"/>
            <w:gridSpan w:val="4"/>
            <w:vAlign w:val="center"/>
          </w:tcPr>
          <w:p w14:paraId="30B74AD0">
            <w:pPr>
              <w:spacing w:line="240" w:lineRule="auto"/>
              <w:ind w:firstLine="420"/>
              <w:jc w:val="center"/>
              <w:rPr>
                <w:rFonts w:hint="eastAsia" w:ascii="仿宋_GB2312" w:eastAsia="仿宋_GB2312"/>
                <w:kern w:val="0"/>
              </w:rPr>
            </w:pPr>
            <w:r>
              <w:rPr>
                <w:rFonts w:hint="eastAsia" w:ascii="仿宋_GB2312" w:eastAsia="仿宋_GB2312"/>
                <w:kern w:val="0"/>
              </w:rPr>
              <w:t>任务已经完成。1、展示工程顺利推进。完成了神龛、雕塑、沙盘、疆域等定制产品的设计定型。完成了所有电子屏展示内容的审定。启动了神龛后移工程，完成了电子屏的采购。完成了复原陈列件的采购。预计十月底可以全面完工。</w:t>
            </w:r>
          </w:p>
          <w:p w14:paraId="6163B7A4">
            <w:pPr>
              <w:spacing w:line="240" w:lineRule="auto"/>
              <w:ind w:firstLine="420"/>
              <w:jc w:val="center"/>
              <w:rPr>
                <w:rFonts w:hint="eastAsia" w:ascii="仿宋_GB2312" w:eastAsia="仿宋_GB2312"/>
                <w:kern w:val="0"/>
              </w:rPr>
            </w:pPr>
            <w:r>
              <w:rPr>
                <w:rFonts w:hint="eastAsia" w:ascii="仿宋_GB2312" w:eastAsia="仿宋_GB2312"/>
                <w:kern w:val="0"/>
              </w:rPr>
              <w:t>2、安防工程于4月6日顺利通过岳阳市局专家领导初验，已申请省局终验，预计7月份完成。</w:t>
            </w:r>
          </w:p>
          <w:p w14:paraId="3ACC9132">
            <w:pPr>
              <w:spacing w:line="240" w:lineRule="auto"/>
              <w:ind w:firstLine="420"/>
              <w:jc w:val="center"/>
              <w:rPr>
                <w:rFonts w:hint="eastAsia" w:ascii="仿宋_GB2312" w:eastAsia="仿宋_GB2312"/>
                <w:kern w:val="0"/>
              </w:rPr>
            </w:pPr>
            <w:r>
              <w:rPr>
                <w:rFonts w:hint="eastAsia" w:ascii="仿宋_GB2312" w:eastAsia="仿宋_GB2312"/>
                <w:kern w:val="0"/>
              </w:rPr>
              <w:t>3、白蚁防治工程已完工百分之八十，白蚁检测设备正在定制中，预计7月底安装完毕。</w:t>
            </w:r>
          </w:p>
          <w:p w14:paraId="5514210C">
            <w:pPr>
              <w:spacing w:line="240" w:lineRule="auto"/>
              <w:ind w:firstLine="420"/>
              <w:jc w:val="center"/>
              <w:rPr>
                <w:rFonts w:hint="eastAsia" w:ascii="仿宋_GB2312" w:eastAsia="仿宋_GB2312"/>
                <w:kern w:val="0"/>
              </w:rPr>
            </w:pPr>
            <w:r>
              <w:rPr>
                <w:rFonts w:hint="eastAsia" w:ascii="仿宋_GB2312" w:eastAsia="仿宋_GB2312"/>
                <w:kern w:val="0"/>
              </w:rPr>
              <w:t>4、配合市纪委完成了廉洁基地建设。目前交付我馆使用。</w:t>
            </w:r>
          </w:p>
          <w:p w14:paraId="4E80C14E">
            <w:pPr>
              <w:spacing w:line="240" w:lineRule="auto"/>
              <w:ind w:firstLine="420"/>
              <w:jc w:val="center"/>
              <w:rPr>
                <w:rFonts w:hint="eastAsia" w:ascii="仿宋_GB2312" w:eastAsia="仿宋_GB2312"/>
                <w:kern w:val="0"/>
              </w:rPr>
            </w:pPr>
            <w:r>
              <w:rPr>
                <w:rFonts w:hint="eastAsia" w:ascii="仿宋_GB2312" w:eastAsia="仿宋_GB2312"/>
                <w:kern w:val="0"/>
              </w:rPr>
              <w:t>5、屈原碑林修缮工程于6月份完工，目前已交付我馆使用。</w:t>
            </w:r>
          </w:p>
          <w:p w14:paraId="29F3D056">
            <w:pPr>
              <w:spacing w:line="240" w:lineRule="auto"/>
              <w:ind w:firstLine="420"/>
              <w:jc w:val="center"/>
              <w:rPr>
                <w:rFonts w:hint="eastAsia" w:ascii="仿宋_GB2312" w:eastAsia="仿宋_GB2312"/>
                <w:kern w:val="0"/>
              </w:rPr>
            </w:pPr>
            <w:r>
              <w:rPr>
                <w:rFonts w:hint="eastAsia" w:ascii="仿宋_GB2312" w:eastAsia="仿宋_GB2312"/>
                <w:kern w:val="0"/>
              </w:rPr>
              <w:t>1、配合做好了长江国家文化公园项目申报工作。</w:t>
            </w:r>
          </w:p>
          <w:p w14:paraId="6AFF5BB6">
            <w:pPr>
              <w:spacing w:line="240" w:lineRule="auto"/>
              <w:ind w:firstLine="420"/>
              <w:jc w:val="center"/>
              <w:rPr>
                <w:rFonts w:hint="eastAsia" w:ascii="仿宋_GB2312" w:eastAsia="仿宋_GB2312"/>
                <w:kern w:val="0"/>
              </w:rPr>
            </w:pPr>
            <w:r>
              <w:rPr>
                <w:rFonts w:hint="eastAsia" w:ascii="仿宋_GB2312" w:eastAsia="仿宋_GB2312"/>
                <w:kern w:val="0"/>
              </w:rPr>
              <w:t>2、进行了全面安全检查和整改，对防雷设施进行了全面维护，开展了消防安全演练和消防安全隐患大排查。</w:t>
            </w:r>
          </w:p>
          <w:p w14:paraId="03CF6B7A">
            <w:pPr>
              <w:spacing w:line="240" w:lineRule="auto"/>
              <w:ind w:firstLine="420"/>
              <w:jc w:val="center"/>
              <w:rPr>
                <w:rFonts w:hint="eastAsia" w:ascii="仿宋_GB2312" w:eastAsia="仿宋_GB2312"/>
                <w:kern w:val="0"/>
              </w:rPr>
            </w:pPr>
            <w:r>
              <w:rPr>
                <w:rFonts w:hint="eastAsia" w:ascii="仿宋_GB2312" w:eastAsia="仿宋_GB2312"/>
                <w:kern w:val="0"/>
              </w:rPr>
              <w:t>3、顺利通过了省厅文化遗产专项检查。省文化和旅游厅开展的文化和旅游统计工作异地交叉检查。</w:t>
            </w:r>
          </w:p>
          <w:p w14:paraId="24F1B2A2">
            <w:pPr>
              <w:spacing w:line="240" w:lineRule="auto"/>
              <w:ind w:firstLine="420"/>
              <w:jc w:val="center"/>
              <w:rPr>
                <w:rFonts w:hint="eastAsia" w:ascii="仿宋_GB2312" w:eastAsia="仿宋_GB2312"/>
                <w:kern w:val="0"/>
              </w:rPr>
            </w:pPr>
            <w:r>
              <w:rPr>
                <w:rFonts w:hint="eastAsia" w:ascii="仿宋_GB2312" w:eastAsia="仿宋_GB2312"/>
                <w:kern w:val="0"/>
              </w:rPr>
              <w:t>4、顺利完成了2023年湖南国际文化旅游节暨纪念屈原逝世2300周年“水祭”大典，及相关活动。</w:t>
            </w:r>
          </w:p>
          <w:p w14:paraId="5CBA1224">
            <w:pPr>
              <w:spacing w:line="240" w:lineRule="auto"/>
              <w:ind w:firstLine="420"/>
              <w:jc w:val="center"/>
              <w:rPr>
                <w:rFonts w:hint="eastAsia" w:ascii="仿宋_GB2312" w:eastAsia="仿宋_GB2312"/>
                <w:kern w:val="0"/>
              </w:rPr>
            </w:pPr>
            <w:r>
              <w:rPr>
                <w:rFonts w:hint="eastAsia" w:ascii="仿宋_GB2312" w:eastAsia="仿宋_GB2312"/>
                <w:kern w:val="0"/>
              </w:rPr>
              <w:t>5、顺利承办了湖南省测绘地理信息学会文化遗产保护专业委员会成立大会暨首届学术交流会活动。</w:t>
            </w:r>
          </w:p>
          <w:p w14:paraId="156E0DC0">
            <w:pPr>
              <w:spacing w:line="240" w:lineRule="auto"/>
              <w:ind w:firstLine="420"/>
              <w:jc w:val="center"/>
              <w:rPr>
                <w:rFonts w:ascii="仿宋_GB2312" w:eastAsia="仿宋_GB2312"/>
                <w:kern w:val="0"/>
              </w:rPr>
            </w:pPr>
            <w:r>
              <w:rPr>
                <w:rFonts w:hint="eastAsia" w:ascii="仿宋_GB2312" w:eastAsia="仿宋_GB2312"/>
                <w:kern w:val="0"/>
              </w:rPr>
              <w:t>6、完成了多次省级、岳阳市级领导的接待活动。</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51"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717"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center"/>
              <w:rPr>
                <w:rFonts w:ascii="仿宋_GB2312" w:eastAsia="仿宋_GB2312"/>
                <w:kern w:val="0"/>
              </w:rPr>
            </w:pPr>
            <w:r>
              <w:rPr>
                <w:rFonts w:hint="eastAsia" w:ascii="仿宋_GB2312" w:eastAsia="仿宋_GB2312"/>
                <w:kern w:val="0"/>
              </w:rPr>
              <w:t>游客参观数7万人次</w:t>
            </w:r>
          </w:p>
        </w:tc>
        <w:tc>
          <w:tcPr>
            <w:tcW w:w="1298" w:type="dxa"/>
            <w:vAlign w:val="center"/>
          </w:tcPr>
          <w:p w14:paraId="2A374824">
            <w:pPr>
              <w:spacing w:line="240" w:lineRule="auto"/>
              <w:ind w:firstLine="420"/>
              <w:jc w:val="center"/>
              <w:rPr>
                <w:rFonts w:ascii="仿宋_GB2312" w:eastAsia="仿宋_GB2312"/>
                <w:kern w:val="0"/>
              </w:rPr>
            </w:pPr>
            <w:r>
              <w:rPr>
                <w:rFonts w:hint="eastAsia" w:ascii="仿宋_GB2312" w:eastAsia="仿宋_GB2312"/>
                <w:kern w:val="0"/>
              </w:rPr>
              <w:t>70000人次</w:t>
            </w:r>
          </w:p>
        </w:tc>
        <w:tc>
          <w:tcPr>
            <w:tcW w:w="1251"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100%</w:t>
            </w:r>
          </w:p>
        </w:tc>
        <w:tc>
          <w:tcPr>
            <w:tcW w:w="717"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各项工作依法开展完成</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各项工作依法开展完成</w:t>
            </w:r>
          </w:p>
        </w:tc>
        <w:tc>
          <w:tcPr>
            <w:tcW w:w="1251"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100%</w:t>
            </w:r>
          </w:p>
        </w:tc>
        <w:tc>
          <w:tcPr>
            <w:tcW w:w="717" w:type="dxa"/>
            <w:shd w:val="clear" w:color="auto" w:fill="auto"/>
            <w:vAlign w:val="center"/>
          </w:tcPr>
          <w:p w14:paraId="5580FC82">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0982B1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14:paraId="01F2382D">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按上级文化主管部门规定进行 年底全面完成目标任务</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251"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100%</w:t>
            </w:r>
          </w:p>
        </w:tc>
        <w:tc>
          <w:tcPr>
            <w:tcW w:w="717"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7BF8C6A4">
            <w:pPr>
              <w:spacing w:line="240" w:lineRule="auto"/>
              <w:ind w:firstLine="420"/>
              <w:jc w:val="center"/>
              <w:rPr>
                <w:rFonts w:ascii="仿宋_GB2312" w:eastAsia="仿宋_GB2312"/>
                <w:kern w:val="0"/>
              </w:rPr>
            </w:pPr>
            <w:r>
              <w:rPr>
                <w:rFonts w:hint="eastAsia" w:ascii="仿宋_GB2312" w:eastAsia="仿宋_GB2312"/>
                <w:kern w:val="0"/>
              </w:rPr>
              <w:t>一是加强馆内业务培训；二是提高服务质量，三是提高绩效指标设置的准确性，提高屈原纪念馆工作的满意度</w:t>
            </w: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74" w:type="dxa"/>
            <w:vMerge w:val="continue"/>
            <w:tcBorders>
              <w:right w:val="single" w:color="auto" w:sz="4" w:space="0"/>
            </w:tcBorders>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bottom w:val="single" w:color="auto" w:sz="4" w:space="0"/>
              <w:right w:val="single" w:color="auto" w:sz="4" w:space="0"/>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tcBorders>
              <w:left w:val="single" w:color="auto" w:sz="4" w:space="0"/>
            </w:tcBorders>
            <w:vAlign w:val="center"/>
          </w:tcPr>
          <w:p w14:paraId="32611957">
            <w:pPr>
              <w:spacing w:line="240" w:lineRule="auto"/>
              <w:ind w:firstLine="268" w:firstLineChars="0"/>
              <w:jc w:val="both"/>
              <w:rPr>
                <w:rFonts w:ascii="仿宋_GB2312" w:eastAsia="仿宋_GB2312"/>
                <w:kern w:val="0"/>
              </w:rPr>
            </w:pPr>
            <w:r>
              <w:rPr>
                <w:rFonts w:hint="eastAsia" w:ascii="仿宋_GB2312" w:eastAsia="仿宋_GB2312"/>
                <w:kern w:val="0"/>
              </w:rPr>
              <w:t>有助于引导游客和青少年爱国主义热情</w:t>
            </w:r>
          </w:p>
        </w:tc>
        <w:tc>
          <w:tcPr>
            <w:tcW w:w="1298" w:type="dxa"/>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251"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rPr>
              <w:t>100%</w:t>
            </w:r>
          </w:p>
        </w:tc>
        <w:tc>
          <w:tcPr>
            <w:tcW w:w="717" w:type="dxa"/>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63D43995">
            <w:pPr>
              <w:spacing w:line="240" w:lineRule="auto"/>
              <w:ind w:firstLine="420"/>
              <w:jc w:val="center"/>
              <w:rPr>
                <w:rFonts w:ascii="仿宋_GB2312" w:eastAsia="仿宋_GB2312"/>
                <w:kern w:val="0"/>
              </w:rPr>
            </w:pPr>
            <w:r>
              <w:rPr>
                <w:rFonts w:hint="eastAsia" w:ascii="仿宋_GB2312" w:eastAsia="仿宋_GB2312"/>
                <w:kern w:val="0"/>
              </w:rPr>
              <w:t>一是加强馆内业务培训；二是提高服务质量，三是提高绩效指标设置的准确性，提高屈原纪念馆工作的满意度</w:t>
            </w: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right w:val="single" w:color="auto" w:sz="4" w:space="0"/>
            </w:tcBorders>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14:paraId="4E46C1EB">
            <w:pPr>
              <w:spacing w:line="240" w:lineRule="auto"/>
              <w:ind w:firstLine="420"/>
              <w:jc w:val="center"/>
              <w:rPr>
                <w:rFonts w:ascii="仿宋_GB2312" w:eastAsia="仿宋_GB2312"/>
                <w:kern w:val="0"/>
              </w:rPr>
            </w:pPr>
          </w:p>
        </w:tc>
        <w:tc>
          <w:tcPr>
            <w:tcW w:w="1029" w:type="dxa"/>
            <w:tcBorders>
              <w:top w:val="single" w:color="auto" w:sz="4" w:space="0"/>
              <w:bottom w:val="single" w:color="auto" w:sz="4" w:space="0"/>
              <w:right w:val="single" w:color="auto" w:sz="4" w:space="0"/>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tcBorders>
              <w:left w:val="single" w:color="auto" w:sz="4" w:space="0"/>
            </w:tcBorders>
            <w:vAlign w:val="center"/>
          </w:tcPr>
          <w:p w14:paraId="5D9BC272">
            <w:pPr>
              <w:spacing w:line="240" w:lineRule="auto"/>
              <w:jc w:val="both"/>
              <w:rPr>
                <w:rFonts w:ascii="仿宋_GB2312" w:eastAsia="仿宋_GB2312"/>
                <w:kern w:val="0"/>
              </w:rPr>
            </w:pPr>
            <w:r>
              <w:rPr>
                <w:rFonts w:hint="eastAsia" w:ascii="仿宋_GB2312" w:eastAsia="仿宋_GB2312"/>
                <w:kern w:val="0"/>
              </w:rPr>
              <w:t>让市民了解屈原文化</w:t>
            </w:r>
          </w:p>
        </w:tc>
        <w:tc>
          <w:tcPr>
            <w:tcW w:w="1298" w:type="dxa"/>
            <w:shd w:val="clear" w:color="auto" w:fill="auto"/>
            <w:vAlign w:val="center"/>
          </w:tcPr>
          <w:p w14:paraId="6E8C4873">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有所提升</w:t>
            </w:r>
          </w:p>
        </w:tc>
        <w:tc>
          <w:tcPr>
            <w:tcW w:w="1251" w:type="dxa"/>
            <w:shd w:val="clear" w:color="auto" w:fill="auto"/>
            <w:vAlign w:val="center"/>
          </w:tcPr>
          <w:p w14:paraId="4886005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717"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right w:val="single" w:color="auto" w:sz="4" w:space="0"/>
            </w:tcBorders>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14:paraId="70290ED9">
            <w:pPr>
              <w:spacing w:line="240" w:lineRule="auto"/>
              <w:ind w:firstLine="420"/>
              <w:jc w:val="center"/>
              <w:rPr>
                <w:rFonts w:ascii="仿宋_GB2312" w:eastAsia="仿宋_GB2312"/>
                <w:kern w:val="0"/>
              </w:rPr>
            </w:pPr>
          </w:p>
        </w:tc>
        <w:tc>
          <w:tcPr>
            <w:tcW w:w="1029" w:type="dxa"/>
            <w:tcBorders>
              <w:top w:val="single" w:color="auto" w:sz="4" w:space="0"/>
              <w:bottom w:val="single" w:color="auto" w:sz="4" w:space="0"/>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提高景区环境标准</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1251"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717" w:type="dxa"/>
            <w:vAlign w:val="center"/>
          </w:tcPr>
          <w:p w14:paraId="6A82224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cBorders>
              <w:right w:val="single" w:color="auto" w:sz="4" w:space="0"/>
            </w:tcBorders>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14:paraId="03791089">
            <w:pPr>
              <w:spacing w:line="240" w:lineRule="auto"/>
              <w:ind w:firstLine="420"/>
              <w:jc w:val="center"/>
              <w:rPr>
                <w:rFonts w:ascii="仿宋_GB2312" w:eastAsia="仿宋_GB2312"/>
                <w:kern w:val="0"/>
              </w:rPr>
            </w:pPr>
          </w:p>
        </w:tc>
        <w:tc>
          <w:tcPr>
            <w:tcW w:w="1029" w:type="dxa"/>
            <w:tcBorders>
              <w:top w:val="single" w:color="auto" w:sz="4" w:space="0"/>
              <w:bottom w:val="single" w:color="auto" w:sz="4" w:space="0"/>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ascii="仿宋_GB2312" w:eastAsia="仿宋_GB2312"/>
                <w:kern w:val="0"/>
              </w:rPr>
            </w:pPr>
            <w:r>
              <w:rPr>
                <w:rFonts w:hint="eastAsia" w:ascii="仿宋_GB2312" w:eastAsia="仿宋_GB2312"/>
                <w:kern w:val="0"/>
              </w:rPr>
              <w:t>可持续发展，培育和践行社会主义核心价值观</w:t>
            </w:r>
          </w:p>
        </w:tc>
        <w:tc>
          <w:tcPr>
            <w:tcW w:w="1298" w:type="dxa"/>
            <w:vAlign w:val="center"/>
          </w:tcPr>
          <w:p w14:paraId="055B34ED">
            <w:pPr>
              <w:spacing w:line="240" w:lineRule="auto"/>
              <w:ind w:firstLine="420"/>
              <w:jc w:val="center"/>
              <w:rPr>
                <w:rFonts w:ascii="仿宋_GB2312" w:eastAsia="仿宋_GB2312"/>
                <w:kern w:val="0"/>
              </w:rPr>
            </w:pPr>
            <w:r>
              <w:rPr>
                <w:rFonts w:hint="eastAsia" w:ascii="仿宋_GB2312" w:eastAsia="仿宋_GB2312"/>
                <w:kern w:val="0"/>
              </w:rPr>
              <w:t>持续</w:t>
            </w:r>
          </w:p>
        </w:tc>
        <w:tc>
          <w:tcPr>
            <w:tcW w:w="1251" w:type="dxa"/>
            <w:vAlign w:val="center"/>
          </w:tcPr>
          <w:p w14:paraId="46B41467">
            <w:pPr>
              <w:spacing w:line="240" w:lineRule="auto"/>
              <w:ind w:firstLine="420"/>
              <w:jc w:val="center"/>
              <w:rPr>
                <w:rFonts w:ascii="仿宋_GB2312" w:eastAsia="仿宋_GB2312"/>
                <w:kern w:val="0"/>
              </w:rPr>
            </w:pPr>
            <w:r>
              <w:rPr>
                <w:rFonts w:hint="eastAsia" w:ascii="仿宋_GB2312" w:eastAsia="仿宋_GB2312"/>
                <w:kern w:val="0"/>
              </w:rPr>
              <w:t>持续</w:t>
            </w:r>
          </w:p>
        </w:tc>
        <w:tc>
          <w:tcPr>
            <w:tcW w:w="717" w:type="dxa"/>
            <w:vAlign w:val="center"/>
          </w:tcPr>
          <w:p w14:paraId="447C4D9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C7C72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cBorders>
              <w:right w:val="single" w:color="auto" w:sz="4" w:space="0"/>
            </w:tcBorders>
            <w:textDirection w:val="tbRlV"/>
            <w:vAlign w:val="center"/>
          </w:tcPr>
          <w:p w14:paraId="42AFB0D6">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bottom w:val="single" w:color="auto" w:sz="4" w:space="0"/>
              <w:right w:val="single" w:color="auto" w:sz="4" w:space="0"/>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left w:val="single" w:color="auto" w:sz="4" w:space="0"/>
            </w:tcBorders>
            <w:vAlign w:val="center"/>
          </w:tcPr>
          <w:p w14:paraId="4F2AFDD1">
            <w:pPr>
              <w:spacing w:line="240" w:lineRule="auto"/>
              <w:jc w:val="both"/>
              <w:rPr>
                <w:rFonts w:ascii="仿宋_GB2312" w:eastAsia="仿宋_GB2312"/>
                <w:kern w:val="0"/>
              </w:rPr>
            </w:pPr>
            <w:r>
              <w:rPr>
                <w:rFonts w:hint="eastAsia" w:ascii="仿宋_GB2312" w:eastAsia="仿宋_GB2312"/>
                <w:kern w:val="0"/>
              </w:rPr>
              <w:t>群众基本满意</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100%≥</w:t>
            </w:r>
          </w:p>
        </w:tc>
        <w:tc>
          <w:tcPr>
            <w:tcW w:w="1251"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rPr>
              <w:t>98%</w:t>
            </w:r>
          </w:p>
        </w:tc>
        <w:tc>
          <w:tcPr>
            <w:tcW w:w="717"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rPr>
              <w:t>预算批复金额</w:t>
            </w: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133.08</w:t>
            </w:r>
          </w:p>
        </w:tc>
        <w:tc>
          <w:tcPr>
            <w:tcW w:w="1251" w:type="dxa"/>
            <w:vAlign w:val="center"/>
          </w:tcPr>
          <w:p w14:paraId="3C32824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301.82</w:t>
            </w:r>
          </w:p>
        </w:tc>
        <w:tc>
          <w:tcPr>
            <w:tcW w:w="717"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both"/>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14:paraId="09361E43">
            <w:pPr>
              <w:spacing w:line="240" w:lineRule="auto"/>
              <w:ind w:firstLine="420"/>
              <w:jc w:val="center"/>
              <w:rPr>
                <w:rFonts w:ascii="仿宋_GB2312" w:eastAsia="仿宋_GB2312"/>
                <w:kern w:val="0"/>
              </w:rPr>
            </w:pPr>
            <w:r>
              <w:rPr>
                <w:rFonts w:hint="eastAsia" w:ascii="仿宋_GB2312" w:eastAsia="仿宋_GB2312"/>
                <w:kern w:val="0"/>
              </w:rPr>
              <w:t>无</w:t>
            </w:r>
          </w:p>
        </w:tc>
        <w:tc>
          <w:tcPr>
            <w:tcW w:w="1251" w:type="dxa"/>
            <w:vAlign w:val="center"/>
          </w:tcPr>
          <w:p w14:paraId="32DCD303">
            <w:pPr>
              <w:spacing w:line="240" w:lineRule="auto"/>
              <w:ind w:firstLine="420"/>
              <w:jc w:val="center"/>
              <w:rPr>
                <w:rFonts w:ascii="仿宋_GB2312" w:eastAsia="仿宋_GB2312"/>
                <w:kern w:val="0"/>
              </w:rPr>
            </w:pPr>
            <w:r>
              <w:rPr>
                <w:rFonts w:hint="eastAsia" w:ascii="仿宋_GB2312" w:eastAsia="仿宋_GB2312"/>
                <w:kern w:val="0"/>
              </w:rPr>
              <w:t>无</w:t>
            </w:r>
          </w:p>
        </w:tc>
        <w:tc>
          <w:tcPr>
            <w:tcW w:w="717" w:type="dxa"/>
            <w:vAlign w:val="center"/>
          </w:tcPr>
          <w:p w14:paraId="765229A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both"/>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14:paraId="789CDCB9">
            <w:pPr>
              <w:spacing w:line="240" w:lineRule="auto"/>
              <w:ind w:firstLine="420"/>
              <w:jc w:val="center"/>
              <w:rPr>
                <w:rFonts w:ascii="仿宋_GB2312" w:eastAsia="仿宋_GB2312"/>
                <w:kern w:val="0"/>
              </w:rPr>
            </w:pPr>
            <w:r>
              <w:rPr>
                <w:rFonts w:hint="eastAsia" w:ascii="仿宋_GB2312" w:eastAsia="仿宋_GB2312"/>
                <w:kern w:val="0"/>
              </w:rPr>
              <w:t>无</w:t>
            </w:r>
          </w:p>
        </w:tc>
        <w:tc>
          <w:tcPr>
            <w:tcW w:w="1251" w:type="dxa"/>
            <w:vAlign w:val="center"/>
          </w:tcPr>
          <w:p w14:paraId="4E354EE6">
            <w:pPr>
              <w:spacing w:line="240" w:lineRule="auto"/>
              <w:ind w:firstLine="420"/>
              <w:jc w:val="center"/>
              <w:rPr>
                <w:rFonts w:ascii="仿宋_GB2312" w:eastAsia="仿宋_GB2312"/>
                <w:kern w:val="0"/>
              </w:rPr>
            </w:pPr>
            <w:r>
              <w:rPr>
                <w:rFonts w:hint="eastAsia" w:ascii="仿宋_GB2312" w:eastAsia="仿宋_GB2312"/>
                <w:kern w:val="0"/>
              </w:rPr>
              <w:t>无</w:t>
            </w:r>
          </w:p>
        </w:tc>
        <w:tc>
          <w:tcPr>
            <w:tcW w:w="717" w:type="dxa"/>
            <w:vAlign w:val="center"/>
          </w:tcPr>
          <w:p w14:paraId="6C36DE6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70"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717"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欧阳清</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2024.5.21</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18573137282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罗浩波</w:t>
      </w:r>
      <w:r>
        <w:rPr>
          <w:rFonts w:ascii="仿宋_GB2312" w:hAnsi="宋体" w:eastAsia="仿宋_GB2312" w:cs="宋体"/>
          <w:snapToGrid w:val="0"/>
          <w:color w:val="000000"/>
          <w:sz w:val="35"/>
          <w:szCs w:val="35"/>
          <w:lang w:val="en-US" w:eastAsia="zh-CN" w:bidi="ar-SA"/>
        </w:rPr>
        <w:t xml:space="preserve"> </w:t>
      </w:r>
    </w:p>
    <w:p w14:paraId="115DACF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AB9683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12E7B0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EEDEFD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54CFBFA">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F70ED94">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F4A09CF">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4EEC2B5">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39DFE80">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0BF261C">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48EE5E1">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E7DA868">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9FBD1D9">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035362B">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2023年中央补助地方博物馆免费开放专项资金</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汨罗市屈原纪念馆</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0</w:t>
            </w:r>
          </w:p>
        </w:tc>
        <w:tc>
          <w:tcPr>
            <w:tcW w:w="1099" w:type="dxa"/>
            <w:vAlign w:val="center"/>
          </w:tcPr>
          <w:p w14:paraId="54320DC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70</w:t>
            </w:r>
          </w:p>
        </w:tc>
        <w:tc>
          <w:tcPr>
            <w:tcW w:w="1099" w:type="dxa"/>
            <w:vAlign w:val="center"/>
          </w:tcPr>
          <w:p w14:paraId="6051D9A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70.07</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05C9BB9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4AC8E36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1785B7F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E136F3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EF1A3E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5B513B6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72BEE3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273A66F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shd w:val="clear"/>
            <w:vAlign w:val="center"/>
          </w:tcPr>
          <w:p w14:paraId="51413325">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0</w:t>
            </w:r>
          </w:p>
        </w:tc>
        <w:tc>
          <w:tcPr>
            <w:tcW w:w="1099" w:type="dxa"/>
            <w:shd w:val="clear"/>
            <w:vAlign w:val="center"/>
          </w:tcPr>
          <w:p w14:paraId="03D3AC3D">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70</w:t>
            </w:r>
          </w:p>
        </w:tc>
        <w:tc>
          <w:tcPr>
            <w:tcW w:w="1099" w:type="dxa"/>
            <w:shd w:val="clear"/>
            <w:vAlign w:val="center"/>
          </w:tcPr>
          <w:p w14:paraId="186F5ED3">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70.07</w:t>
            </w:r>
          </w:p>
        </w:tc>
        <w:tc>
          <w:tcPr>
            <w:tcW w:w="809" w:type="dxa"/>
            <w:shd w:val="clear"/>
            <w:vAlign w:val="center"/>
          </w:tcPr>
          <w:p w14:paraId="3908879F">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shd w:val="clear"/>
            <w:vAlign w:val="center"/>
          </w:tcPr>
          <w:p w14:paraId="0EAD3560">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shd w:val="clear"/>
            <w:vAlign w:val="center"/>
          </w:tcPr>
          <w:p w14:paraId="0178F4E7">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tcBorders>
              <w:bottom w:val="single" w:color="auto" w:sz="4" w:space="0"/>
            </w:tcBorders>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bottom w:val="single" w:color="auto" w:sz="4" w:space="0"/>
            </w:tcBorders>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cBorders>
              <w:right w:val="single" w:color="auto" w:sz="4" w:space="0"/>
            </w:tcBorders>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top w:val="single" w:color="auto" w:sz="4" w:space="0"/>
              <w:bottom w:val="nil"/>
              <w:right w:val="single" w:color="auto" w:sz="4" w:space="0"/>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left w:val="single" w:color="auto" w:sz="4" w:space="0"/>
            </w:tcBorders>
            <w:vAlign w:val="center"/>
          </w:tcPr>
          <w:p w14:paraId="7C295655">
            <w:pPr>
              <w:spacing w:line="240" w:lineRule="auto"/>
              <w:jc w:val="both"/>
              <w:rPr>
                <w:rFonts w:ascii="仿宋_GB2312" w:hAnsi="宋体" w:eastAsia="仿宋_GB2312" w:cs="宋体"/>
                <w:kern w:val="0"/>
              </w:rPr>
            </w:pPr>
            <w:r>
              <w:rPr>
                <w:rFonts w:hint="eastAsia" w:ascii="仿宋_GB2312" w:hAnsi="宋体" w:eastAsia="仿宋_GB2312" w:cs="宋体"/>
                <w:kern w:val="0"/>
              </w:rPr>
              <w:t>1.开展纪念馆走进校园、走进社区、走进高墙活动2.纪念馆全年免费开放</w:t>
            </w:r>
          </w:p>
        </w:tc>
        <w:tc>
          <w:tcPr>
            <w:tcW w:w="1099" w:type="dxa"/>
            <w:vAlign w:val="center"/>
          </w:tcPr>
          <w:p w14:paraId="54B93945">
            <w:pPr>
              <w:spacing w:line="240" w:lineRule="auto"/>
              <w:jc w:val="both"/>
              <w:rPr>
                <w:rFonts w:ascii="仿宋_GB2312" w:hAnsi="宋体" w:eastAsia="仿宋_GB2312" w:cs="宋体"/>
                <w:kern w:val="0"/>
              </w:rPr>
            </w:pPr>
            <w:r>
              <w:rPr>
                <w:rFonts w:hint="eastAsia" w:ascii="仿宋_GB2312" w:hAnsi="宋体" w:eastAsia="仿宋_GB2312" w:cs="宋体"/>
                <w:kern w:val="0"/>
              </w:rPr>
              <w:t>游客参观数7万人次</w:t>
            </w:r>
          </w:p>
        </w:tc>
        <w:tc>
          <w:tcPr>
            <w:tcW w:w="1099" w:type="dxa"/>
            <w:shd w:val="clear" w:color="auto" w:fill="auto"/>
            <w:vAlign w:val="center"/>
          </w:tcPr>
          <w:p w14:paraId="7F49710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color="auto" w:fill="auto"/>
            <w:vAlign w:val="center"/>
          </w:tcPr>
          <w:p w14:paraId="450DEC19">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5F7B7A4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tcBorders/>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054" w:type="dxa"/>
            <w:vMerge w:val="continue"/>
            <w:tcBorders>
              <w:right w:val="single" w:color="auto" w:sz="4" w:space="0"/>
            </w:tcBorders>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bottom w:val="single" w:color="auto" w:sz="4" w:space="0"/>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right w:val="single" w:color="auto" w:sz="4" w:space="0"/>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left w:val="single" w:color="auto" w:sz="4" w:space="0"/>
            </w:tcBorders>
            <w:vAlign w:val="center"/>
          </w:tcPr>
          <w:p w14:paraId="61412C88">
            <w:pPr>
              <w:spacing w:line="240" w:lineRule="auto"/>
              <w:jc w:val="both"/>
              <w:rPr>
                <w:rFonts w:ascii="仿宋_GB2312" w:hAnsi="宋体" w:eastAsia="仿宋_GB2312" w:cs="宋体"/>
                <w:kern w:val="0"/>
              </w:rPr>
            </w:pPr>
            <w:r>
              <w:rPr>
                <w:rFonts w:hint="eastAsia" w:ascii="仿宋_GB2312" w:hAnsi="宋体" w:eastAsia="仿宋_GB2312" w:cs="宋体"/>
                <w:kern w:val="0"/>
              </w:rPr>
              <w:t>1.正常开放率2.参观游客安全率</w:t>
            </w:r>
          </w:p>
        </w:tc>
        <w:tc>
          <w:tcPr>
            <w:tcW w:w="1099" w:type="dxa"/>
            <w:vAlign w:val="center"/>
          </w:tcPr>
          <w:p w14:paraId="2D69FB32">
            <w:pPr>
              <w:spacing w:line="240" w:lineRule="auto"/>
              <w:jc w:val="both"/>
              <w:rPr>
                <w:rFonts w:ascii="仿宋_GB2312" w:hAnsi="宋体" w:eastAsia="仿宋_GB2312" w:cs="宋体"/>
                <w:kern w:val="0"/>
              </w:rPr>
            </w:pPr>
            <w:r>
              <w:rPr>
                <w:rFonts w:hint="eastAsia" w:ascii="仿宋_GB2312" w:hAnsi="宋体" w:eastAsia="仿宋_GB2312" w:cs="宋体"/>
                <w:kern w:val="0"/>
              </w:rPr>
              <w:t>各项工作依法开展完成</w:t>
            </w:r>
          </w:p>
        </w:tc>
        <w:tc>
          <w:tcPr>
            <w:tcW w:w="1099" w:type="dxa"/>
            <w:shd w:val="clear"/>
            <w:vAlign w:val="center"/>
          </w:tcPr>
          <w:p w14:paraId="03BC31E1">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vAlign w:val="center"/>
          </w:tcPr>
          <w:p w14:paraId="5DC8615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vAlign w:val="center"/>
          </w:tcPr>
          <w:p w14:paraId="25177C64">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tcBorders/>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054" w:type="dxa"/>
            <w:vMerge w:val="continue"/>
            <w:tcBorders>
              <w:right w:val="single" w:color="auto" w:sz="4" w:space="0"/>
            </w:tcBorders>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top w:val="single" w:color="auto" w:sz="4" w:space="0"/>
              <w:bottom w:val="single" w:color="auto" w:sz="4" w:space="0"/>
            </w:tcBorders>
            <w:shd w:val="clear"/>
            <w:vAlign w:val="center"/>
          </w:tcPr>
          <w:p w14:paraId="6E627080">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kern w:val="0"/>
              </w:rPr>
              <w:t>每季度完成一次以上教育活动时间完成</w:t>
            </w:r>
          </w:p>
        </w:tc>
        <w:tc>
          <w:tcPr>
            <w:tcW w:w="1099" w:type="dxa"/>
            <w:vAlign w:val="center"/>
          </w:tcPr>
          <w:p w14:paraId="015D039B">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14:paraId="5C21687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tcBorders/>
            <w:vAlign w:val="center"/>
          </w:tcPr>
          <w:p w14:paraId="46CE8FD2">
            <w:pPr>
              <w:spacing w:line="240" w:lineRule="auto"/>
              <w:jc w:val="both"/>
              <w:rPr>
                <w:rFonts w:ascii="仿宋_GB2312" w:hAnsi="宋体" w:eastAsia="仿宋_GB2312" w:cs="宋体"/>
                <w:kern w:val="0"/>
              </w:rPr>
            </w:pPr>
            <w:r>
              <w:rPr>
                <w:rFonts w:hint="eastAsia" w:ascii="仿宋_GB2312" w:hAnsi="宋体" w:eastAsia="仿宋_GB2312" w:cs="宋体"/>
                <w:kern w:val="0"/>
              </w:rPr>
              <w:t>一是加强馆内业务培训；二是提高服务质量，三是提高绩效指标设置的准确性，提高屈原纪念馆工作的满意度</w:t>
            </w: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bottom w:val="single" w:color="auto" w:sz="4" w:space="0"/>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top w:val="single" w:color="auto" w:sz="4" w:space="0"/>
              <w:bottom w:val="single" w:color="auto" w:sz="4" w:space="0"/>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ascii="仿宋_GB2312" w:hAnsi="宋体" w:eastAsia="仿宋_GB2312" w:cs="宋体"/>
                <w:kern w:val="0"/>
              </w:rPr>
            </w:pPr>
            <w:r>
              <w:rPr>
                <w:rFonts w:hint="eastAsia" w:ascii="仿宋_GB2312" w:hAnsi="宋体" w:eastAsia="仿宋_GB2312" w:cs="宋体"/>
                <w:kern w:val="0"/>
              </w:rPr>
              <w:t>有助于引导游客和青少年爱国主义热情</w:t>
            </w:r>
          </w:p>
        </w:tc>
        <w:tc>
          <w:tcPr>
            <w:tcW w:w="1099" w:type="dxa"/>
            <w:vAlign w:val="center"/>
          </w:tcPr>
          <w:p w14:paraId="53928C31">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14:paraId="6D883DD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tcBorders/>
            <w:vAlign w:val="center"/>
          </w:tcPr>
          <w:p w14:paraId="5D804D2D">
            <w:pPr>
              <w:spacing w:line="240" w:lineRule="auto"/>
              <w:jc w:val="both"/>
              <w:rPr>
                <w:rFonts w:ascii="仿宋_GB2312" w:hAnsi="宋体" w:eastAsia="仿宋_GB2312" w:cs="宋体"/>
                <w:kern w:val="0"/>
              </w:rPr>
            </w:pPr>
            <w:r>
              <w:rPr>
                <w:rFonts w:hint="eastAsia" w:ascii="仿宋_GB2312" w:hAnsi="宋体" w:eastAsia="仿宋_GB2312" w:cs="宋体"/>
                <w:kern w:val="0"/>
              </w:rPr>
              <w:t>一是加强馆内业务培训；二是提高服务质量，三是提高绩效指标设置的准确性，提高屈原纪念馆工作的满意度</w:t>
            </w: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single" w:color="auto" w:sz="4" w:space="0"/>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top w:val="single" w:color="auto" w:sz="4" w:space="0"/>
              <w:bottom w:val="single" w:color="auto" w:sz="4" w:space="0"/>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ascii="仿宋_GB2312" w:hAnsi="宋体" w:eastAsia="仿宋_GB2312" w:cs="宋体"/>
                <w:kern w:val="0"/>
              </w:rPr>
            </w:pPr>
            <w:r>
              <w:rPr>
                <w:rFonts w:hint="eastAsia" w:ascii="仿宋_GB2312" w:hAnsi="宋体" w:eastAsia="仿宋_GB2312" w:cs="宋体"/>
                <w:kern w:val="0"/>
              </w:rPr>
              <w:t>开展纪念馆走进校园、走进社区、走进高墙活动2.纪念馆全年免费开放</w:t>
            </w:r>
          </w:p>
        </w:tc>
        <w:tc>
          <w:tcPr>
            <w:tcW w:w="1099" w:type="dxa"/>
            <w:vAlign w:val="center"/>
          </w:tcPr>
          <w:p w14:paraId="01875392">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tcBorders/>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single" w:color="auto" w:sz="4" w:space="0"/>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top w:val="single" w:color="auto" w:sz="4" w:space="0"/>
              <w:bottom w:val="single" w:color="auto" w:sz="4" w:space="0"/>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生态环境改善情况</w:t>
            </w:r>
          </w:p>
        </w:tc>
        <w:tc>
          <w:tcPr>
            <w:tcW w:w="1099" w:type="dxa"/>
            <w:vAlign w:val="center"/>
          </w:tcPr>
          <w:p w14:paraId="286C2197">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14:paraId="4CA75D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14:paraId="491BA99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BF7EB9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tcBorders/>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single" w:color="auto" w:sz="4" w:space="0"/>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top w:val="single" w:color="auto" w:sz="4" w:space="0"/>
              <w:bottom w:val="single" w:color="auto" w:sz="4" w:space="0"/>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提高人民群众文化活动，提升基本公共文化服务水平，提高文化遗产全民保护意识</w:t>
            </w:r>
          </w:p>
        </w:tc>
        <w:tc>
          <w:tcPr>
            <w:tcW w:w="1099" w:type="dxa"/>
            <w:vAlign w:val="center"/>
          </w:tcPr>
          <w:p w14:paraId="48F3A1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14:paraId="596F13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14:paraId="49A57C7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4D5C8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tcBorders/>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bottom w:val="single" w:color="auto" w:sz="4" w:space="0"/>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single" w:color="auto" w:sz="4" w:space="0"/>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游客满意度达到100%</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shd w:val="clear"/>
            <w:vAlign w:val="center"/>
          </w:tcPr>
          <w:p w14:paraId="65FCC670">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96%</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tcBorders/>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中央批复</w:t>
            </w:r>
          </w:p>
        </w:tc>
        <w:tc>
          <w:tcPr>
            <w:tcW w:w="1099" w:type="dxa"/>
            <w:vAlign w:val="center"/>
          </w:tcPr>
          <w:p w14:paraId="7D8FEFD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70.00</w:t>
            </w:r>
          </w:p>
        </w:tc>
        <w:tc>
          <w:tcPr>
            <w:tcW w:w="1099" w:type="dxa"/>
            <w:vAlign w:val="center"/>
          </w:tcPr>
          <w:p w14:paraId="729BFD5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70.01</w:t>
            </w:r>
          </w:p>
        </w:tc>
        <w:tc>
          <w:tcPr>
            <w:tcW w:w="809" w:type="dxa"/>
            <w:vAlign w:val="center"/>
          </w:tcPr>
          <w:p w14:paraId="43443E17">
            <w:pPr>
              <w:spacing w:line="240" w:lineRule="auto"/>
              <w:ind w:firstLine="210" w:firstLineChars="10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14:paraId="515A677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14:paraId="79BCBEC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对自然生态环境造成的负面</w:t>
            </w:r>
          </w:p>
        </w:tc>
        <w:tc>
          <w:tcPr>
            <w:tcW w:w="1099" w:type="dxa"/>
            <w:vAlign w:val="center"/>
          </w:tcPr>
          <w:p w14:paraId="52AC4F9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14:paraId="0867BB9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B3C958F">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欧阳清</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2024.5.21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18573137282</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单位负责人签字:罗浩波</w:t>
      </w:r>
    </w:p>
    <w:p w14:paraId="6616428F">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00DE1A03">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70CF60DD">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C384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F5CC97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1ECEC9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屈子祠文物本体及玉笥山白蚁防治</w:t>
            </w:r>
          </w:p>
        </w:tc>
      </w:tr>
      <w:tr w14:paraId="4171F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23A9D4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0F97C2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c>
          <w:tcPr>
            <w:tcW w:w="1099" w:type="dxa"/>
            <w:vAlign w:val="center"/>
          </w:tcPr>
          <w:p w14:paraId="13C2FA8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77C3729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28FEDD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汨罗市屈原纪念馆</w:t>
            </w:r>
          </w:p>
        </w:tc>
      </w:tr>
      <w:tr w14:paraId="0F788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735B00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52D6363">
            <w:pPr>
              <w:spacing w:line="240" w:lineRule="auto"/>
              <w:ind w:firstLine="420"/>
              <w:jc w:val="center"/>
              <w:rPr>
                <w:rFonts w:ascii="仿宋_GB2312" w:hAnsi="宋体" w:eastAsia="仿宋_GB2312" w:cs="宋体"/>
                <w:kern w:val="0"/>
                <w:lang w:eastAsia="zh-CN"/>
              </w:rPr>
            </w:pPr>
          </w:p>
        </w:tc>
        <w:tc>
          <w:tcPr>
            <w:tcW w:w="1020" w:type="dxa"/>
            <w:vAlign w:val="center"/>
          </w:tcPr>
          <w:p w14:paraId="3C0B60D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EA0D6A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729616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12C7AB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181D0F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DAF918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2B436F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FF62AA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AD8803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B880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A336B0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0B8068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556781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4A1F67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67</w:t>
            </w:r>
          </w:p>
        </w:tc>
        <w:tc>
          <w:tcPr>
            <w:tcW w:w="1099" w:type="dxa"/>
            <w:vAlign w:val="center"/>
          </w:tcPr>
          <w:p w14:paraId="084D2A8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67.25</w:t>
            </w:r>
          </w:p>
        </w:tc>
        <w:tc>
          <w:tcPr>
            <w:tcW w:w="809" w:type="dxa"/>
            <w:vAlign w:val="center"/>
          </w:tcPr>
          <w:p w14:paraId="6C58F59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C638C34">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30D8FE0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9ED3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983C0F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14A9A0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F72701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152C76D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2F33AD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7647D340">
            <w:pPr>
              <w:spacing w:line="240" w:lineRule="auto"/>
              <w:ind w:firstLine="420"/>
              <w:jc w:val="center"/>
              <w:rPr>
                <w:rFonts w:ascii="仿宋_GB2312" w:hAnsi="宋体" w:eastAsia="仿宋_GB2312" w:cs="宋体"/>
                <w:kern w:val="0"/>
                <w:lang w:eastAsia="zh-CN"/>
              </w:rPr>
            </w:pPr>
          </w:p>
        </w:tc>
        <w:tc>
          <w:tcPr>
            <w:tcW w:w="849" w:type="dxa"/>
            <w:vAlign w:val="center"/>
          </w:tcPr>
          <w:p w14:paraId="641CCDEA">
            <w:pPr>
              <w:spacing w:line="240" w:lineRule="auto"/>
              <w:ind w:firstLine="420"/>
              <w:jc w:val="center"/>
              <w:rPr>
                <w:rFonts w:ascii="仿宋_GB2312" w:hAnsi="宋体" w:eastAsia="仿宋_GB2312" w:cs="宋体"/>
                <w:kern w:val="0"/>
                <w:lang w:eastAsia="zh-CN"/>
              </w:rPr>
            </w:pPr>
          </w:p>
        </w:tc>
        <w:tc>
          <w:tcPr>
            <w:tcW w:w="1383" w:type="dxa"/>
            <w:vAlign w:val="center"/>
          </w:tcPr>
          <w:p w14:paraId="3321071A">
            <w:pPr>
              <w:spacing w:line="240" w:lineRule="auto"/>
              <w:ind w:firstLine="420"/>
              <w:jc w:val="center"/>
              <w:rPr>
                <w:rFonts w:ascii="仿宋_GB2312" w:hAnsi="宋体" w:eastAsia="仿宋_GB2312" w:cs="宋体"/>
                <w:kern w:val="0"/>
                <w:lang w:eastAsia="zh-CN"/>
              </w:rPr>
            </w:pPr>
          </w:p>
        </w:tc>
      </w:tr>
      <w:tr w14:paraId="67FB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AB878D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7B524CE">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AEB205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352703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CB7684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4497451E">
            <w:pPr>
              <w:spacing w:line="240" w:lineRule="auto"/>
              <w:ind w:firstLine="420"/>
              <w:jc w:val="center"/>
              <w:rPr>
                <w:rFonts w:ascii="仿宋_GB2312" w:hAnsi="宋体" w:eastAsia="仿宋_GB2312" w:cs="宋体"/>
                <w:kern w:val="0"/>
                <w:lang w:eastAsia="zh-CN"/>
              </w:rPr>
            </w:pPr>
          </w:p>
        </w:tc>
        <w:tc>
          <w:tcPr>
            <w:tcW w:w="849" w:type="dxa"/>
            <w:vAlign w:val="center"/>
          </w:tcPr>
          <w:p w14:paraId="26E8261F">
            <w:pPr>
              <w:spacing w:line="240" w:lineRule="auto"/>
              <w:ind w:firstLine="420"/>
              <w:jc w:val="center"/>
              <w:rPr>
                <w:rFonts w:ascii="仿宋_GB2312" w:hAnsi="宋体" w:eastAsia="仿宋_GB2312" w:cs="宋体"/>
                <w:kern w:val="0"/>
                <w:lang w:eastAsia="zh-CN"/>
              </w:rPr>
            </w:pPr>
          </w:p>
        </w:tc>
        <w:tc>
          <w:tcPr>
            <w:tcW w:w="1383" w:type="dxa"/>
            <w:vAlign w:val="center"/>
          </w:tcPr>
          <w:p w14:paraId="1E931FF2">
            <w:pPr>
              <w:spacing w:line="240" w:lineRule="auto"/>
              <w:ind w:firstLine="420"/>
              <w:jc w:val="center"/>
              <w:rPr>
                <w:rFonts w:ascii="仿宋_GB2312" w:hAnsi="宋体" w:eastAsia="仿宋_GB2312" w:cs="宋体"/>
                <w:kern w:val="0"/>
                <w:lang w:eastAsia="zh-CN"/>
              </w:rPr>
            </w:pPr>
          </w:p>
        </w:tc>
      </w:tr>
      <w:tr w14:paraId="11142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B1D89D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1020EE3">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shd w:val="clear"/>
            <w:vAlign w:val="center"/>
          </w:tcPr>
          <w:p w14:paraId="3AB885E0">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0</w:t>
            </w:r>
          </w:p>
        </w:tc>
        <w:tc>
          <w:tcPr>
            <w:tcW w:w="1099" w:type="dxa"/>
            <w:shd w:val="clear"/>
            <w:vAlign w:val="center"/>
          </w:tcPr>
          <w:p w14:paraId="3823F08C">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67</w:t>
            </w:r>
          </w:p>
        </w:tc>
        <w:tc>
          <w:tcPr>
            <w:tcW w:w="1099" w:type="dxa"/>
            <w:shd w:val="clear"/>
            <w:vAlign w:val="center"/>
          </w:tcPr>
          <w:p w14:paraId="10EA3576">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67.25</w:t>
            </w:r>
          </w:p>
        </w:tc>
        <w:tc>
          <w:tcPr>
            <w:tcW w:w="809" w:type="dxa"/>
            <w:shd w:val="clear"/>
            <w:vAlign w:val="center"/>
          </w:tcPr>
          <w:p w14:paraId="671B4D8E">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shd w:val="clear"/>
            <w:vAlign w:val="center"/>
          </w:tcPr>
          <w:p w14:paraId="6FB8F1F8">
            <w:pPr>
              <w:spacing w:line="240" w:lineRule="auto"/>
              <w:ind w:firstLine="210" w:firstLineChars="10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shd w:val="clear"/>
            <w:vAlign w:val="center"/>
          </w:tcPr>
          <w:p w14:paraId="2B6A623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2D751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EF62E0B">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A70065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D45384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A136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E16B865">
            <w:pPr>
              <w:spacing w:line="240" w:lineRule="auto"/>
              <w:ind w:firstLine="420"/>
              <w:jc w:val="center"/>
              <w:rPr>
                <w:rFonts w:ascii="仿宋_GB2312" w:hAnsi="宋体" w:eastAsia="仿宋_GB2312" w:cs="宋体"/>
                <w:kern w:val="0"/>
              </w:rPr>
            </w:pPr>
          </w:p>
        </w:tc>
        <w:tc>
          <w:tcPr>
            <w:tcW w:w="4396" w:type="dxa"/>
            <w:gridSpan w:val="4"/>
            <w:vAlign w:val="center"/>
          </w:tcPr>
          <w:p w14:paraId="5015199D">
            <w:pPr>
              <w:spacing w:line="240" w:lineRule="auto"/>
              <w:ind w:firstLine="420"/>
              <w:jc w:val="center"/>
              <w:rPr>
                <w:rFonts w:ascii="仿宋_GB2312" w:hAnsi="宋体" w:eastAsia="仿宋_GB2312" w:cs="宋体"/>
                <w:kern w:val="0"/>
              </w:rPr>
            </w:pPr>
          </w:p>
        </w:tc>
        <w:tc>
          <w:tcPr>
            <w:tcW w:w="4140" w:type="dxa"/>
            <w:gridSpan w:val="4"/>
            <w:vAlign w:val="center"/>
          </w:tcPr>
          <w:p w14:paraId="433FD81D">
            <w:pPr>
              <w:spacing w:line="240" w:lineRule="auto"/>
              <w:ind w:firstLine="420"/>
              <w:jc w:val="center"/>
              <w:rPr>
                <w:rFonts w:ascii="仿宋_GB2312" w:hAnsi="宋体" w:eastAsia="仿宋_GB2312" w:cs="宋体"/>
                <w:kern w:val="0"/>
              </w:rPr>
            </w:pPr>
          </w:p>
        </w:tc>
      </w:tr>
      <w:tr w14:paraId="44829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C5133CE">
            <w:pPr>
              <w:spacing w:line="240" w:lineRule="auto"/>
              <w:ind w:firstLine="420"/>
              <w:jc w:val="center"/>
              <w:rPr>
                <w:rFonts w:ascii="仿宋_GB2312" w:hAnsi="宋体" w:eastAsia="仿宋_GB2312" w:cs="宋体"/>
                <w:kern w:val="0"/>
              </w:rPr>
            </w:pPr>
          </w:p>
          <w:p w14:paraId="3624988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tcBorders>
              <w:bottom w:val="single" w:color="auto" w:sz="4" w:space="0"/>
            </w:tcBorders>
            <w:vAlign w:val="center"/>
          </w:tcPr>
          <w:p w14:paraId="0263C25B">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bottom w:val="single" w:color="auto" w:sz="4" w:space="0"/>
            </w:tcBorders>
            <w:vAlign w:val="center"/>
          </w:tcPr>
          <w:p w14:paraId="1AC62E6B">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E44ED06">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0D3F15E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B98621F">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56C1A1F">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5562A1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96E02F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76D3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cBorders>
              <w:right w:val="single" w:color="auto" w:sz="4" w:space="0"/>
            </w:tcBorders>
            <w:textDirection w:val="tbRlV"/>
            <w:vAlign w:val="center"/>
          </w:tcPr>
          <w:p w14:paraId="4DF2F02A">
            <w:pPr>
              <w:spacing w:line="240" w:lineRule="auto"/>
              <w:ind w:firstLine="42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nil"/>
            </w:tcBorders>
            <w:vAlign w:val="center"/>
          </w:tcPr>
          <w:p w14:paraId="4A59F05B">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D91DE9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top w:val="single" w:color="auto" w:sz="4" w:space="0"/>
              <w:bottom w:val="nil"/>
              <w:right w:val="single" w:color="auto" w:sz="4" w:space="0"/>
            </w:tcBorders>
            <w:vAlign w:val="center"/>
          </w:tcPr>
          <w:p w14:paraId="4C1F2E5D">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left w:val="single" w:color="auto" w:sz="4" w:space="0"/>
            </w:tcBorders>
            <w:vAlign w:val="center"/>
          </w:tcPr>
          <w:p w14:paraId="05E9EC4E">
            <w:pPr>
              <w:spacing w:line="240" w:lineRule="auto"/>
              <w:jc w:val="both"/>
              <w:rPr>
                <w:rFonts w:ascii="仿宋_GB2312" w:hAnsi="宋体" w:eastAsia="仿宋_GB2312" w:cs="宋体"/>
                <w:kern w:val="0"/>
              </w:rPr>
            </w:pPr>
            <w:r>
              <w:rPr>
                <w:rFonts w:hint="eastAsia" w:ascii="仿宋_GB2312" w:hAnsi="宋体" w:eastAsia="仿宋_GB2312" w:cs="宋体"/>
                <w:kern w:val="0"/>
              </w:rPr>
              <w:t>白蚁防治工程已完工百分之八十，白蚁检测设备正在定制中，预计7月底安装完毕。</w:t>
            </w:r>
          </w:p>
        </w:tc>
        <w:tc>
          <w:tcPr>
            <w:tcW w:w="1099" w:type="dxa"/>
            <w:vAlign w:val="center"/>
          </w:tcPr>
          <w:p w14:paraId="280756D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白蚁防治工程检测设备安装</w:t>
            </w:r>
          </w:p>
        </w:tc>
        <w:tc>
          <w:tcPr>
            <w:tcW w:w="1099" w:type="dxa"/>
            <w:shd w:val="clear" w:color="auto" w:fill="auto"/>
            <w:vAlign w:val="center"/>
          </w:tcPr>
          <w:p w14:paraId="53BC7591">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color="auto" w:fill="auto"/>
            <w:vAlign w:val="center"/>
          </w:tcPr>
          <w:p w14:paraId="5338BB15">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63A85F4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14:paraId="6CF88257">
            <w:pPr>
              <w:spacing w:line="240" w:lineRule="auto"/>
              <w:ind w:firstLine="420"/>
              <w:jc w:val="center"/>
              <w:rPr>
                <w:rFonts w:ascii="仿宋_GB2312" w:hAnsi="宋体" w:eastAsia="仿宋_GB2312" w:cs="宋体"/>
                <w:kern w:val="0"/>
              </w:rPr>
            </w:pPr>
          </w:p>
        </w:tc>
      </w:tr>
      <w:tr w14:paraId="73D7B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054" w:type="dxa"/>
            <w:vMerge w:val="continue"/>
            <w:tcBorders>
              <w:right w:val="single" w:color="auto" w:sz="4" w:space="0"/>
            </w:tcBorders>
            <w:textDirection w:val="tbRlV"/>
            <w:vAlign w:val="center"/>
          </w:tcPr>
          <w:p w14:paraId="7E9E75E6">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bottom w:val="single" w:color="auto" w:sz="4" w:space="0"/>
            </w:tcBorders>
            <w:vAlign w:val="center"/>
          </w:tcPr>
          <w:p w14:paraId="5CFFED2C">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right w:val="single" w:color="auto" w:sz="4" w:space="0"/>
            </w:tcBorders>
            <w:vAlign w:val="center"/>
          </w:tcPr>
          <w:p w14:paraId="6ED89B28">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left w:val="single" w:color="auto" w:sz="4" w:space="0"/>
            </w:tcBorders>
            <w:vAlign w:val="center"/>
          </w:tcPr>
          <w:p w14:paraId="231EEE9A">
            <w:pPr>
              <w:spacing w:line="240" w:lineRule="auto"/>
              <w:jc w:val="both"/>
              <w:rPr>
                <w:rFonts w:ascii="仿宋_GB2312" w:hAnsi="宋体" w:eastAsia="仿宋_GB2312" w:cs="宋体"/>
                <w:kern w:val="0"/>
              </w:rPr>
            </w:pPr>
            <w:r>
              <w:rPr>
                <w:rFonts w:hint="eastAsia" w:ascii="仿宋_GB2312" w:hAnsi="宋体" w:eastAsia="仿宋_GB2312" w:cs="宋体"/>
                <w:kern w:val="0"/>
              </w:rPr>
              <w:t>白蚁防治工程检测设备安装到位</w:t>
            </w:r>
          </w:p>
        </w:tc>
        <w:tc>
          <w:tcPr>
            <w:tcW w:w="1099" w:type="dxa"/>
            <w:vAlign w:val="center"/>
          </w:tcPr>
          <w:p w14:paraId="4409544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白蚁防治工程检测设备安装</w:t>
            </w:r>
          </w:p>
        </w:tc>
        <w:tc>
          <w:tcPr>
            <w:tcW w:w="1099" w:type="dxa"/>
            <w:shd w:val="clear" w:color="auto" w:fill="auto"/>
            <w:vAlign w:val="center"/>
          </w:tcPr>
          <w:p w14:paraId="2A3474C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color="auto" w:fill="auto"/>
            <w:vAlign w:val="center"/>
          </w:tcPr>
          <w:p w14:paraId="6FF39699">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4E5EC4D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14:paraId="1C77FF43">
            <w:pPr>
              <w:spacing w:line="240" w:lineRule="auto"/>
              <w:ind w:firstLine="420"/>
              <w:jc w:val="center"/>
              <w:rPr>
                <w:rFonts w:ascii="仿宋_GB2312" w:hAnsi="宋体" w:eastAsia="仿宋_GB2312" w:cs="宋体"/>
                <w:kern w:val="0"/>
              </w:rPr>
            </w:pPr>
          </w:p>
        </w:tc>
      </w:tr>
      <w:tr w14:paraId="1BA0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054" w:type="dxa"/>
            <w:vMerge w:val="continue"/>
            <w:tcBorders>
              <w:right w:val="single" w:color="auto" w:sz="4" w:space="0"/>
            </w:tcBorders>
            <w:textDirection w:val="tbRlV"/>
            <w:vAlign w:val="center"/>
          </w:tcPr>
          <w:p w14:paraId="367AE76D">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tcBorders>
            <w:vAlign w:val="center"/>
          </w:tcPr>
          <w:p w14:paraId="10705D56">
            <w:pPr>
              <w:spacing w:line="240" w:lineRule="auto"/>
              <w:ind w:firstLine="420"/>
              <w:jc w:val="center"/>
              <w:rPr>
                <w:rFonts w:ascii="仿宋_GB2312" w:hAnsi="宋体" w:eastAsia="仿宋_GB2312" w:cs="宋体"/>
                <w:kern w:val="0"/>
              </w:rPr>
            </w:pPr>
          </w:p>
        </w:tc>
        <w:tc>
          <w:tcPr>
            <w:tcW w:w="1218" w:type="dxa"/>
            <w:vMerge w:val="restart"/>
            <w:tcBorders>
              <w:top w:val="single" w:color="auto" w:sz="4" w:space="0"/>
              <w:bottom w:val="single" w:color="auto" w:sz="4" w:space="0"/>
            </w:tcBorders>
            <w:shd w:val="clear" w:color="auto" w:fill="auto"/>
            <w:vAlign w:val="center"/>
          </w:tcPr>
          <w:p w14:paraId="19CE02A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时效指标</w:t>
            </w:r>
          </w:p>
        </w:tc>
        <w:tc>
          <w:tcPr>
            <w:tcW w:w="1020" w:type="dxa"/>
            <w:vAlign w:val="center"/>
          </w:tcPr>
          <w:p w14:paraId="467138F4">
            <w:pPr>
              <w:spacing w:line="240" w:lineRule="auto"/>
              <w:jc w:val="both"/>
              <w:rPr>
                <w:rFonts w:ascii="仿宋_GB2312" w:hAnsi="宋体" w:eastAsia="仿宋_GB2312" w:cs="宋体"/>
                <w:kern w:val="0"/>
              </w:rPr>
            </w:pPr>
            <w:r>
              <w:rPr>
                <w:rFonts w:hint="eastAsia" w:ascii="仿宋_GB2312" w:hAnsi="宋体" w:eastAsia="仿宋_GB2312" w:cs="宋体"/>
                <w:kern w:val="0"/>
              </w:rPr>
              <w:t>每季度完成一次以上白蚁防治</w:t>
            </w:r>
          </w:p>
        </w:tc>
        <w:tc>
          <w:tcPr>
            <w:tcW w:w="1099" w:type="dxa"/>
            <w:shd w:val="clear"/>
            <w:vAlign w:val="center"/>
          </w:tcPr>
          <w:p w14:paraId="2B05F459">
            <w:pPr>
              <w:spacing w:line="240" w:lineRule="auto"/>
              <w:ind w:firstLine="210" w:firstLineChars="10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有所提升</w:t>
            </w:r>
          </w:p>
        </w:tc>
        <w:tc>
          <w:tcPr>
            <w:tcW w:w="1099" w:type="dxa"/>
            <w:shd w:val="clear"/>
            <w:vAlign w:val="center"/>
          </w:tcPr>
          <w:p w14:paraId="6CA7DC83">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vAlign w:val="center"/>
          </w:tcPr>
          <w:p w14:paraId="03DFBD34">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vAlign w:val="center"/>
          </w:tcPr>
          <w:p w14:paraId="20FF6AC0">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9</w:t>
            </w:r>
          </w:p>
        </w:tc>
        <w:tc>
          <w:tcPr>
            <w:tcW w:w="1383" w:type="dxa"/>
            <w:vAlign w:val="center"/>
          </w:tcPr>
          <w:p w14:paraId="242F739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一是加强馆内业务培训；二是提高服务质量，三是提高绩效指标设置的准确性，提高屈原纪念馆工作的满意度</w:t>
            </w:r>
          </w:p>
        </w:tc>
      </w:tr>
      <w:tr w14:paraId="44F49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054" w:type="dxa"/>
            <w:vMerge w:val="continue"/>
            <w:textDirection w:val="tbRlV"/>
            <w:vAlign w:val="center"/>
          </w:tcPr>
          <w:p w14:paraId="0886CD3E">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bottom w:val="single" w:color="auto" w:sz="4" w:space="0"/>
            </w:tcBorders>
            <w:vAlign w:val="center"/>
          </w:tcPr>
          <w:p w14:paraId="4C8C2967">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D797CB4">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top w:val="single" w:color="auto" w:sz="4" w:space="0"/>
              <w:bottom w:val="single" w:color="auto" w:sz="4" w:space="0"/>
            </w:tcBorders>
            <w:vAlign w:val="center"/>
          </w:tcPr>
          <w:p w14:paraId="121F64CC">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15B877F6">
            <w:pPr>
              <w:spacing w:line="240" w:lineRule="auto"/>
              <w:jc w:val="both"/>
              <w:rPr>
                <w:rFonts w:ascii="仿宋_GB2312" w:hAnsi="宋体" w:eastAsia="仿宋_GB2312" w:cs="宋体"/>
                <w:kern w:val="0"/>
              </w:rPr>
            </w:pPr>
            <w:r>
              <w:rPr>
                <w:rFonts w:hint="eastAsia" w:ascii="仿宋_GB2312" w:hAnsi="宋体" w:eastAsia="仿宋_GB2312" w:cs="宋体"/>
                <w:kern w:val="0"/>
              </w:rPr>
              <w:t>有助于景区白蚁治理</w:t>
            </w:r>
          </w:p>
        </w:tc>
        <w:tc>
          <w:tcPr>
            <w:tcW w:w="1099" w:type="dxa"/>
            <w:shd w:val="clear"/>
            <w:vAlign w:val="center"/>
          </w:tcPr>
          <w:p w14:paraId="7D54455F">
            <w:pPr>
              <w:spacing w:line="240" w:lineRule="auto"/>
              <w:ind w:firstLine="210" w:firstLineChars="10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有所提升</w:t>
            </w:r>
          </w:p>
        </w:tc>
        <w:tc>
          <w:tcPr>
            <w:tcW w:w="1099" w:type="dxa"/>
            <w:shd w:val="clear"/>
            <w:vAlign w:val="center"/>
          </w:tcPr>
          <w:p w14:paraId="1BCD494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vAlign w:val="center"/>
          </w:tcPr>
          <w:p w14:paraId="43690070">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vAlign w:val="center"/>
          </w:tcPr>
          <w:p w14:paraId="07C78AB5">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9</w:t>
            </w:r>
          </w:p>
        </w:tc>
        <w:tc>
          <w:tcPr>
            <w:tcW w:w="1383" w:type="dxa"/>
            <w:vAlign w:val="center"/>
          </w:tcPr>
          <w:p w14:paraId="681D57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一是加强馆内业务培训；二是提高服务质量，三是提高绩效指标设置的准确性，提高屈原纪念馆工作的满意度</w:t>
            </w:r>
          </w:p>
        </w:tc>
      </w:tr>
      <w:tr w14:paraId="11C16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054" w:type="dxa"/>
            <w:vMerge w:val="continue"/>
            <w:textDirection w:val="tbRlV"/>
            <w:vAlign w:val="center"/>
          </w:tcPr>
          <w:p w14:paraId="1E632F24">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single" w:color="auto" w:sz="4" w:space="0"/>
            </w:tcBorders>
            <w:vAlign w:val="center"/>
          </w:tcPr>
          <w:p w14:paraId="212528ED">
            <w:pPr>
              <w:spacing w:line="240" w:lineRule="auto"/>
              <w:ind w:firstLine="420"/>
              <w:jc w:val="center"/>
              <w:rPr>
                <w:rFonts w:ascii="仿宋_GB2312" w:hAnsi="宋体" w:eastAsia="仿宋_GB2312" w:cs="宋体"/>
                <w:kern w:val="0"/>
              </w:rPr>
            </w:pPr>
          </w:p>
        </w:tc>
        <w:tc>
          <w:tcPr>
            <w:tcW w:w="1218" w:type="dxa"/>
            <w:vMerge w:val="restart"/>
            <w:tcBorders>
              <w:top w:val="single" w:color="auto" w:sz="4" w:space="0"/>
              <w:bottom w:val="single" w:color="auto" w:sz="4" w:space="0"/>
            </w:tcBorders>
            <w:vAlign w:val="center"/>
          </w:tcPr>
          <w:p w14:paraId="63F3D1B4">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A979496">
            <w:pPr>
              <w:spacing w:line="240" w:lineRule="auto"/>
              <w:jc w:val="both"/>
              <w:rPr>
                <w:rFonts w:ascii="仿宋_GB2312" w:hAnsi="宋体" w:eastAsia="仿宋_GB2312" w:cs="宋体"/>
                <w:kern w:val="0"/>
              </w:rPr>
            </w:pPr>
            <w:r>
              <w:rPr>
                <w:rFonts w:hint="eastAsia" w:ascii="仿宋_GB2312" w:hAnsi="宋体" w:eastAsia="仿宋_GB2312" w:cs="宋体"/>
                <w:kern w:val="0"/>
              </w:rPr>
              <w:t>1.开展纪念馆走进校园、走进社区、走进高墙活动2.纪念馆全年开展至少一次到二次白蚁防治工程</w:t>
            </w:r>
          </w:p>
        </w:tc>
        <w:tc>
          <w:tcPr>
            <w:tcW w:w="1099" w:type="dxa"/>
            <w:vAlign w:val="center"/>
          </w:tcPr>
          <w:p w14:paraId="3FD54203">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14:paraId="79A3263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B954D4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3574F3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313F2FC">
            <w:pPr>
              <w:spacing w:line="240" w:lineRule="auto"/>
              <w:ind w:firstLine="420"/>
              <w:jc w:val="center"/>
              <w:rPr>
                <w:rFonts w:ascii="仿宋_GB2312" w:hAnsi="宋体" w:eastAsia="仿宋_GB2312" w:cs="宋体"/>
                <w:kern w:val="0"/>
              </w:rPr>
            </w:pPr>
          </w:p>
        </w:tc>
      </w:tr>
      <w:tr w14:paraId="76CFB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054" w:type="dxa"/>
            <w:vMerge w:val="continue"/>
            <w:textDirection w:val="tbRlV"/>
            <w:vAlign w:val="center"/>
          </w:tcPr>
          <w:p w14:paraId="77FBE19B">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single" w:color="auto" w:sz="4" w:space="0"/>
            </w:tcBorders>
            <w:vAlign w:val="center"/>
          </w:tcPr>
          <w:p w14:paraId="78BF2CBE">
            <w:pPr>
              <w:spacing w:line="240" w:lineRule="auto"/>
              <w:ind w:firstLine="420"/>
              <w:jc w:val="center"/>
              <w:rPr>
                <w:rFonts w:ascii="仿宋_GB2312" w:hAnsi="宋体" w:eastAsia="仿宋_GB2312" w:cs="宋体"/>
                <w:kern w:val="0"/>
              </w:rPr>
            </w:pPr>
          </w:p>
        </w:tc>
        <w:tc>
          <w:tcPr>
            <w:tcW w:w="1218" w:type="dxa"/>
            <w:vMerge w:val="restart"/>
            <w:tcBorders>
              <w:top w:val="single" w:color="auto" w:sz="4" w:space="0"/>
              <w:bottom w:val="single" w:color="auto" w:sz="4" w:space="0"/>
            </w:tcBorders>
            <w:vAlign w:val="center"/>
          </w:tcPr>
          <w:p w14:paraId="418959BC">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8D98E8C">
            <w:pPr>
              <w:spacing w:line="240" w:lineRule="auto"/>
              <w:jc w:val="both"/>
              <w:rPr>
                <w:rFonts w:ascii="仿宋_GB2312" w:hAnsi="宋体" w:eastAsia="仿宋_GB2312" w:cs="宋体"/>
                <w:kern w:val="0"/>
              </w:rPr>
            </w:pPr>
            <w:r>
              <w:rPr>
                <w:rFonts w:hint="eastAsia" w:ascii="仿宋_GB2312" w:hAnsi="宋体" w:eastAsia="仿宋_GB2312" w:cs="宋体"/>
                <w:kern w:val="0"/>
              </w:rPr>
              <w:t>生态环境改善情况</w:t>
            </w:r>
          </w:p>
        </w:tc>
        <w:tc>
          <w:tcPr>
            <w:tcW w:w="1099" w:type="dxa"/>
            <w:vAlign w:val="center"/>
          </w:tcPr>
          <w:p w14:paraId="66540409">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14:paraId="4A4A8D62">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14:paraId="41C62A8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4F30AB1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92B257F">
            <w:pPr>
              <w:spacing w:line="240" w:lineRule="auto"/>
              <w:ind w:firstLine="420"/>
              <w:jc w:val="center"/>
              <w:rPr>
                <w:rFonts w:ascii="仿宋_GB2312" w:hAnsi="宋体" w:eastAsia="仿宋_GB2312" w:cs="宋体"/>
                <w:kern w:val="0"/>
              </w:rPr>
            </w:pPr>
          </w:p>
        </w:tc>
      </w:tr>
      <w:tr w14:paraId="1BD85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054" w:type="dxa"/>
            <w:vMerge w:val="continue"/>
            <w:textDirection w:val="tbRlV"/>
            <w:vAlign w:val="center"/>
          </w:tcPr>
          <w:p w14:paraId="41C75A98">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single" w:color="auto" w:sz="4" w:space="0"/>
            </w:tcBorders>
            <w:vAlign w:val="center"/>
          </w:tcPr>
          <w:p w14:paraId="526BE251">
            <w:pPr>
              <w:spacing w:line="240" w:lineRule="auto"/>
              <w:ind w:firstLine="420"/>
              <w:jc w:val="center"/>
              <w:rPr>
                <w:rFonts w:ascii="仿宋_GB2312" w:hAnsi="宋体" w:eastAsia="仿宋_GB2312" w:cs="宋体"/>
                <w:kern w:val="0"/>
              </w:rPr>
            </w:pPr>
          </w:p>
        </w:tc>
        <w:tc>
          <w:tcPr>
            <w:tcW w:w="1218" w:type="dxa"/>
            <w:vMerge w:val="restart"/>
            <w:tcBorders>
              <w:top w:val="single" w:color="auto" w:sz="4" w:space="0"/>
              <w:bottom w:val="single" w:color="auto" w:sz="4" w:space="0"/>
            </w:tcBorders>
            <w:vAlign w:val="center"/>
          </w:tcPr>
          <w:p w14:paraId="4DD5DED0">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2F180698">
            <w:pPr>
              <w:spacing w:line="240" w:lineRule="auto"/>
              <w:jc w:val="both"/>
              <w:rPr>
                <w:rFonts w:ascii="仿宋_GB2312" w:hAnsi="宋体" w:eastAsia="仿宋_GB2312" w:cs="宋体"/>
                <w:kern w:val="0"/>
              </w:rPr>
            </w:pPr>
            <w:r>
              <w:rPr>
                <w:rFonts w:hint="eastAsia" w:ascii="仿宋_GB2312" w:hAnsi="宋体" w:eastAsia="仿宋_GB2312" w:cs="宋体"/>
                <w:kern w:val="0"/>
              </w:rPr>
              <w:t>提高人民群众文化活动，提升基本公共文化服务水平，提高文化遗产全民保护意识</w:t>
            </w:r>
          </w:p>
        </w:tc>
        <w:tc>
          <w:tcPr>
            <w:tcW w:w="1099" w:type="dxa"/>
            <w:vAlign w:val="center"/>
          </w:tcPr>
          <w:p w14:paraId="378F280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14:paraId="129515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14:paraId="05E2F737">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70F5A8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0527B6E6">
            <w:pPr>
              <w:spacing w:line="240" w:lineRule="auto"/>
              <w:ind w:firstLine="420"/>
              <w:jc w:val="center"/>
              <w:rPr>
                <w:rFonts w:ascii="仿宋_GB2312" w:hAnsi="宋体" w:eastAsia="仿宋_GB2312" w:cs="宋体"/>
                <w:kern w:val="0"/>
              </w:rPr>
            </w:pPr>
          </w:p>
        </w:tc>
      </w:tr>
      <w:tr w14:paraId="7B6F7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054" w:type="dxa"/>
            <w:vMerge w:val="continue"/>
            <w:textDirection w:val="tbRlV"/>
            <w:vAlign w:val="center"/>
          </w:tcPr>
          <w:p w14:paraId="37BAC6FB">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bottom w:val="single" w:color="auto" w:sz="4" w:space="0"/>
            </w:tcBorders>
            <w:vAlign w:val="center"/>
          </w:tcPr>
          <w:p w14:paraId="7DD80B75">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single" w:color="auto" w:sz="4" w:space="0"/>
            </w:tcBorders>
            <w:vAlign w:val="center"/>
          </w:tcPr>
          <w:p w14:paraId="392B1D19">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7601D8F3">
            <w:pPr>
              <w:spacing w:line="240" w:lineRule="auto"/>
              <w:jc w:val="both"/>
              <w:rPr>
                <w:rFonts w:ascii="仿宋_GB2312" w:hAnsi="宋体" w:eastAsia="仿宋_GB2312" w:cs="宋体"/>
                <w:kern w:val="0"/>
              </w:rPr>
            </w:pPr>
            <w:r>
              <w:rPr>
                <w:rFonts w:hint="eastAsia" w:ascii="仿宋_GB2312" w:hAnsi="宋体" w:eastAsia="仿宋_GB2312" w:cs="宋体"/>
                <w:kern w:val="0"/>
              </w:rPr>
              <w:t>游客满意度达到100%，景区环境达到100%</w:t>
            </w:r>
          </w:p>
        </w:tc>
        <w:tc>
          <w:tcPr>
            <w:tcW w:w="1099" w:type="dxa"/>
            <w:vAlign w:val="center"/>
          </w:tcPr>
          <w:p w14:paraId="688E739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98%≥</w:t>
            </w:r>
          </w:p>
        </w:tc>
        <w:tc>
          <w:tcPr>
            <w:tcW w:w="1099" w:type="dxa"/>
            <w:vAlign w:val="center"/>
          </w:tcPr>
          <w:p w14:paraId="6336CFF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96%</w:t>
            </w:r>
          </w:p>
        </w:tc>
        <w:tc>
          <w:tcPr>
            <w:tcW w:w="809" w:type="dxa"/>
            <w:vAlign w:val="center"/>
          </w:tcPr>
          <w:p w14:paraId="4E8A19C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EE5F1C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A74B622">
            <w:pPr>
              <w:spacing w:line="240" w:lineRule="auto"/>
              <w:ind w:firstLine="420"/>
              <w:jc w:val="center"/>
              <w:rPr>
                <w:rFonts w:ascii="仿宋_GB2312" w:hAnsi="宋体" w:eastAsia="仿宋_GB2312" w:cs="宋体"/>
                <w:kern w:val="0"/>
              </w:rPr>
            </w:pPr>
          </w:p>
        </w:tc>
      </w:tr>
      <w:tr w14:paraId="12C03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EEADA0A">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14:paraId="0417BF08">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9691CD8">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5DA2C99A">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0F18ADA3">
            <w:pPr>
              <w:spacing w:line="240" w:lineRule="auto"/>
              <w:jc w:val="both"/>
              <w:rPr>
                <w:rFonts w:ascii="仿宋_GB2312" w:hAnsi="宋体" w:eastAsia="仿宋_GB2312" w:cs="宋体"/>
                <w:kern w:val="0"/>
              </w:rPr>
            </w:pPr>
            <w:r>
              <w:rPr>
                <w:rFonts w:hint="eastAsia" w:ascii="仿宋_GB2312" w:hAnsi="宋体" w:eastAsia="仿宋_GB2312" w:cs="宋体"/>
                <w:kern w:val="0"/>
              </w:rPr>
              <w:t>省级财政批复</w:t>
            </w:r>
          </w:p>
        </w:tc>
        <w:tc>
          <w:tcPr>
            <w:tcW w:w="1099" w:type="dxa"/>
            <w:vAlign w:val="center"/>
          </w:tcPr>
          <w:p w14:paraId="216C21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67.00</w:t>
            </w:r>
          </w:p>
        </w:tc>
        <w:tc>
          <w:tcPr>
            <w:tcW w:w="1099" w:type="dxa"/>
            <w:vAlign w:val="center"/>
          </w:tcPr>
          <w:p w14:paraId="4611F62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67.25</w:t>
            </w:r>
          </w:p>
        </w:tc>
        <w:tc>
          <w:tcPr>
            <w:tcW w:w="809" w:type="dxa"/>
            <w:vAlign w:val="center"/>
          </w:tcPr>
          <w:p w14:paraId="01E069F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BE31C9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4BEBB9F">
            <w:pPr>
              <w:spacing w:line="240" w:lineRule="auto"/>
              <w:ind w:firstLine="420"/>
              <w:jc w:val="center"/>
              <w:rPr>
                <w:rFonts w:ascii="仿宋_GB2312" w:hAnsi="宋体" w:eastAsia="仿宋_GB2312" w:cs="宋体"/>
                <w:kern w:val="0"/>
              </w:rPr>
            </w:pPr>
          </w:p>
        </w:tc>
      </w:tr>
      <w:tr w14:paraId="55F29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B01C05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150210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CA086B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2DF74BEE">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14:paraId="289010F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14:paraId="34F77C4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14:paraId="097F38F7">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A69EC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45D6D37">
            <w:pPr>
              <w:spacing w:line="240" w:lineRule="auto"/>
              <w:ind w:firstLine="420"/>
              <w:jc w:val="center"/>
              <w:rPr>
                <w:rFonts w:ascii="仿宋_GB2312" w:hAnsi="宋体" w:eastAsia="仿宋_GB2312" w:cs="宋体"/>
                <w:kern w:val="0"/>
              </w:rPr>
            </w:pPr>
          </w:p>
        </w:tc>
      </w:tr>
      <w:tr w14:paraId="76B0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AC7C92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F9519A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238997D">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27A445F">
            <w:pPr>
              <w:spacing w:line="240" w:lineRule="auto"/>
              <w:jc w:val="both"/>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14:paraId="5BD15DC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14:paraId="64B2044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14:paraId="6AD46AE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FD0451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BAC540">
            <w:pPr>
              <w:spacing w:line="240" w:lineRule="auto"/>
              <w:ind w:firstLine="420"/>
              <w:jc w:val="center"/>
              <w:rPr>
                <w:rFonts w:ascii="仿宋_GB2312" w:hAnsi="宋体" w:eastAsia="仿宋_GB2312" w:cs="宋体"/>
                <w:kern w:val="0"/>
              </w:rPr>
            </w:pPr>
          </w:p>
        </w:tc>
      </w:tr>
      <w:tr w14:paraId="76790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FBE0E2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02C1F8FD">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9EE420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3F5291C">
            <w:pPr>
              <w:spacing w:line="240" w:lineRule="auto"/>
              <w:ind w:firstLine="420"/>
              <w:jc w:val="center"/>
              <w:rPr>
                <w:rFonts w:ascii="仿宋_GB2312" w:hAnsi="宋体" w:eastAsia="仿宋_GB2312" w:cs="宋体"/>
                <w:kern w:val="0"/>
              </w:rPr>
            </w:pPr>
          </w:p>
        </w:tc>
      </w:tr>
    </w:tbl>
    <w:p w14:paraId="07F641D7">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53EA09A">
      <w:pPr>
        <w:spacing w:line="240" w:lineRule="auto"/>
        <w:ind w:firstLine="420"/>
        <w:jc w:val="left"/>
        <w:rPr>
          <w:rFonts w:ascii="宋体" w:hAnsi="宋体" w:eastAsia="宋体" w:cs="宋体"/>
          <w:kern w:val="0"/>
          <w:lang w:eastAsia="zh-CN"/>
        </w:rPr>
      </w:pPr>
    </w:p>
    <w:p w14:paraId="1CBEB834">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填表人：何晓懿</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2024.5.21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18573137282</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单位负责人签字:罗浩波</w:t>
      </w:r>
    </w:p>
    <w:p w14:paraId="6CAF6B99">
      <w:pPr>
        <w:spacing w:before="55" w:line="219" w:lineRule="auto"/>
        <w:ind w:left="128"/>
        <w:rPr>
          <w:rFonts w:ascii="宋体" w:hAnsi="宋体" w:eastAsia="宋体" w:cs="宋体"/>
          <w:sz w:val="28"/>
          <w:szCs w:val="28"/>
          <w:lang w:eastAsia="zh-CN"/>
        </w:rPr>
      </w:pPr>
      <w:r>
        <w:rPr>
          <w:rFonts w:ascii="宋体" w:hAnsi="宋体" w:eastAsia="宋体" w:cs="宋体"/>
          <w:b/>
          <w:bCs/>
          <w:spacing w:val="-12"/>
          <w:sz w:val="28"/>
          <w:szCs w:val="28"/>
          <w:lang w:eastAsia="zh-CN"/>
        </w:rPr>
        <w:t>附件4</w:t>
      </w:r>
    </w:p>
    <w:p w14:paraId="1402FFD3">
      <w:pPr>
        <w:spacing w:line="265" w:lineRule="auto"/>
        <w:rPr>
          <w:lang w:eastAsia="zh-CN"/>
        </w:rPr>
      </w:pPr>
    </w:p>
    <w:p w14:paraId="2650138A">
      <w:pPr>
        <w:spacing w:line="265" w:lineRule="auto"/>
        <w:rPr>
          <w:lang w:eastAsia="zh-CN"/>
        </w:rPr>
      </w:pPr>
    </w:p>
    <w:p w14:paraId="55F1E486">
      <w:pPr>
        <w:spacing w:line="265" w:lineRule="auto"/>
        <w:rPr>
          <w:lang w:eastAsia="zh-CN"/>
        </w:rPr>
      </w:pPr>
    </w:p>
    <w:p w14:paraId="3A672B51">
      <w:pPr>
        <w:spacing w:before="143" w:line="678" w:lineRule="exact"/>
        <w:ind w:left="1014"/>
        <w:rPr>
          <w:rFonts w:ascii="黑体" w:hAnsi="黑体" w:eastAsia="黑体" w:cs="黑体"/>
          <w:sz w:val="36"/>
          <w:szCs w:val="36"/>
          <w:lang w:eastAsia="zh-CN"/>
        </w:rPr>
      </w:pPr>
      <w:r>
        <w:rPr>
          <w:rFonts w:ascii="黑体" w:hAnsi="黑体" w:eastAsia="黑体" w:cs="黑体"/>
          <w:spacing w:val="-1"/>
          <w:position w:val="16"/>
          <w:sz w:val="36"/>
          <w:szCs w:val="36"/>
          <w:lang w:eastAsia="zh-CN"/>
        </w:rPr>
        <w:t>2023年度</w:t>
      </w:r>
      <w:r>
        <w:rPr>
          <w:rFonts w:hint="eastAsia" w:ascii="黑体" w:hAnsi="黑体" w:eastAsia="黑体" w:cs="黑体"/>
          <w:spacing w:val="-1"/>
          <w:position w:val="16"/>
          <w:sz w:val="36"/>
          <w:szCs w:val="36"/>
          <w:lang w:eastAsia="zh-CN"/>
        </w:rPr>
        <w:t>汩罗市屈原纪念馆</w:t>
      </w:r>
      <w:r>
        <w:rPr>
          <w:rFonts w:ascii="黑体" w:hAnsi="黑体" w:eastAsia="黑体" w:cs="黑体"/>
          <w:spacing w:val="-1"/>
          <w:position w:val="16"/>
          <w:sz w:val="36"/>
          <w:szCs w:val="36"/>
          <w:lang w:eastAsia="zh-CN"/>
        </w:rPr>
        <w:t>部门整体支出</w:t>
      </w:r>
      <w:r>
        <w:rPr>
          <w:rFonts w:hint="eastAsia" w:ascii="黑体" w:hAnsi="黑体" w:eastAsia="黑体" w:cs="黑体"/>
          <w:spacing w:val="-1"/>
          <w:position w:val="16"/>
          <w:sz w:val="36"/>
          <w:szCs w:val="36"/>
          <w:lang w:eastAsia="zh-CN"/>
        </w:rPr>
        <w:t xml:space="preserve">               </w:t>
      </w:r>
    </w:p>
    <w:p w14:paraId="52B827DE">
      <w:pPr>
        <w:spacing w:before="2" w:line="220" w:lineRule="auto"/>
        <w:ind w:left="2975"/>
        <w:rPr>
          <w:rFonts w:ascii="黑体" w:hAnsi="黑体" w:eastAsia="黑体" w:cs="黑体"/>
          <w:sz w:val="44"/>
          <w:szCs w:val="44"/>
          <w:lang w:eastAsia="zh-CN"/>
        </w:rPr>
      </w:pPr>
      <w:r>
        <w:rPr>
          <w:rFonts w:ascii="黑体" w:hAnsi="黑体" w:eastAsia="黑体" w:cs="黑体"/>
          <w:sz w:val="44"/>
          <w:szCs w:val="44"/>
          <w:lang w:eastAsia="zh-CN"/>
        </w:rPr>
        <w:t>绩效自评报告</w:t>
      </w:r>
    </w:p>
    <w:p w14:paraId="12D74DA2">
      <w:pPr>
        <w:spacing w:line="241" w:lineRule="auto"/>
        <w:rPr>
          <w:lang w:eastAsia="zh-CN"/>
        </w:rPr>
      </w:pPr>
    </w:p>
    <w:p w14:paraId="6A0BC3F2">
      <w:pPr>
        <w:spacing w:line="241" w:lineRule="auto"/>
        <w:rPr>
          <w:lang w:eastAsia="zh-CN"/>
        </w:rPr>
      </w:pPr>
    </w:p>
    <w:p w14:paraId="765B05E5">
      <w:pPr>
        <w:spacing w:line="241" w:lineRule="auto"/>
        <w:rPr>
          <w:lang w:eastAsia="zh-CN"/>
        </w:rPr>
      </w:pPr>
    </w:p>
    <w:p w14:paraId="3E66206E">
      <w:pPr>
        <w:spacing w:line="241" w:lineRule="auto"/>
        <w:rPr>
          <w:lang w:eastAsia="zh-CN"/>
        </w:rPr>
      </w:pPr>
    </w:p>
    <w:p w14:paraId="386EAC92">
      <w:pPr>
        <w:spacing w:line="241" w:lineRule="auto"/>
        <w:rPr>
          <w:lang w:eastAsia="zh-CN"/>
        </w:rPr>
      </w:pPr>
    </w:p>
    <w:p w14:paraId="7E6E0CDC">
      <w:pPr>
        <w:spacing w:line="241" w:lineRule="auto"/>
        <w:rPr>
          <w:lang w:eastAsia="zh-CN"/>
        </w:rPr>
      </w:pPr>
    </w:p>
    <w:p w14:paraId="65517E99">
      <w:pPr>
        <w:spacing w:line="241" w:lineRule="auto"/>
        <w:rPr>
          <w:lang w:eastAsia="zh-CN"/>
        </w:rPr>
      </w:pPr>
    </w:p>
    <w:p w14:paraId="491FE1CB">
      <w:pPr>
        <w:spacing w:line="241" w:lineRule="auto"/>
        <w:rPr>
          <w:lang w:eastAsia="zh-CN"/>
        </w:rPr>
      </w:pPr>
    </w:p>
    <w:p w14:paraId="3E7A2124">
      <w:pPr>
        <w:spacing w:line="241" w:lineRule="auto"/>
        <w:rPr>
          <w:lang w:eastAsia="zh-CN"/>
        </w:rPr>
      </w:pPr>
    </w:p>
    <w:p w14:paraId="223CD703">
      <w:pPr>
        <w:spacing w:line="241" w:lineRule="auto"/>
        <w:rPr>
          <w:lang w:eastAsia="zh-CN"/>
        </w:rPr>
      </w:pPr>
    </w:p>
    <w:p w14:paraId="7A702B9B">
      <w:pPr>
        <w:spacing w:line="241" w:lineRule="auto"/>
        <w:rPr>
          <w:lang w:eastAsia="zh-CN"/>
        </w:rPr>
      </w:pPr>
    </w:p>
    <w:p w14:paraId="79489BC4">
      <w:pPr>
        <w:spacing w:line="241" w:lineRule="auto"/>
        <w:rPr>
          <w:lang w:eastAsia="zh-CN"/>
        </w:rPr>
      </w:pPr>
    </w:p>
    <w:p w14:paraId="6CDC5565">
      <w:pPr>
        <w:spacing w:line="241" w:lineRule="auto"/>
        <w:rPr>
          <w:lang w:eastAsia="zh-CN"/>
        </w:rPr>
      </w:pPr>
    </w:p>
    <w:p w14:paraId="181C223D">
      <w:pPr>
        <w:spacing w:line="241" w:lineRule="auto"/>
        <w:rPr>
          <w:lang w:eastAsia="zh-CN"/>
        </w:rPr>
      </w:pPr>
    </w:p>
    <w:p w14:paraId="514E4D2F">
      <w:pPr>
        <w:spacing w:line="241" w:lineRule="auto"/>
        <w:rPr>
          <w:lang w:eastAsia="zh-CN"/>
        </w:rPr>
      </w:pPr>
    </w:p>
    <w:p w14:paraId="63D35EA5">
      <w:pPr>
        <w:spacing w:line="241" w:lineRule="auto"/>
        <w:rPr>
          <w:lang w:eastAsia="zh-CN"/>
        </w:rPr>
      </w:pPr>
    </w:p>
    <w:p w14:paraId="60FF2282">
      <w:pPr>
        <w:spacing w:line="242" w:lineRule="auto"/>
        <w:rPr>
          <w:lang w:eastAsia="zh-CN"/>
        </w:rPr>
      </w:pPr>
    </w:p>
    <w:p w14:paraId="24360F8E">
      <w:pPr>
        <w:spacing w:line="242" w:lineRule="auto"/>
        <w:rPr>
          <w:lang w:eastAsia="zh-CN"/>
        </w:rPr>
      </w:pPr>
    </w:p>
    <w:p w14:paraId="418627E1">
      <w:pPr>
        <w:spacing w:line="242" w:lineRule="auto"/>
        <w:rPr>
          <w:lang w:eastAsia="zh-CN"/>
        </w:rPr>
      </w:pPr>
    </w:p>
    <w:p w14:paraId="50B8C3A5">
      <w:pPr>
        <w:spacing w:line="242" w:lineRule="auto"/>
        <w:rPr>
          <w:lang w:eastAsia="zh-CN"/>
        </w:rPr>
      </w:pPr>
    </w:p>
    <w:p w14:paraId="55409D69">
      <w:pPr>
        <w:spacing w:line="242" w:lineRule="auto"/>
        <w:rPr>
          <w:lang w:eastAsia="zh-CN"/>
        </w:rPr>
      </w:pPr>
    </w:p>
    <w:p w14:paraId="08288C27">
      <w:pPr>
        <w:spacing w:line="242" w:lineRule="auto"/>
        <w:rPr>
          <w:lang w:eastAsia="zh-CN"/>
        </w:rPr>
      </w:pPr>
    </w:p>
    <w:p w14:paraId="78819B9E">
      <w:pPr>
        <w:spacing w:line="242" w:lineRule="auto"/>
        <w:rPr>
          <w:lang w:eastAsia="zh-CN"/>
        </w:rPr>
      </w:pPr>
    </w:p>
    <w:p w14:paraId="1BA7AD1F">
      <w:pPr>
        <w:spacing w:line="242" w:lineRule="auto"/>
        <w:rPr>
          <w:lang w:eastAsia="zh-CN"/>
        </w:rPr>
      </w:pPr>
    </w:p>
    <w:p w14:paraId="2248FB6F">
      <w:pPr>
        <w:spacing w:line="242" w:lineRule="auto"/>
        <w:rPr>
          <w:lang w:eastAsia="zh-CN"/>
        </w:rPr>
      </w:pPr>
    </w:p>
    <w:p w14:paraId="2A7E6100">
      <w:pPr>
        <w:spacing w:before="91" w:line="224" w:lineRule="auto"/>
        <w:ind w:left="2599"/>
        <w:rPr>
          <w:rFonts w:ascii="楷体" w:hAnsi="楷体" w:eastAsia="楷体" w:cs="楷体"/>
          <w:sz w:val="28"/>
          <w:szCs w:val="28"/>
          <w:lang w:eastAsia="zh-CN"/>
        </w:rPr>
      </w:pPr>
      <w:r>
        <w:rPr>
          <w:rFonts w:ascii="楷体" w:hAnsi="楷体" w:eastAsia="楷体" w:cs="楷体"/>
          <w:b/>
          <w:bCs/>
          <w:spacing w:val="-20"/>
          <w:sz w:val="28"/>
          <w:szCs w:val="28"/>
          <w:lang w:eastAsia="zh-CN"/>
        </w:rPr>
        <w:t>部门(单位)名称：</w:t>
      </w:r>
      <w:r>
        <w:rPr>
          <w:rFonts w:ascii="楷体" w:hAnsi="楷体" w:eastAsia="楷体" w:cs="楷体"/>
          <w:b/>
          <w:bCs/>
          <w:spacing w:val="-20"/>
          <w:sz w:val="28"/>
          <w:szCs w:val="28"/>
          <w:u w:val="single"/>
          <w:lang w:eastAsia="zh-CN"/>
        </w:rPr>
        <w:t>(盖章)</w:t>
      </w:r>
    </w:p>
    <w:p w14:paraId="5029548D">
      <w:pPr>
        <w:spacing w:before="285" w:line="225" w:lineRule="auto"/>
        <w:ind w:left="2975"/>
        <w:rPr>
          <w:rFonts w:ascii="楷体" w:hAnsi="楷体" w:eastAsia="楷体" w:cs="楷体"/>
          <w:sz w:val="28"/>
          <w:szCs w:val="28"/>
          <w:lang w:eastAsia="zh-CN"/>
        </w:rPr>
      </w:pPr>
      <w:r>
        <w:rPr>
          <w:rFonts w:hint="eastAsia" w:ascii="楷体" w:hAnsi="楷体" w:eastAsia="楷体" w:cs="楷体"/>
          <w:spacing w:val="-8"/>
          <w:sz w:val="28"/>
          <w:szCs w:val="28"/>
          <w:lang w:eastAsia="zh-CN"/>
        </w:rPr>
        <w:t xml:space="preserve">2024 </w:t>
      </w:r>
      <w:r>
        <w:rPr>
          <w:rFonts w:ascii="楷体" w:hAnsi="楷体" w:eastAsia="楷体" w:cs="楷体"/>
          <w:spacing w:val="-8"/>
          <w:sz w:val="28"/>
          <w:szCs w:val="28"/>
          <w:lang w:eastAsia="zh-CN"/>
        </w:rPr>
        <w:t>年</w:t>
      </w:r>
      <w:r>
        <w:rPr>
          <w:rFonts w:hint="eastAsia" w:ascii="楷体" w:hAnsi="楷体" w:eastAsia="楷体" w:cs="楷体"/>
          <w:spacing w:val="-8"/>
          <w:sz w:val="28"/>
          <w:szCs w:val="28"/>
          <w:lang w:eastAsia="zh-CN"/>
        </w:rPr>
        <w:t xml:space="preserve"> 5</w:t>
      </w:r>
      <w:r>
        <w:rPr>
          <w:rFonts w:ascii="楷体" w:hAnsi="楷体" w:eastAsia="楷体" w:cs="楷体"/>
          <w:spacing w:val="-8"/>
          <w:sz w:val="28"/>
          <w:szCs w:val="28"/>
          <w:lang w:eastAsia="zh-CN"/>
        </w:rPr>
        <w:t xml:space="preserve">月 </w:t>
      </w:r>
      <w:r>
        <w:rPr>
          <w:rFonts w:hint="eastAsia" w:ascii="楷体" w:hAnsi="楷体" w:eastAsia="楷体" w:cs="楷体"/>
          <w:spacing w:val="-8"/>
          <w:sz w:val="28"/>
          <w:szCs w:val="28"/>
          <w:lang w:eastAsia="zh-CN"/>
        </w:rPr>
        <w:t>21</w:t>
      </w:r>
      <w:r>
        <w:rPr>
          <w:rFonts w:ascii="楷体" w:hAnsi="楷体" w:eastAsia="楷体" w:cs="楷体"/>
          <w:spacing w:val="-8"/>
          <w:sz w:val="28"/>
          <w:szCs w:val="28"/>
          <w:lang w:eastAsia="zh-CN"/>
        </w:rPr>
        <w:t xml:space="preserve"> 日</w:t>
      </w:r>
    </w:p>
    <w:p w14:paraId="0CBE56E9">
      <w:pPr>
        <w:spacing w:line="224" w:lineRule="auto"/>
        <w:rPr>
          <w:sz w:val="28"/>
          <w:szCs w:val="28"/>
          <w:lang w:eastAsia="zh-CN"/>
        </w:rPr>
        <w:sectPr>
          <w:pgSz w:w="11900" w:h="16840"/>
          <w:pgMar w:top="1350" w:right="1785" w:bottom="400" w:left="1785" w:header="0" w:footer="0" w:gutter="0"/>
          <w:cols w:space="720" w:num="1"/>
        </w:sectPr>
      </w:pPr>
    </w:p>
    <w:p w14:paraId="6160AF14">
      <w:pPr>
        <w:spacing w:before="81" w:line="668" w:lineRule="exact"/>
        <w:ind w:left="1220"/>
        <w:rPr>
          <w:rFonts w:ascii="黑体" w:hAnsi="黑体" w:eastAsia="黑体" w:cs="黑体"/>
          <w:sz w:val="32"/>
          <w:szCs w:val="32"/>
          <w:lang w:eastAsia="zh-CN"/>
        </w:rPr>
      </w:pPr>
      <w:r>
        <w:rPr>
          <w:rFonts w:ascii="黑体" w:hAnsi="黑体" w:eastAsia="黑体" w:cs="黑体"/>
          <w:spacing w:val="2"/>
          <w:position w:val="19"/>
          <w:sz w:val="32"/>
          <w:szCs w:val="32"/>
          <w:lang w:eastAsia="zh-CN"/>
        </w:rPr>
        <w:t>2023年度</w:t>
      </w:r>
      <w:r>
        <w:rPr>
          <w:rFonts w:hint="eastAsia" w:ascii="黑体" w:hAnsi="黑体" w:eastAsia="黑体" w:cs="黑体"/>
          <w:spacing w:val="2"/>
          <w:position w:val="19"/>
          <w:sz w:val="32"/>
          <w:szCs w:val="32"/>
          <w:lang w:eastAsia="zh-CN"/>
        </w:rPr>
        <w:t>汨罗市屈原纪念馆</w:t>
      </w:r>
      <w:r>
        <w:rPr>
          <w:rFonts w:ascii="黑体" w:hAnsi="黑体" w:eastAsia="黑体" w:cs="黑体"/>
          <w:spacing w:val="2"/>
          <w:position w:val="19"/>
          <w:sz w:val="32"/>
          <w:szCs w:val="32"/>
          <w:lang w:eastAsia="zh-CN"/>
        </w:rPr>
        <w:t>部门整体支出绩效</w:t>
      </w:r>
    </w:p>
    <w:p w14:paraId="45DC790F">
      <w:pPr>
        <w:spacing w:line="221" w:lineRule="auto"/>
        <w:ind w:left="3150"/>
        <w:rPr>
          <w:rFonts w:ascii="黑体" w:hAnsi="黑体" w:eastAsia="黑体" w:cs="黑体"/>
          <w:sz w:val="32"/>
          <w:szCs w:val="32"/>
          <w:lang w:eastAsia="zh-CN"/>
        </w:rPr>
      </w:pPr>
      <w:r>
        <w:rPr>
          <w:rFonts w:hint="eastAsia" w:ascii="黑体" w:hAnsi="黑体" w:eastAsia="黑体" w:cs="黑体"/>
          <w:spacing w:val="-19"/>
          <w:sz w:val="32"/>
          <w:szCs w:val="32"/>
          <w:lang w:eastAsia="zh-CN"/>
        </w:rPr>
        <w:t xml:space="preserve">    </w:t>
      </w:r>
      <w:r>
        <w:rPr>
          <w:rFonts w:ascii="黑体" w:hAnsi="黑体" w:eastAsia="黑体" w:cs="黑体"/>
          <w:spacing w:val="-19"/>
          <w:sz w:val="32"/>
          <w:szCs w:val="32"/>
          <w:lang w:eastAsia="zh-CN"/>
        </w:rPr>
        <w:t>自评报告</w:t>
      </w:r>
    </w:p>
    <w:p w14:paraId="41EE6080">
      <w:pPr>
        <w:spacing w:line="279" w:lineRule="auto"/>
        <w:rPr>
          <w:lang w:eastAsia="zh-CN"/>
        </w:rPr>
      </w:pPr>
    </w:p>
    <w:p w14:paraId="0488201A">
      <w:pPr>
        <w:spacing w:line="279" w:lineRule="auto"/>
        <w:rPr>
          <w:lang w:eastAsia="zh-CN"/>
        </w:rPr>
      </w:pPr>
    </w:p>
    <w:p w14:paraId="60B36652">
      <w:pPr>
        <w:spacing w:line="280" w:lineRule="auto"/>
        <w:rPr>
          <w:lang w:eastAsia="zh-CN"/>
        </w:rPr>
      </w:pPr>
    </w:p>
    <w:p w14:paraId="3755061C">
      <w:pPr>
        <w:spacing w:before="104" w:line="222" w:lineRule="auto"/>
        <w:ind w:left="560"/>
        <w:rPr>
          <w:rFonts w:ascii="黑体" w:hAnsi="黑体" w:eastAsia="黑体" w:cs="黑体"/>
          <w:spacing w:val="-6"/>
          <w:sz w:val="32"/>
          <w:szCs w:val="32"/>
          <w:lang w:eastAsia="zh-CN"/>
        </w:rPr>
      </w:pPr>
      <w:r>
        <w:rPr>
          <w:rFonts w:ascii="黑体" w:hAnsi="黑体" w:eastAsia="黑体" w:cs="黑体"/>
          <w:spacing w:val="-6"/>
          <w:sz w:val="32"/>
          <w:szCs w:val="32"/>
          <w:lang w:eastAsia="zh-CN"/>
        </w:rPr>
        <w:t>一、部门(单位)基本情况</w:t>
      </w:r>
    </w:p>
    <w:p w14:paraId="566DEBF1">
      <w:pPr>
        <w:pStyle w:val="9"/>
        <w:spacing w:line="600" w:lineRule="exact"/>
        <w:ind w:firstLine="600"/>
        <w:jc w:val="left"/>
        <w:rPr>
          <w:rFonts w:ascii="黑体" w:hAnsi="黑体" w:eastAsia="黑体" w:cs="黑体"/>
          <w:sz w:val="30"/>
          <w:szCs w:val="30"/>
        </w:rPr>
      </w:pPr>
      <w:r>
        <w:rPr>
          <w:rFonts w:hint="eastAsia" w:ascii="黑体" w:hAnsi="黑体" w:eastAsia="黑体" w:cs="黑体"/>
          <w:sz w:val="30"/>
          <w:szCs w:val="30"/>
        </w:rPr>
        <w:t>一、部门职责</w:t>
      </w:r>
    </w:p>
    <w:p w14:paraId="5B20FA5A">
      <w:pPr>
        <w:shd w:val="clear" w:color="auto" w:fill="FFFFFF"/>
        <w:spacing w:line="441" w:lineRule="atLeast"/>
        <w:ind w:firstLine="1155" w:firstLineChars="385"/>
        <w:rPr>
          <w:rFonts w:ascii="宋体" w:hAnsi="宋体" w:eastAsia="宋体" w:cs="宋体"/>
          <w:sz w:val="30"/>
          <w:szCs w:val="30"/>
          <w:lang w:eastAsia="zh-CN"/>
        </w:rPr>
      </w:pPr>
      <w:r>
        <w:rPr>
          <w:rFonts w:hint="eastAsia" w:ascii="宋体" w:hAnsi="宋体" w:eastAsia="宋体" w:cs="宋体"/>
          <w:sz w:val="30"/>
          <w:szCs w:val="30"/>
          <w:lang w:eastAsia="zh-CN"/>
        </w:rPr>
        <w:t>（一）、收藏展览屈原文物、弘扬爱国主义精神、屈原文物收集修复保护，屈原文物展览，屈原文物及相关研究、屈原文物宣传、屈原国际文化交流。</w:t>
      </w:r>
    </w:p>
    <w:p w14:paraId="1C5494E2">
      <w:pPr>
        <w:shd w:val="clear" w:color="auto" w:fill="FFFFFF"/>
        <w:spacing w:line="441" w:lineRule="atLeast"/>
        <w:ind w:firstLine="600"/>
        <w:rPr>
          <w:rFonts w:ascii="宋体" w:hAnsi="宋体" w:eastAsia="宋体" w:cs="宋体"/>
          <w:sz w:val="30"/>
          <w:szCs w:val="30"/>
          <w:lang w:eastAsia="zh-CN"/>
        </w:rPr>
      </w:pPr>
      <w:r>
        <w:rPr>
          <w:rFonts w:hint="eastAsia" w:ascii="宋体" w:hAnsi="宋体" w:eastAsia="宋体" w:cs="宋体"/>
          <w:sz w:val="30"/>
          <w:szCs w:val="30"/>
          <w:lang w:eastAsia="zh-CN"/>
        </w:rPr>
        <w:t>（二）、汨罗市文物保护中心属全额编制的事业单位，隶属汨罗市文化旅游广电局二级单位。会计属独立会计核算单位。现有干职工13人，在编10人（其中1人停薪留）、临聘2人。退休人员4人。</w:t>
      </w:r>
    </w:p>
    <w:p w14:paraId="690DC8BD">
      <w:pPr>
        <w:spacing w:line="600" w:lineRule="exact"/>
        <w:ind w:firstLine="300" w:firstLineChars="100"/>
        <w:rPr>
          <w:rFonts w:ascii="黑体" w:hAnsi="黑体" w:eastAsia="黑体" w:cs="黑体"/>
          <w:bCs/>
          <w:sz w:val="30"/>
          <w:szCs w:val="30"/>
          <w:lang w:eastAsia="zh-CN"/>
        </w:rPr>
      </w:pPr>
      <w:r>
        <w:rPr>
          <w:rFonts w:hint="eastAsia" w:ascii="黑体" w:hAnsi="黑体" w:eastAsia="黑体" w:cs="黑体"/>
          <w:bCs/>
          <w:sz w:val="30"/>
          <w:szCs w:val="30"/>
          <w:lang w:eastAsia="zh-CN"/>
        </w:rPr>
        <w:t>二、机构设置及决算单位构成</w:t>
      </w:r>
    </w:p>
    <w:p w14:paraId="501C1EB3">
      <w:pPr>
        <w:shd w:val="clear" w:color="auto" w:fill="FFFFFF"/>
        <w:spacing w:line="441" w:lineRule="atLeast"/>
        <w:ind w:firstLine="600"/>
        <w:rPr>
          <w:rFonts w:ascii="宋体" w:hAnsi="宋体" w:eastAsia="宋体" w:cs="宋体"/>
          <w:sz w:val="30"/>
          <w:szCs w:val="30"/>
          <w:lang w:eastAsia="zh-CN"/>
        </w:rPr>
      </w:pPr>
      <w:r>
        <w:rPr>
          <w:rFonts w:hint="eastAsia" w:ascii="宋体" w:hAnsi="宋体" w:eastAsia="宋体" w:cs="宋体"/>
          <w:sz w:val="30"/>
          <w:szCs w:val="30"/>
          <w:lang w:eastAsia="zh-CN"/>
        </w:rPr>
        <w:t>（一）内设机构设置。屈原纪念馆单位内设机构包括：汨罗市屈原纪念馆设馆长办公室、党支部办公室、副馆长办公室（一）、副馆长办公室（二）、副馆长办公室（三）、办公室、财务室、工会办公室。</w:t>
      </w:r>
    </w:p>
    <w:p w14:paraId="2688FB12">
      <w:pPr>
        <w:spacing w:line="600" w:lineRule="exac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（二）决算单位构成。汨罗市屈原纪念馆单位2022年部门决算汇总公开单位构成包括：汨罗市屈原纪念馆单位本级构成。</w:t>
      </w:r>
    </w:p>
    <w:p w14:paraId="4D569140">
      <w:pPr>
        <w:spacing w:before="104" w:line="222" w:lineRule="auto"/>
        <w:ind w:left="560"/>
        <w:rPr>
          <w:rFonts w:ascii="黑体" w:hAnsi="黑体" w:eastAsia="黑体" w:cs="黑体"/>
          <w:sz w:val="32"/>
          <w:szCs w:val="32"/>
          <w:lang w:eastAsia="zh-CN"/>
        </w:rPr>
      </w:pPr>
    </w:p>
    <w:p w14:paraId="694AE0AF">
      <w:pPr>
        <w:spacing w:before="222" w:line="580" w:lineRule="exact"/>
        <w:ind w:left="560"/>
        <w:rPr>
          <w:rFonts w:ascii="黑体" w:hAnsi="黑体" w:eastAsia="黑体" w:cs="黑体"/>
          <w:spacing w:val="-1"/>
          <w:position w:val="19"/>
          <w:sz w:val="32"/>
          <w:szCs w:val="32"/>
          <w:lang w:eastAsia="zh-CN"/>
        </w:rPr>
      </w:pPr>
      <w:r>
        <w:rPr>
          <w:rFonts w:ascii="黑体" w:hAnsi="黑体" w:eastAsia="黑体" w:cs="黑体"/>
          <w:spacing w:val="-1"/>
          <w:position w:val="19"/>
          <w:sz w:val="32"/>
          <w:szCs w:val="32"/>
          <w:lang w:eastAsia="zh-CN"/>
        </w:rPr>
        <w:t>二、一般公共预算支出情况</w:t>
      </w:r>
    </w:p>
    <w:p w14:paraId="1137E014">
      <w:pPr>
        <w:pStyle w:val="2"/>
        <w:spacing w:before="1" w:line="225" w:lineRule="auto"/>
        <w:ind w:left="750"/>
        <w:rPr>
          <w:spacing w:val="-13"/>
          <w:sz w:val="32"/>
          <w:szCs w:val="32"/>
          <w:lang w:eastAsia="zh-CN"/>
        </w:rPr>
      </w:pPr>
      <w:r>
        <w:rPr>
          <w:rFonts w:ascii="楷体" w:hAnsi="楷体" w:eastAsia="楷体" w:cs="楷体"/>
          <w:spacing w:val="-13"/>
          <w:sz w:val="32"/>
          <w:szCs w:val="32"/>
          <w:lang w:eastAsia="zh-CN"/>
        </w:rPr>
        <w:t>(一)</w:t>
      </w:r>
      <w:r>
        <w:rPr>
          <w:spacing w:val="-13"/>
          <w:sz w:val="32"/>
          <w:szCs w:val="32"/>
          <w:lang w:eastAsia="zh-CN"/>
        </w:rPr>
        <w:t>基本支出情况</w:t>
      </w:r>
    </w:p>
    <w:p w14:paraId="78B7A702">
      <w:pPr>
        <w:shd w:val="clear" w:color="auto" w:fill="FFFFFF"/>
        <w:spacing w:line="441" w:lineRule="atLeast"/>
        <w:ind w:firstLine="600"/>
        <w:rPr>
          <w:rFonts w:ascii="宋体" w:hAnsi="宋体" w:eastAsia="宋体" w:cs="宋体"/>
          <w:sz w:val="30"/>
          <w:szCs w:val="30"/>
          <w:lang w:eastAsia="zh-CN"/>
        </w:rPr>
      </w:pPr>
      <w:r>
        <w:rPr>
          <w:rFonts w:hint="eastAsia" w:ascii="宋体" w:hAnsi="宋体" w:eastAsia="宋体" w:cs="宋体"/>
          <w:sz w:val="30"/>
          <w:szCs w:val="30"/>
          <w:lang w:eastAsia="zh-CN"/>
        </w:rPr>
        <w:t>2023年度收入合计186.26万元，其中：财政拨款收入186.26万元，占100%；上级补助收入0万元，占0%；事业收入0万元，占0%；经营收入0万元，占0%；附属单位上缴收入0万元，占0%；其他收入0万元，占0%。</w:t>
      </w:r>
    </w:p>
    <w:p w14:paraId="17DFE137">
      <w:pPr>
        <w:shd w:val="clear" w:color="auto" w:fill="FFFFFF"/>
        <w:spacing w:line="441" w:lineRule="atLeast"/>
        <w:ind w:firstLine="600"/>
        <w:rPr>
          <w:rFonts w:ascii="Times New Roman" w:hAnsi="Times New Roman" w:eastAsia="宋体" w:cs="Times New Roman"/>
          <w:color w:val="555555"/>
          <w:lang w:eastAsia="zh-CN"/>
        </w:rPr>
      </w:pPr>
      <w:r>
        <w:rPr>
          <w:rFonts w:hint="eastAsia" w:ascii="宋体" w:hAnsi="宋体" w:eastAsia="宋体" w:cs="Times New Roman"/>
          <w:sz w:val="30"/>
          <w:szCs w:val="30"/>
          <w:lang w:eastAsia="zh-CN"/>
        </w:rPr>
        <w:t>2023年度支出合计186.26万元，其中：基本支出159.26万元，占85.5%；项目支出27万元，占14.5%；上缴上级支出0万元，占0%；经营支出0万元，占0%；对附属单位补助支出0万元，占0%。</w:t>
      </w:r>
    </w:p>
    <w:p w14:paraId="78BCCA9C">
      <w:pPr>
        <w:pStyle w:val="2"/>
        <w:spacing w:before="1" w:line="225" w:lineRule="auto"/>
        <w:ind w:left="750"/>
        <w:rPr>
          <w:sz w:val="32"/>
          <w:szCs w:val="32"/>
          <w:lang w:eastAsia="zh-CN"/>
        </w:rPr>
      </w:pPr>
    </w:p>
    <w:p w14:paraId="39D77451">
      <w:pPr>
        <w:spacing w:before="222" w:line="580" w:lineRule="exact"/>
        <w:ind w:left="560"/>
        <w:rPr>
          <w:rFonts w:ascii="黑体" w:hAnsi="黑体" w:eastAsia="黑体" w:cs="黑体"/>
          <w:spacing w:val="-1"/>
          <w:position w:val="19"/>
          <w:sz w:val="32"/>
          <w:szCs w:val="32"/>
          <w:lang w:eastAsia="zh-CN"/>
        </w:rPr>
      </w:pPr>
    </w:p>
    <w:p w14:paraId="56976874">
      <w:pPr>
        <w:shd w:val="clear" w:color="auto" w:fill="FFFFFF"/>
        <w:spacing w:line="441" w:lineRule="atLeast"/>
        <w:ind w:firstLine="600"/>
        <w:rPr>
          <w:rFonts w:ascii="Times New Roman" w:hAnsi="Times New Roman" w:eastAsia="宋体" w:cs="Times New Roman"/>
          <w:color w:val="555555"/>
          <w:lang w:eastAsia="zh-CN"/>
        </w:rPr>
      </w:pPr>
      <w:r>
        <w:rPr>
          <w:rFonts w:ascii="楷体" w:hAnsi="楷体" w:eastAsia="楷体" w:cs="楷体"/>
          <w:spacing w:val="5"/>
          <w:sz w:val="32"/>
          <w:szCs w:val="32"/>
          <w:lang w:eastAsia="zh-CN"/>
        </w:rPr>
        <w:t xml:space="preserve"> (二)</w:t>
      </w:r>
      <w:r>
        <w:rPr>
          <w:rFonts w:hint="eastAsia" w:ascii="宋体" w:hAnsi="宋体" w:eastAsia="宋体" w:cs="宋体"/>
          <w:spacing w:val="5"/>
          <w:sz w:val="32"/>
          <w:szCs w:val="32"/>
          <w:lang w:eastAsia="zh-CN"/>
        </w:rPr>
        <w:t>项目支出情况</w:t>
      </w:r>
    </w:p>
    <w:p w14:paraId="1FCFF846">
      <w:pPr>
        <w:spacing w:before="204" w:line="222" w:lineRule="auto"/>
        <w:ind w:left="564"/>
        <w:rPr>
          <w:rFonts w:ascii="黑体" w:hAnsi="黑体" w:eastAsia="黑体" w:cs="黑体"/>
          <w:b/>
          <w:bCs/>
          <w:spacing w:val="-13"/>
          <w:sz w:val="32"/>
          <w:szCs w:val="32"/>
          <w:lang w:eastAsia="zh-CN"/>
        </w:rPr>
      </w:pPr>
      <w:r>
        <w:rPr>
          <w:rFonts w:ascii="黑体" w:hAnsi="黑体" w:eastAsia="黑体" w:cs="黑体"/>
          <w:b/>
          <w:bCs/>
          <w:spacing w:val="-13"/>
          <w:sz w:val="32"/>
          <w:szCs w:val="32"/>
          <w:lang w:eastAsia="zh-CN"/>
        </w:rPr>
        <w:t>三、政府性基金预算支出情况</w:t>
      </w:r>
    </w:p>
    <w:p w14:paraId="150E8B7C">
      <w:pPr>
        <w:pStyle w:val="10"/>
        <w:spacing w:line="600" w:lineRule="exact"/>
        <w:ind w:firstLine="600" w:firstLineChars="200"/>
        <w:rPr>
          <w:rFonts w:hAnsi="黑体"/>
          <w:bCs/>
          <w:sz w:val="30"/>
          <w:szCs w:val="30"/>
        </w:rPr>
      </w:pPr>
      <w:r>
        <w:rPr>
          <w:rFonts w:hint="eastAsia" w:ascii="宋体" w:hAnsi="宋体" w:eastAsia="宋体" w:cs="宋体"/>
          <w:sz w:val="30"/>
          <w:szCs w:val="30"/>
        </w:rPr>
        <w:t>2023年度政府性基金预算财政拨款收入0万元；年初结转和结余0万元；支出0万元，其中基本支出0万元，项目支出0万元；年末结转和结余0万元。</w:t>
      </w:r>
    </w:p>
    <w:p w14:paraId="5A490FF2">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2023年度本单位无政府性基金收支。</w:t>
      </w:r>
    </w:p>
    <w:p w14:paraId="121C15A8">
      <w:pPr>
        <w:spacing w:before="226" w:line="590" w:lineRule="exact"/>
        <w:ind w:left="564"/>
        <w:rPr>
          <w:rFonts w:ascii="黑体" w:hAnsi="黑体" w:eastAsia="黑体" w:cs="黑体"/>
          <w:b/>
          <w:bCs/>
          <w:spacing w:val="-14"/>
          <w:position w:val="19"/>
          <w:sz w:val="32"/>
          <w:szCs w:val="32"/>
          <w:lang w:eastAsia="zh-CN"/>
        </w:rPr>
      </w:pPr>
      <w:r>
        <w:rPr>
          <w:rFonts w:ascii="黑体" w:hAnsi="黑体" w:eastAsia="黑体" w:cs="黑体"/>
          <w:b/>
          <w:bCs/>
          <w:spacing w:val="-14"/>
          <w:position w:val="19"/>
          <w:sz w:val="32"/>
          <w:szCs w:val="32"/>
          <w:lang w:eastAsia="zh-CN"/>
        </w:rPr>
        <w:t>四、国有资本经营预算支出情况</w:t>
      </w:r>
    </w:p>
    <w:p w14:paraId="25954AEC">
      <w:pPr>
        <w:pStyle w:val="10"/>
        <w:ind w:left="420" w:leftChars="200"/>
        <w:rPr>
          <w:rFonts w:hAnsi="黑体"/>
          <w:bCs/>
          <w:sz w:val="30"/>
          <w:szCs w:val="30"/>
        </w:rPr>
      </w:pPr>
      <w:r>
        <w:rPr>
          <w:rFonts w:hint="eastAsia" w:ascii="宋体" w:hAnsi="宋体" w:eastAsia="宋体" w:cs="宋体"/>
          <w:sz w:val="30"/>
          <w:szCs w:val="30"/>
        </w:rPr>
        <w:t xml:space="preserve">   2023年度国有资本经营预算财政拨款收入0万元；年初结转和结余0万元；支出0万元，其中基本支出0万元，项目支出0万元；年末结转和结余0万元。</w:t>
      </w:r>
    </w:p>
    <w:p w14:paraId="7B7C63B9">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2023年度本单位无国有资本经营预算支出。</w:t>
      </w:r>
    </w:p>
    <w:p w14:paraId="4353B6A1">
      <w:pPr>
        <w:spacing w:before="1" w:line="221" w:lineRule="auto"/>
        <w:ind w:left="564"/>
        <w:rPr>
          <w:rFonts w:ascii="黑体" w:hAnsi="黑体" w:eastAsia="黑体" w:cs="黑体"/>
          <w:sz w:val="32"/>
          <w:szCs w:val="32"/>
          <w:lang w:eastAsia="zh-CN"/>
        </w:rPr>
      </w:pPr>
      <w:r>
        <w:rPr>
          <w:rFonts w:ascii="黑体" w:hAnsi="黑体" w:eastAsia="黑体" w:cs="黑体"/>
          <w:b/>
          <w:bCs/>
          <w:spacing w:val="-8"/>
          <w:sz w:val="32"/>
          <w:szCs w:val="32"/>
          <w:lang w:eastAsia="zh-CN"/>
        </w:rPr>
        <w:t>五、社会保险基金预算支出情况</w:t>
      </w:r>
    </w:p>
    <w:p w14:paraId="706C5CBF">
      <w:pPr>
        <w:spacing w:before="245" w:line="221" w:lineRule="auto"/>
        <w:ind w:left="564"/>
        <w:rPr>
          <w:rFonts w:ascii="黑体" w:hAnsi="黑体" w:eastAsia="黑体" w:cs="黑体"/>
          <w:b/>
          <w:bCs/>
          <w:spacing w:val="-9"/>
          <w:sz w:val="32"/>
          <w:szCs w:val="32"/>
          <w:lang w:eastAsia="zh-CN"/>
        </w:rPr>
      </w:pPr>
      <w:r>
        <w:rPr>
          <w:rFonts w:ascii="黑体" w:hAnsi="黑体" w:eastAsia="黑体" w:cs="黑体"/>
          <w:b/>
          <w:bCs/>
          <w:spacing w:val="-9"/>
          <w:sz w:val="32"/>
          <w:szCs w:val="32"/>
          <w:lang w:eastAsia="zh-CN"/>
        </w:rPr>
        <w:t>六、部门整体支出绩效情况</w:t>
      </w:r>
    </w:p>
    <w:p w14:paraId="30163229">
      <w:pPr>
        <w:pStyle w:val="10"/>
        <w:spacing w:line="6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（一）绩效管理评价工作开展情况</w:t>
      </w:r>
    </w:p>
    <w:p w14:paraId="5957E2E2">
      <w:pPr>
        <w:spacing w:line="600" w:lineRule="exact"/>
        <w:ind w:firstLine="600"/>
        <w:rPr>
          <w:rFonts w:ascii="宋体" w:hAnsi="宋体" w:eastAsia="宋体" w:cs="宋体"/>
          <w:sz w:val="30"/>
          <w:lang w:eastAsia="zh-CN"/>
        </w:rPr>
      </w:pPr>
      <w:r>
        <w:rPr>
          <w:rFonts w:ascii="宋体" w:hAnsi="宋体" w:eastAsia="宋体" w:cs="宋体"/>
          <w:sz w:val="30"/>
          <w:lang w:eastAsia="zh-CN"/>
        </w:rPr>
        <w:t>根据财政预算绩效管理要求，</w:t>
      </w:r>
      <w:r>
        <w:rPr>
          <w:rFonts w:hint="eastAsia" w:ascii="宋体" w:hAnsi="宋体" w:eastAsia="宋体" w:cs="宋体"/>
          <w:sz w:val="30"/>
          <w:lang w:eastAsia="zh-CN"/>
        </w:rPr>
        <w:t>我</w:t>
      </w:r>
      <w:r>
        <w:rPr>
          <w:rFonts w:ascii="宋体" w:hAnsi="宋体" w:eastAsia="宋体" w:cs="宋体"/>
          <w:sz w:val="30"/>
          <w:lang w:eastAsia="zh-CN"/>
        </w:rPr>
        <w:t>部门认真总结归纳支出的绩效目标完成情况</w:t>
      </w:r>
      <w:r>
        <w:rPr>
          <w:rFonts w:hint="eastAsia" w:ascii="宋体" w:hAnsi="宋体" w:eastAsia="宋体" w:cs="宋体"/>
          <w:sz w:val="30"/>
          <w:lang w:eastAsia="zh-CN"/>
        </w:rPr>
        <w:t>、</w:t>
      </w:r>
      <w:r>
        <w:rPr>
          <w:rFonts w:ascii="宋体" w:hAnsi="宋体" w:eastAsia="宋体" w:cs="宋体"/>
          <w:sz w:val="30"/>
          <w:lang w:eastAsia="zh-CN"/>
        </w:rPr>
        <w:t>实现产出和取得效益的情况。围绕</w:t>
      </w:r>
      <w:r>
        <w:rPr>
          <w:rFonts w:hint="eastAsia" w:ascii="宋体" w:hAnsi="宋体" w:eastAsia="宋体" w:cs="宋体"/>
          <w:sz w:val="30"/>
          <w:lang w:eastAsia="zh-CN"/>
        </w:rPr>
        <w:t>汨罗市屈原纪念馆</w:t>
      </w:r>
      <w:r>
        <w:rPr>
          <w:rFonts w:ascii="宋体" w:hAnsi="宋体" w:eastAsia="宋体" w:cs="宋体"/>
          <w:sz w:val="30"/>
          <w:lang w:eastAsia="zh-CN"/>
        </w:rPr>
        <w:t>职责、行业发展规划，以预算资金管理为主线，总结部门</w:t>
      </w:r>
      <w:r>
        <w:rPr>
          <w:rFonts w:hint="eastAsia" w:ascii="宋体" w:hAnsi="宋体" w:eastAsia="宋体" w:cs="宋体"/>
          <w:sz w:val="30"/>
          <w:lang w:eastAsia="zh-CN"/>
        </w:rPr>
        <w:t>屈原纪念馆</w:t>
      </w:r>
      <w:r>
        <w:rPr>
          <w:rFonts w:ascii="宋体" w:hAnsi="宋体" w:eastAsia="宋体" w:cs="宋体"/>
          <w:sz w:val="30"/>
          <w:lang w:eastAsia="zh-CN"/>
        </w:rPr>
        <w:t>资产管理和开展业务情况，从运行成本、管理效率、履职效能、社会效应、可持续发展能力和服务对象满意度等方面，衡量部门</w:t>
      </w:r>
      <w:r>
        <w:rPr>
          <w:rFonts w:hint="eastAsia" w:ascii="宋体" w:hAnsi="宋体" w:eastAsia="宋体" w:cs="宋体"/>
          <w:sz w:val="30"/>
          <w:lang w:eastAsia="zh-CN"/>
        </w:rPr>
        <w:t>汨罗市屈原纪念馆</w:t>
      </w:r>
      <w:r>
        <w:rPr>
          <w:rFonts w:ascii="宋体" w:hAnsi="宋体" w:eastAsia="宋体" w:cs="宋体"/>
          <w:sz w:val="30"/>
          <w:lang w:eastAsia="zh-CN"/>
        </w:rPr>
        <w:t>整体及核心业务实施效果。</w:t>
      </w:r>
    </w:p>
    <w:p w14:paraId="191D6DF2">
      <w:pPr>
        <w:ind w:firstLine="600" w:firstLineChars="200"/>
        <w:rPr>
          <w:rFonts w:ascii="宋体" w:hAnsi="宋体" w:eastAsia="宋体" w:cs="宋体"/>
          <w:sz w:val="30"/>
          <w:lang w:eastAsia="zh-CN"/>
        </w:rPr>
      </w:pPr>
      <w:r>
        <w:rPr>
          <w:rFonts w:ascii="宋体" w:hAnsi="宋体" w:eastAsia="宋体" w:cs="宋体"/>
          <w:sz w:val="30"/>
          <w:lang w:eastAsia="zh-CN"/>
        </w:rPr>
        <w:t>我部门组织对</w:t>
      </w:r>
      <w:r>
        <w:rPr>
          <w:rFonts w:hint="eastAsia" w:ascii="宋体" w:hAnsi="宋体" w:eastAsia="宋体" w:cs="宋体"/>
          <w:sz w:val="30"/>
          <w:lang w:eastAsia="zh-CN"/>
        </w:rPr>
        <w:t>屈原纪念馆</w:t>
      </w:r>
      <w:r>
        <w:rPr>
          <w:rFonts w:ascii="宋体" w:hAnsi="宋体" w:eastAsia="宋体" w:cs="宋体"/>
          <w:sz w:val="30"/>
          <w:lang w:eastAsia="zh-CN"/>
        </w:rPr>
        <w:t>等</w:t>
      </w:r>
      <w:r>
        <w:rPr>
          <w:rFonts w:hint="eastAsia" w:ascii="宋体" w:hAnsi="宋体" w:eastAsia="宋体" w:cs="宋体"/>
          <w:sz w:val="30"/>
          <w:lang w:eastAsia="zh-CN"/>
        </w:rPr>
        <w:t>1</w:t>
      </w:r>
      <w:r>
        <w:rPr>
          <w:rFonts w:ascii="宋体" w:hAnsi="宋体" w:eastAsia="宋体" w:cs="宋体"/>
          <w:sz w:val="30"/>
          <w:lang w:eastAsia="zh-CN"/>
        </w:rPr>
        <w:t>个单位开展整体支出绩效评价，涉及一般公共预算支出</w:t>
      </w:r>
      <w:r>
        <w:rPr>
          <w:rFonts w:hint="eastAsia" w:ascii="宋体" w:hAnsi="宋体" w:eastAsia="宋体" w:cs="宋体"/>
          <w:sz w:val="30"/>
          <w:lang w:eastAsia="zh-CN"/>
        </w:rPr>
        <w:t>511.06</w:t>
      </w:r>
      <w:r>
        <w:rPr>
          <w:rFonts w:ascii="宋体" w:hAnsi="宋体" w:eastAsia="宋体" w:cs="宋体"/>
          <w:sz w:val="30"/>
          <w:lang w:eastAsia="zh-CN"/>
        </w:rPr>
        <w:t>万元，政府性基金预算支出</w:t>
      </w:r>
      <w:r>
        <w:rPr>
          <w:rFonts w:hint="eastAsia" w:ascii="宋体" w:hAnsi="宋体" w:eastAsia="宋体" w:cs="宋体"/>
          <w:sz w:val="30"/>
          <w:lang w:eastAsia="zh-CN"/>
        </w:rPr>
        <w:t>0</w:t>
      </w:r>
      <w:r>
        <w:rPr>
          <w:rFonts w:ascii="宋体" w:hAnsi="宋体" w:eastAsia="宋体" w:cs="宋体"/>
          <w:sz w:val="30"/>
          <w:lang w:eastAsia="zh-CN"/>
        </w:rPr>
        <w:t>万元。从评价情况来看，</w:t>
      </w:r>
      <w:r>
        <w:rPr>
          <w:rFonts w:hint="eastAsia" w:cs="黑体" w:asciiTheme="minorEastAsia" w:hAnsiTheme="minorEastAsia"/>
          <w:color w:val="auto"/>
          <w:sz w:val="30"/>
          <w:szCs w:val="30"/>
          <w:lang w:eastAsia="zh-CN"/>
        </w:rPr>
        <w:t>我馆能</w:t>
      </w:r>
      <w:r>
        <w:rPr>
          <w:rFonts w:hint="eastAsia" w:ascii="宋体" w:hAnsi="宋体" w:cs="黑体"/>
          <w:sz w:val="30"/>
          <w:szCs w:val="30"/>
          <w:lang w:eastAsia="zh-CN"/>
        </w:rPr>
        <w:t>认真贯彻落实省、市、市各级财政部门的会议精神，进一步加强我校财务预算资金拨付管理，保障资金使用安全，提高资金使用效率，建立健全内部监督和控制度，保证资金的合法性、安全性、以及会计资料的真实性和完整性。确保各项工作的正确开展，保证各项工作的正常运转，坚持量入为出的原则，统筹合理地调度资金，确保资金合理有效使用，并树立过紧日子的思想，大力压缩非工资性支出，节减财政支出。坚持日清月结及时报表，正确认清目前财务状况，将财务信息及时上报财务部门，以便研究相应的财务政策。</w:t>
      </w:r>
      <w:r>
        <w:rPr>
          <w:rFonts w:hint="eastAsia" w:ascii="宋体" w:hAnsi="宋体" w:eastAsia="宋体" w:cs="宋体"/>
          <w:sz w:val="30"/>
          <w:lang w:eastAsia="zh-CN"/>
        </w:rPr>
        <w:t>把文物安全摆在屈子祠工作的首位并贯穿始终，完成了《屈子祠陈列展示工程项目》和《屈子祠安防工程》的项目申报且资金到位；疫情防控工作中无差错。</w:t>
      </w:r>
    </w:p>
    <w:p w14:paraId="798351C9">
      <w:pPr>
        <w:spacing w:before="233" w:line="222" w:lineRule="auto"/>
        <w:ind w:left="564"/>
        <w:outlineLvl w:val="1"/>
        <w:rPr>
          <w:rFonts w:ascii="黑体" w:hAnsi="黑体" w:eastAsia="黑体" w:cs="黑体"/>
          <w:sz w:val="32"/>
          <w:szCs w:val="32"/>
          <w:lang w:eastAsia="zh-CN"/>
        </w:rPr>
      </w:pPr>
      <w:r>
        <w:rPr>
          <w:rFonts w:ascii="黑体" w:hAnsi="黑体" w:eastAsia="黑体" w:cs="黑体"/>
          <w:b/>
          <w:bCs/>
          <w:spacing w:val="-7"/>
          <w:sz w:val="32"/>
          <w:szCs w:val="32"/>
          <w:lang w:eastAsia="zh-CN"/>
        </w:rPr>
        <w:t>七、存在的问题及原因分析</w:t>
      </w:r>
    </w:p>
    <w:p w14:paraId="7F7EEFB9">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要问题及原因：一是资金和人员配备都存在不足之处；二是加大财政保障和支持力度，对政策性经费支出足额安排预算，保证刚性支出，并按实追加部分经费补助。三是项目管理人员为非专业人员，相关理论知识不完善。</w:t>
      </w:r>
    </w:p>
    <w:p w14:paraId="2927E353">
      <w:pPr>
        <w:spacing w:before="228" w:line="222" w:lineRule="auto"/>
        <w:ind w:left="560"/>
        <w:rPr>
          <w:rFonts w:ascii="黑体" w:hAnsi="黑体" w:eastAsia="黑体" w:cs="黑体"/>
          <w:spacing w:val="-14"/>
          <w:sz w:val="32"/>
          <w:szCs w:val="32"/>
          <w:lang w:eastAsia="zh-CN"/>
        </w:rPr>
      </w:pPr>
      <w:r>
        <w:rPr>
          <w:rFonts w:ascii="黑体" w:hAnsi="黑体" w:eastAsia="黑体" w:cs="黑体"/>
          <w:spacing w:val="-14"/>
          <w:sz w:val="32"/>
          <w:szCs w:val="32"/>
          <w:lang w:eastAsia="zh-CN"/>
        </w:rPr>
        <w:t>八、下一步改进措施</w:t>
      </w:r>
    </w:p>
    <w:p w14:paraId="2A494A0A">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下一步改进措施：一是完善规划，合理布局；二是提高业务人员自身的业务素养，三是提高绩效指标设置的准确性，提高屈原纪念馆工作的满意度。</w:t>
      </w:r>
    </w:p>
    <w:p w14:paraId="6BFBB9FA">
      <w:pPr>
        <w:spacing w:before="214" w:line="221" w:lineRule="auto"/>
        <w:ind w:left="560"/>
        <w:rPr>
          <w:rFonts w:ascii="黑体" w:hAnsi="黑体" w:eastAsia="黑体" w:cs="黑体"/>
          <w:sz w:val="32"/>
          <w:szCs w:val="32"/>
          <w:lang w:eastAsia="zh-CN"/>
        </w:rPr>
      </w:pPr>
      <w:r>
        <w:rPr>
          <w:rFonts w:ascii="黑体" w:hAnsi="黑体" w:eastAsia="黑体" w:cs="黑体"/>
          <w:spacing w:val="-14"/>
          <w:sz w:val="32"/>
          <w:szCs w:val="32"/>
          <w:lang w:eastAsia="zh-CN"/>
        </w:rPr>
        <w:t>九 、部门整体支出绩效自评结果拟应用和公开情况</w:t>
      </w:r>
    </w:p>
    <w:p w14:paraId="750D29F5">
      <w:pPr>
        <w:spacing w:line="221" w:lineRule="auto"/>
        <w:rPr>
          <w:rFonts w:hint="eastAsia" w:ascii="黑体" w:hAnsi="黑体" w:eastAsia="黑体" w:cs="黑体"/>
          <w:sz w:val="32"/>
          <w:szCs w:val="32"/>
          <w:lang w:eastAsia="zh-CN"/>
        </w:rPr>
      </w:pPr>
    </w:p>
    <w:p w14:paraId="37ABB0F7">
      <w:pPr>
        <w:shd w:val="clear" w:color="auto" w:fill="FFFFFF"/>
        <w:spacing w:line="441" w:lineRule="atLeast"/>
        <w:ind w:firstLine="600"/>
        <w:rPr>
          <w:rFonts w:ascii="宋体" w:hAnsi="宋体" w:eastAsia="宋体" w:cs="宋体"/>
          <w:sz w:val="30"/>
          <w:szCs w:val="30"/>
          <w:lang w:eastAsia="zh-CN"/>
        </w:rPr>
      </w:pPr>
      <w:r>
        <w:rPr>
          <w:rFonts w:ascii="宋体" w:hAnsi="宋体" w:eastAsia="宋体" w:cs="宋体"/>
          <w:sz w:val="30"/>
          <w:lang w:eastAsia="zh-CN"/>
        </w:rPr>
        <w:t>根据《项目支出绩效评价办法》（财预〔</w:t>
      </w:r>
      <w:r>
        <w:rPr>
          <w:rFonts w:ascii="Calibri" w:hAnsi="Calibri" w:eastAsia="Calibri" w:cs="Calibri"/>
          <w:sz w:val="30"/>
          <w:lang w:eastAsia="zh-CN"/>
        </w:rPr>
        <w:t>2020</w:t>
      </w:r>
      <w:r>
        <w:rPr>
          <w:rFonts w:ascii="宋体" w:hAnsi="宋体" w:eastAsia="宋体" w:cs="宋体"/>
          <w:sz w:val="30"/>
          <w:lang w:eastAsia="zh-CN"/>
        </w:rPr>
        <w:t>〕</w:t>
      </w:r>
      <w:r>
        <w:rPr>
          <w:rFonts w:ascii="Calibri" w:hAnsi="Calibri" w:eastAsia="Calibri" w:cs="Calibri"/>
          <w:sz w:val="30"/>
          <w:lang w:eastAsia="zh-CN"/>
        </w:rPr>
        <w:t>10</w:t>
      </w:r>
      <w:r>
        <w:rPr>
          <w:rFonts w:ascii="宋体" w:hAnsi="宋体" w:eastAsia="宋体" w:cs="宋体"/>
          <w:sz w:val="30"/>
          <w:lang w:eastAsia="zh-CN"/>
        </w:rPr>
        <w:t>号）中《项目支出绩效评价报告（参考提纲）》、《湖南省预算支出绩效评价管理办法》（湘财绩〔</w:t>
      </w:r>
      <w:r>
        <w:rPr>
          <w:rFonts w:ascii="Calibri" w:hAnsi="Calibri" w:eastAsia="Calibri" w:cs="Calibri"/>
          <w:sz w:val="30"/>
          <w:lang w:eastAsia="zh-CN"/>
        </w:rPr>
        <w:t>2020</w:t>
      </w:r>
      <w:r>
        <w:rPr>
          <w:rFonts w:ascii="宋体" w:hAnsi="宋体" w:eastAsia="宋体" w:cs="宋体"/>
          <w:sz w:val="30"/>
          <w:lang w:eastAsia="zh-CN"/>
        </w:rPr>
        <w:t>〕</w:t>
      </w:r>
      <w:r>
        <w:rPr>
          <w:rFonts w:ascii="Calibri" w:hAnsi="Calibri" w:eastAsia="Calibri" w:cs="Calibri"/>
          <w:sz w:val="30"/>
          <w:lang w:eastAsia="zh-CN"/>
        </w:rPr>
        <w:t>7</w:t>
      </w:r>
      <w:r>
        <w:rPr>
          <w:rFonts w:ascii="宋体" w:hAnsi="宋体" w:eastAsia="宋体" w:cs="宋体"/>
          <w:sz w:val="30"/>
          <w:lang w:eastAsia="zh-CN"/>
        </w:rPr>
        <w:t>号），</w:t>
      </w:r>
      <w:r>
        <w:rPr>
          <w:rFonts w:hint="eastAsia" w:ascii="宋体" w:hAnsi="宋体" w:eastAsia="宋体" w:cs="宋体"/>
          <w:sz w:val="30"/>
          <w:szCs w:val="30"/>
          <w:lang w:eastAsia="zh-CN"/>
        </w:rPr>
        <w:t>根据《项目支出绩效评价办法》（财预〔2020〕10号）中《项目支出绩效评价报告（参考提纲）》、《湖南省预算支出绩效评价管理办法》（湘财绩〔2020〕7号），“图书馆免费开放经费项目”，该项目绩效评价综合得分98分，绩效评价结果为“优”，绩效评价报告详见附件。</w:t>
      </w:r>
    </w:p>
    <w:p w14:paraId="2124562E">
      <w:pPr>
        <w:spacing w:line="221" w:lineRule="auto"/>
        <w:rPr>
          <w:rFonts w:ascii="黑体" w:hAnsi="黑体" w:eastAsia="黑体" w:cs="黑体"/>
          <w:sz w:val="32"/>
          <w:szCs w:val="32"/>
          <w:lang w:eastAsia="zh-CN"/>
        </w:rPr>
        <w:sectPr>
          <w:pgSz w:w="12140" w:h="17000"/>
          <w:pgMar w:top="1422" w:right="1821" w:bottom="400" w:left="1459" w:header="0" w:footer="0" w:gutter="0"/>
          <w:cols w:space="720" w:num="1"/>
        </w:sectPr>
      </w:pPr>
    </w:p>
    <w:p w14:paraId="160DABD7">
      <w:pPr>
        <w:spacing w:before="204" w:line="221" w:lineRule="auto"/>
        <w:ind w:left="295"/>
        <w:rPr>
          <w:rFonts w:ascii="黑体" w:hAnsi="黑体" w:eastAsia="黑体" w:cs="黑体"/>
          <w:sz w:val="31"/>
          <w:szCs w:val="31"/>
          <w:lang w:eastAsia="zh-CN"/>
        </w:rPr>
      </w:pPr>
      <w:r>
        <w:rPr>
          <w:rFonts w:ascii="黑体" w:hAnsi="黑体" w:eastAsia="黑体" w:cs="黑体"/>
          <w:b/>
          <w:bCs/>
          <w:sz w:val="31"/>
          <w:szCs w:val="31"/>
          <w:lang w:eastAsia="zh-CN"/>
        </w:rPr>
        <w:t>十、其他需要说明的情况</w:t>
      </w:r>
    </w:p>
    <w:p w14:paraId="273B8279">
      <w:pPr>
        <w:spacing w:line="249" w:lineRule="auto"/>
        <w:rPr>
          <w:lang w:eastAsia="zh-CN"/>
        </w:rPr>
      </w:pPr>
    </w:p>
    <w:p w14:paraId="4E588A54">
      <w:pPr>
        <w:spacing w:line="249" w:lineRule="auto"/>
        <w:rPr>
          <w:lang w:eastAsia="zh-CN"/>
        </w:rPr>
      </w:pPr>
    </w:p>
    <w:p w14:paraId="441108F9">
      <w:pPr>
        <w:spacing w:line="250" w:lineRule="auto"/>
        <w:rPr>
          <w:lang w:eastAsia="zh-CN"/>
        </w:rPr>
      </w:pPr>
    </w:p>
    <w:p w14:paraId="5ED828CC">
      <w:pPr>
        <w:pStyle w:val="2"/>
        <w:spacing w:before="101" w:line="222" w:lineRule="auto"/>
        <w:ind w:left="291"/>
        <w:rPr>
          <w:sz w:val="31"/>
          <w:szCs w:val="31"/>
          <w:lang w:eastAsia="zh-CN"/>
        </w:rPr>
      </w:pPr>
      <w:r>
        <w:rPr>
          <w:sz w:val="31"/>
          <w:szCs w:val="31"/>
          <w:lang w:eastAsia="zh-CN"/>
        </w:rPr>
        <w:t>报告需要以下附件：</w:t>
      </w:r>
    </w:p>
    <w:p w14:paraId="15753104">
      <w:pPr>
        <w:pStyle w:val="2"/>
        <w:spacing w:before="235" w:line="590" w:lineRule="exact"/>
        <w:ind w:left="291"/>
        <w:rPr>
          <w:sz w:val="31"/>
          <w:szCs w:val="31"/>
          <w:lang w:eastAsia="zh-CN"/>
        </w:rPr>
      </w:pPr>
      <w:r>
        <w:rPr>
          <w:position w:val="20"/>
          <w:sz w:val="31"/>
          <w:szCs w:val="31"/>
          <w:lang w:eastAsia="zh-CN"/>
        </w:rPr>
        <w:t>1、部门整体支出绩效评价基础数据表</w:t>
      </w:r>
    </w:p>
    <w:p w14:paraId="14282F43">
      <w:pPr>
        <w:pStyle w:val="2"/>
        <w:spacing w:before="1" w:line="221" w:lineRule="auto"/>
        <w:ind w:left="291"/>
        <w:rPr>
          <w:sz w:val="31"/>
          <w:szCs w:val="31"/>
          <w:lang w:eastAsia="zh-CN"/>
        </w:rPr>
      </w:pPr>
      <w:r>
        <w:rPr>
          <w:sz w:val="31"/>
          <w:szCs w:val="31"/>
          <w:lang w:eastAsia="zh-CN"/>
        </w:rPr>
        <w:t>2、部门整体支出绩效自评表</w:t>
      </w:r>
    </w:p>
    <w:p w14:paraId="35477B69">
      <w:pPr>
        <w:pStyle w:val="2"/>
        <w:spacing w:before="249" w:line="222" w:lineRule="auto"/>
        <w:ind w:left="291"/>
        <w:rPr>
          <w:sz w:val="31"/>
          <w:szCs w:val="31"/>
          <w:lang w:eastAsia="zh-CN"/>
        </w:rPr>
      </w:pPr>
      <w:r>
        <w:rPr>
          <w:spacing w:val="11"/>
          <w:sz w:val="31"/>
          <w:szCs w:val="31"/>
          <w:lang w:eastAsia="zh-CN"/>
        </w:rPr>
        <w:t>3、项目支出绩效自评表(每个一级项目支出一张表)</w:t>
      </w:r>
    </w:p>
    <w:p w14:paraId="5BA807FE">
      <w:pPr>
        <w:pStyle w:val="2"/>
        <w:spacing w:before="203" w:line="220" w:lineRule="auto"/>
        <w:ind w:left="291"/>
        <w:rPr>
          <w:sz w:val="31"/>
          <w:szCs w:val="31"/>
          <w:lang w:eastAsia="zh-CN"/>
        </w:rPr>
      </w:pPr>
      <w:r>
        <w:rPr>
          <w:spacing w:val="1"/>
          <w:sz w:val="31"/>
          <w:szCs w:val="31"/>
          <w:lang w:eastAsia="zh-CN"/>
        </w:rPr>
        <w:t>4、政府性基金预算支出情况表</w:t>
      </w:r>
    </w:p>
    <w:p w14:paraId="42B0982A">
      <w:pPr>
        <w:pStyle w:val="2"/>
        <w:spacing w:before="253" w:line="589" w:lineRule="exact"/>
        <w:ind w:left="291"/>
        <w:rPr>
          <w:sz w:val="31"/>
          <w:szCs w:val="31"/>
          <w:lang w:eastAsia="zh-CN"/>
        </w:rPr>
      </w:pPr>
      <w:r>
        <w:rPr>
          <w:spacing w:val="-4"/>
          <w:position w:val="20"/>
          <w:sz w:val="31"/>
          <w:szCs w:val="31"/>
          <w:lang w:eastAsia="zh-CN"/>
        </w:rPr>
        <w:t>5、 国有资本经营预算支出情况表</w:t>
      </w:r>
    </w:p>
    <w:p w14:paraId="7FB6673C">
      <w:pPr>
        <w:pStyle w:val="2"/>
        <w:spacing w:before="1" w:line="220" w:lineRule="auto"/>
        <w:ind w:left="291"/>
        <w:rPr>
          <w:sz w:val="31"/>
          <w:szCs w:val="31"/>
          <w:lang w:eastAsia="zh-CN"/>
        </w:rPr>
      </w:pPr>
      <w:r>
        <w:rPr>
          <w:sz w:val="31"/>
          <w:szCs w:val="31"/>
          <w:lang w:eastAsia="zh-CN"/>
        </w:rPr>
        <w:t>6、社会保险基金预算支出情况表</w:t>
      </w:r>
    </w:p>
    <w:p w14:paraId="19110EEF">
      <w:pPr>
        <w:rPr>
          <w:lang w:eastAsia="zh-CN"/>
        </w:rPr>
      </w:pPr>
    </w:p>
    <w:p w14:paraId="196EEBBC">
      <w:pPr>
        <w:spacing w:line="265" w:lineRule="auto"/>
        <w:rPr>
          <w:lang w:eastAsia="zh-CN"/>
        </w:rPr>
      </w:pPr>
    </w:p>
    <w:p w14:paraId="3194546B">
      <w:pPr>
        <w:spacing w:line="265" w:lineRule="auto"/>
        <w:rPr>
          <w:lang w:eastAsia="zh-CN"/>
        </w:rPr>
      </w:pPr>
    </w:p>
    <w:p w14:paraId="5600D08C">
      <w:pPr>
        <w:spacing w:line="265" w:lineRule="auto"/>
        <w:rPr>
          <w:lang w:eastAsia="zh-CN"/>
        </w:rPr>
      </w:pPr>
    </w:p>
    <w:p w14:paraId="4329BD66">
      <w:pPr>
        <w:spacing w:line="266" w:lineRule="auto"/>
        <w:rPr>
          <w:lang w:eastAsia="zh-CN"/>
        </w:rPr>
      </w:pPr>
    </w:p>
    <w:p w14:paraId="2BF9159C">
      <w:pPr>
        <w:spacing w:line="266" w:lineRule="auto"/>
        <w:rPr>
          <w:lang w:eastAsia="zh-CN"/>
        </w:rPr>
      </w:pPr>
    </w:p>
    <w:p w14:paraId="2F19F161">
      <w:pPr>
        <w:spacing w:line="267" w:lineRule="auto"/>
        <w:ind w:firstLine="552"/>
        <w:jc w:val="both"/>
        <w:rPr>
          <w:rFonts w:hint="eastAsia" w:ascii="宋体" w:hAnsi="宋体" w:eastAsia="宋体" w:cs="宋体"/>
          <w:bCs/>
          <w:spacing w:val="-4"/>
          <w:kern w:val="0"/>
          <w:sz w:val="28"/>
          <w:szCs w:val="28"/>
          <w:lang w:eastAsia="zh-CN"/>
        </w:rPr>
      </w:pPr>
    </w:p>
    <w:p w14:paraId="3D298CD0">
      <w:pPr>
        <w:spacing w:line="267" w:lineRule="auto"/>
        <w:ind w:firstLine="552"/>
        <w:jc w:val="both"/>
        <w:rPr>
          <w:rFonts w:hint="eastAsia" w:ascii="宋体" w:hAnsi="宋体" w:eastAsia="宋体" w:cs="宋体"/>
          <w:bCs/>
          <w:spacing w:val="-4"/>
          <w:kern w:val="0"/>
          <w:sz w:val="28"/>
          <w:szCs w:val="28"/>
          <w:lang w:eastAsia="zh-CN"/>
        </w:rPr>
      </w:pPr>
    </w:p>
    <w:p w14:paraId="125C65FB">
      <w:pPr>
        <w:spacing w:line="267" w:lineRule="auto"/>
        <w:ind w:firstLine="552"/>
        <w:jc w:val="both"/>
        <w:rPr>
          <w:rFonts w:hint="eastAsia" w:ascii="宋体" w:hAnsi="宋体" w:eastAsia="宋体" w:cs="宋体"/>
          <w:bCs/>
          <w:spacing w:val="-4"/>
          <w:kern w:val="0"/>
          <w:sz w:val="28"/>
          <w:szCs w:val="28"/>
          <w:lang w:eastAsia="zh-CN"/>
        </w:rPr>
      </w:pPr>
    </w:p>
    <w:p w14:paraId="3013F04E">
      <w:pPr>
        <w:spacing w:line="267" w:lineRule="auto"/>
        <w:ind w:firstLine="552"/>
        <w:jc w:val="both"/>
        <w:rPr>
          <w:rFonts w:hint="eastAsia" w:ascii="宋体" w:hAnsi="宋体" w:eastAsia="宋体" w:cs="宋体"/>
          <w:bCs/>
          <w:spacing w:val="-4"/>
          <w:kern w:val="0"/>
          <w:sz w:val="28"/>
          <w:szCs w:val="28"/>
          <w:lang w:eastAsia="zh-CN"/>
        </w:rPr>
      </w:pPr>
    </w:p>
    <w:p w14:paraId="3962E9B4">
      <w:pPr>
        <w:spacing w:line="267" w:lineRule="auto"/>
        <w:ind w:firstLine="552"/>
        <w:jc w:val="both"/>
        <w:rPr>
          <w:rFonts w:hint="eastAsia" w:ascii="宋体" w:hAnsi="宋体" w:eastAsia="宋体" w:cs="宋体"/>
          <w:bCs/>
          <w:spacing w:val="-4"/>
          <w:kern w:val="0"/>
          <w:sz w:val="28"/>
          <w:szCs w:val="28"/>
          <w:lang w:eastAsia="zh-CN"/>
        </w:rPr>
      </w:pPr>
    </w:p>
    <w:p w14:paraId="59A55953">
      <w:pPr>
        <w:spacing w:line="267" w:lineRule="auto"/>
        <w:ind w:firstLine="552"/>
        <w:jc w:val="both"/>
        <w:rPr>
          <w:rFonts w:hint="eastAsia" w:ascii="宋体" w:hAnsi="宋体" w:eastAsia="宋体" w:cs="宋体"/>
          <w:bCs/>
          <w:spacing w:val="-4"/>
          <w:kern w:val="0"/>
          <w:sz w:val="28"/>
          <w:szCs w:val="28"/>
          <w:lang w:eastAsia="zh-CN"/>
        </w:rPr>
      </w:pPr>
    </w:p>
    <w:p w14:paraId="0E3D9DC0">
      <w:pPr>
        <w:spacing w:line="267" w:lineRule="auto"/>
        <w:ind w:firstLine="552"/>
        <w:jc w:val="both"/>
        <w:rPr>
          <w:rFonts w:hint="eastAsia" w:ascii="宋体" w:hAnsi="宋体" w:eastAsia="宋体" w:cs="宋体"/>
          <w:bCs/>
          <w:spacing w:val="-4"/>
          <w:kern w:val="0"/>
          <w:sz w:val="28"/>
          <w:szCs w:val="28"/>
          <w:lang w:eastAsia="zh-CN"/>
        </w:rPr>
      </w:pPr>
    </w:p>
    <w:p w14:paraId="3CD52A83">
      <w:pPr>
        <w:spacing w:line="267" w:lineRule="auto"/>
        <w:ind w:firstLine="552"/>
        <w:jc w:val="both"/>
        <w:rPr>
          <w:rFonts w:hint="eastAsia" w:ascii="宋体" w:hAnsi="宋体" w:eastAsia="宋体" w:cs="宋体"/>
          <w:bCs/>
          <w:spacing w:val="-4"/>
          <w:kern w:val="0"/>
          <w:sz w:val="28"/>
          <w:szCs w:val="28"/>
          <w:lang w:eastAsia="zh-CN"/>
        </w:rPr>
      </w:pPr>
    </w:p>
    <w:p w14:paraId="07765454">
      <w:pPr>
        <w:spacing w:line="267" w:lineRule="auto"/>
        <w:ind w:firstLine="552"/>
        <w:jc w:val="both"/>
        <w:rPr>
          <w:rFonts w:hint="eastAsia" w:ascii="宋体" w:hAnsi="宋体" w:eastAsia="宋体" w:cs="宋体"/>
          <w:bCs/>
          <w:spacing w:val="-4"/>
          <w:kern w:val="0"/>
          <w:sz w:val="28"/>
          <w:szCs w:val="28"/>
          <w:lang w:eastAsia="zh-CN"/>
        </w:rPr>
      </w:pPr>
    </w:p>
    <w:p w14:paraId="0BC8E3C7">
      <w:pPr>
        <w:spacing w:line="267" w:lineRule="auto"/>
        <w:ind w:firstLine="552"/>
        <w:jc w:val="both"/>
        <w:rPr>
          <w:rFonts w:hint="eastAsia" w:ascii="宋体" w:hAnsi="宋体" w:eastAsia="宋体" w:cs="宋体"/>
          <w:bCs/>
          <w:spacing w:val="-4"/>
          <w:kern w:val="0"/>
          <w:sz w:val="28"/>
          <w:szCs w:val="28"/>
          <w:lang w:eastAsia="zh-CN"/>
        </w:rPr>
      </w:pPr>
    </w:p>
    <w:p w14:paraId="406AC244">
      <w:pPr>
        <w:spacing w:line="267" w:lineRule="auto"/>
        <w:ind w:firstLine="552"/>
        <w:jc w:val="both"/>
        <w:rPr>
          <w:rFonts w:hint="eastAsia" w:ascii="宋体" w:hAnsi="宋体" w:eastAsia="宋体" w:cs="宋体"/>
          <w:bCs/>
          <w:spacing w:val="-4"/>
          <w:kern w:val="0"/>
          <w:sz w:val="28"/>
          <w:szCs w:val="28"/>
          <w:lang w:eastAsia="zh-CN"/>
        </w:rPr>
      </w:pPr>
    </w:p>
    <w:p w14:paraId="2F1B8DB8">
      <w:pPr>
        <w:spacing w:line="267" w:lineRule="auto"/>
        <w:ind w:firstLine="552"/>
        <w:jc w:val="both"/>
        <w:rPr>
          <w:rFonts w:hint="eastAsia" w:ascii="宋体" w:hAnsi="宋体" w:eastAsia="宋体" w:cs="宋体"/>
          <w:bCs/>
          <w:spacing w:val="-4"/>
          <w:kern w:val="0"/>
          <w:sz w:val="28"/>
          <w:szCs w:val="28"/>
          <w:lang w:eastAsia="zh-CN"/>
        </w:rPr>
      </w:pPr>
    </w:p>
    <w:p w14:paraId="094BD9F1">
      <w:pPr>
        <w:spacing w:line="267" w:lineRule="auto"/>
        <w:ind w:firstLine="552"/>
        <w:jc w:val="both"/>
        <w:rPr>
          <w:rFonts w:hint="eastAsia" w:ascii="宋体" w:hAnsi="宋体" w:eastAsia="宋体" w:cs="宋体"/>
          <w:bCs/>
          <w:spacing w:val="-4"/>
          <w:kern w:val="0"/>
          <w:sz w:val="28"/>
          <w:szCs w:val="28"/>
          <w:lang w:eastAsia="zh-CN"/>
        </w:rPr>
      </w:pPr>
    </w:p>
    <w:p w14:paraId="041E3B17">
      <w:pPr>
        <w:spacing w:line="267" w:lineRule="auto"/>
        <w:ind w:firstLine="552"/>
        <w:jc w:val="both"/>
        <w:rPr>
          <w:rFonts w:hint="eastAsia" w:ascii="宋体" w:hAnsi="宋体" w:eastAsia="宋体" w:cs="宋体"/>
          <w:bCs/>
          <w:spacing w:val="-4"/>
          <w:kern w:val="0"/>
          <w:sz w:val="28"/>
          <w:szCs w:val="28"/>
          <w:lang w:eastAsia="zh-CN"/>
        </w:rPr>
      </w:pPr>
    </w:p>
    <w:p w14:paraId="5944E830">
      <w:pPr>
        <w:spacing w:line="267" w:lineRule="auto"/>
        <w:ind w:firstLine="552"/>
        <w:jc w:val="both"/>
        <w:rPr>
          <w:rFonts w:hint="eastAsia" w:ascii="宋体" w:hAnsi="宋体" w:eastAsia="宋体" w:cs="宋体"/>
          <w:bCs/>
          <w:spacing w:val="-4"/>
          <w:kern w:val="0"/>
          <w:sz w:val="28"/>
          <w:szCs w:val="28"/>
          <w:lang w:eastAsia="zh-CN"/>
        </w:rPr>
      </w:pPr>
    </w:p>
    <w:p w14:paraId="16435B87">
      <w:pPr>
        <w:spacing w:line="267" w:lineRule="auto"/>
        <w:ind w:firstLine="552"/>
        <w:jc w:val="both"/>
        <w:rPr>
          <w:rFonts w:hint="eastAsia" w:ascii="宋体" w:hAnsi="宋体" w:eastAsia="宋体" w:cs="宋体"/>
          <w:bCs/>
          <w:spacing w:val="-4"/>
          <w:kern w:val="0"/>
          <w:sz w:val="28"/>
          <w:szCs w:val="28"/>
          <w:lang w:eastAsia="zh-CN"/>
        </w:rPr>
      </w:pPr>
    </w:p>
    <w:p w14:paraId="0863ABDA">
      <w:pPr>
        <w:spacing w:line="267" w:lineRule="auto"/>
        <w:ind w:firstLine="552"/>
        <w:jc w:val="both"/>
        <w:rPr>
          <w:rFonts w:hint="eastAsia" w:ascii="宋体" w:hAnsi="宋体" w:eastAsia="宋体" w:cs="宋体"/>
          <w:bCs/>
          <w:spacing w:val="-4"/>
          <w:kern w:val="0"/>
          <w:sz w:val="28"/>
          <w:szCs w:val="28"/>
          <w:lang w:eastAsia="zh-CN"/>
        </w:rPr>
      </w:pPr>
    </w:p>
    <w:p w14:paraId="6193311E">
      <w:pPr>
        <w:spacing w:line="267" w:lineRule="auto"/>
        <w:ind w:firstLine="552"/>
        <w:jc w:val="both"/>
        <w:rPr>
          <w:rFonts w:hint="eastAsia" w:ascii="宋体" w:hAnsi="宋体" w:eastAsia="宋体" w:cs="宋体"/>
          <w:bCs/>
          <w:spacing w:val="-4"/>
          <w:kern w:val="0"/>
          <w:sz w:val="28"/>
          <w:szCs w:val="28"/>
          <w:lang w:eastAsia="zh-CN"/>
        </w:rPr>
      </w:pPr>
    </w:p>
    <w:p w14:paraId="7C062EA4">
      <w:pPr>
        <w:spacing w:before="49" w:line="224" w:lineRule="auto"/>
        <w:ind w:left="98"/>
        <w:rPr>
          <w:rFonts w:ascii="黑体" w:hAnsi="黑体" w:eastAsia="黑体" w:cs="黑体"/>
          <w:b/>
          <w:bCs/>
          <w:spacing w:val="26"/>
          <w:sz w:val="24"/>
          <w:szCs w:val="24"/>
          <w:lang w:eastAsia="zh-CN"/>
        </w:rPr>
      </w:pPr>
    </w:p>
    <w:p w14:paraId="561EE908">
      <w:pPr>
        <w:spacing w:before="49" w:line="224" w:lineRule="auto"/>
        <w:ind w:left="98"/>
        <w:rPr>
          <w:rFonts w:ascii="黑体" w:hAnsi="黑体" w:eastAsia="黑体" w:cs="黑体"/>
          <w:sz w:val="24"/>
          <w:szCs w:val="24"/>
          <w:lang w:eastAsia="zh-CN"/>
        </w:rPr>
      </w:pPr>
      <w:r>
        <w:rPr>
          <w:rFonts w:ascii="黑体" w:hAnsi="黑体" w:eastAsia="黑体" w:cs="黑体"/>
          <w:b/>
          <w:bCs/>
          <w:spacing w:val="26"/>
          <w:sz w:val="24"/>
          <w:szCs w:val="24"/>
          <w:lang w:eastAsia="zh-CN"/>
        </w:rPr>
        <w:t>附件5</w:t>
      </w:r>
    </w:p>
    <w:p w14:paraId="2A8499D7">
      <w:pPr>
        <w:spacing w:before="244" w:line="588" w:lineRule="exact"/>
        <w:ind w:left="1725"/>
        <w:rPr>
          <w:rFonts w:ascii="黑体" w:hAnsi="黑体" w:eastAsia="黑体" w:cs="黑体"/>
          <w:b/>
          <w:sz w:val="30"/>
          <w:szCs w:val="30"/>
          <w:lang w:eastAsia="zh-CN"/>
        </w:rPr>
      </w:pPr>
      <w:r>
        <w:rPr>
          <w:rFonts w:ascii="黑体" w:hAnsi="黑体" w:eastAsia="黑体" w:cs="黑体"/>
          <w:b/>
          <w:spacing w:val="10"/>
          <w:position w:val="12"/>
          <w:sz w:val="30"/>
          <w:szCs w:val="30"/>
          <w:lang w:eastAsia="zh-CN"/>
        </w:rPr>
        <w:t>2023年度</w:t>
      </w:r>
      <w:r>
        <w:rPr>
          <w:rFonts w:hint="eastAsia" w:ascii="宋体" w:hAnsi="宋体" w:eastAsia="宋体" w:cs="宋体"/>
          <w:b/>
          <w:position w:val="12"/>
          <w:sz w:val="30"/>
          <w:szCs w:val="30"/>
          <w:lang w:eastAsia="zh-CN"/>
        </w:rPr>
        <w:t>中央补助地方博物馆免费开放</w:t>
      </w:r>
      <w:r>
        <w:rPr>
          <w:rFonts w:ascii="黑体" w:hAnsi="黑体" w:eastAsia="黑体" w:cs="黑体"/>
          <w:b/>
          <w:spacing w:val="10"/>
          <w:position w:val="12"/>
          <w:sz w:val="30"/>
          <w:szCs w:val="30"/>
          <w:lang w:eastAsia="zh-CN"/>
        </w:rPr>
        <w:t>项目支出</w:t>
      </w:r>
    </w:p>
    <w:p w14:paraId="166864B3">
      <w:pPr>
        <w:spacing w:before="1" w:line="220" w:lineRule="auto"/>
        <w:ind w:left="2655"/>
        <w:rPr>
          <w:rFonts w:ascii="黑体" w:hAnsi="黑体" w:eastAsia="黑体" w:cs="黑体"/>
          <w:sz w:val="41"/>
          <w:szCs w:val="41"/>
          <w:lang w:eastAsia="zh-CN"/>
        </w:rPr>
      </w:pPr>
      <w:r>
        <w:rPr>
          <w:rFonts w:hint="eastAsia" w:ascii="黑体" w:hAnsi="黑体" w:eastAsia="黑体" w:cs="黑体"/>
          <w:spacing w:val="12"/>
          <w:sz w:val="41"/>
          <w:szCs w:val="41"/>
          <w:lang w:eastAsia="zh-CN"/>
        </w:rPr>
        <w:t xml:space="preserve">    </w:t>
      </w:r>
      <w:r>
        <w:rPr>
          <w:rFonts w:ascii="黑体" w:hAnsi="黑体" w:eastAsia="黑体" w:cs="黑体"/>
          <w:spacing w:val="12"/>
          <w:sz w:val="41"/>
          <w:szCs w:val="41"/>
          <w:lang w:eastAsia="zh-CN"/>
        </w:rPr>
        <w:t>绩效自评报告</w:t>
      </w:r>
    </w:p>
    <w:p w14:paraId="386F4AEB">
      <w:pPr>
        <w:rPr>
          <w:lang w:eastAsia="zh-CN"/>
        </w:rPr>
      </w:pPr>
    </w:p>
    <w:p w14:paraId="253C6884">
      <w:pPr>
        <w:rPr>
          <w:lang w:eastAsia="zh-CN"/>
        </w:rPr>
      </w:pPr>
    </w:p>
    <w:p w14:paraId="09F73529">
      <w:pPr>
        <w:rPr>
          <w:lang w:eastAsia="zh-CN"/>
        </w:rPr>
      </w:pPr>
    </w:p>
    <w:p w14:paraId="3BDB5C99">
      <w:pPr>
        <w:rPr>
          <w:lang w:eastAsia="zh-CN"/>
        </w:rPr>
      </w:pPr>
    </w:p>
    <w:p w14:paraId="494EF023">
      <w:pPr>
        <w:rPr>
          <w:lang w:eastAsia="zh-CN"/>
        </w:rPr>
      </w:pPr>
    </w:p>
    <w:p w14:paraId="2C4E3CA5">
      <w:pPr>
        <w:rPr>
          <w:lang w:eastAsia="zh-CN"/>
        </w:rPr>
      </w:pPr>
    </w:p>
    <w:p w14:paraId="75FCBECD">
      <w:pPr>
        <w:rPr>
          <w:lang w:eastAsia="zh-CN"/>
        </w:rPr>
      </w:pPr>
    </w:p>
    <w:p w14:paraId="1A7F4A76">
      <w:pPr>
        <w:rPr>
          <w:lang w:eastAsia="zh-CN"/>
        </w:rPr>
      </w:pPr>
    </w:p>
    <w:p w14:paraId="2FF6CC1B">
      <w:pPr>
        <w:spacing w:line="241" w:lineRule="auto"/>
        <w:rPr>
          <w:lang w:eastAsia="zh-CN"/>
        </w:rPr>
      </w:pPr>
    </w:p>
    <w:p w14:paraId="0DF97532">
      <w:pPr>
        <w:spacing w:line="241" w:lineRule="auto"/>
        <w:rPr>
          <w:lang w:eastAsia="zh-CN"/>
        </w:rPr>
      </w:pPr>
    </w:p>
    <w:p w14:paraId="3AA09629">
      <w:pPr>
        <w:spacing w:line="241" w:lineRule="auto"/>
        <w:rPr>
          <w:lang w:eastAsia="zh-CN"/>
        </w:rPr>
      </w:pPr>
    </w:p>
    <w:p w14:paraId="4111BA37">
      <w:pPr>
        <w:spacing w:line="241" w:lineRule="auto"/>
        <w:rPr>
          <w:lang w:eastAsia="zh-CN"/>
        </w:rPr>
      </w:pPr>
    </w:p>
    <w:p w14:paraId="09F13F40">
      <w:pPr>
        <w:spacing w:line="241" w:lineRule="auto"/>
        <w:rPr>
          <w:lang w:eastAsia="zh-CN"/>
        </w:rPr>
      </w:pPr>
    </w:p>
    <w:p w14:paraId="6E8C2FBB">
      <w:pPr>
        <w:spacing w:line="241" w:lineRule="auto"/>
        <w:rPr>
          <w:lang w:eastAsia="zh-CN"/>
        </w:rPr>
      </w:pPr>
    </w:p>
    <w:p w14:paraId="6F53F104">
      <w:pPr>
        <w:spacing w:line="241" w:lineRule="auto"/>
        <w:rPr>
          <w:lang w:eastAsia="zh-CN"/>
        </w:rPr>
      </w:pPr>
    </w:p>
    <w:p w14:paraId="02443CB7">
      <w:pPr>
        <w:spacing w:line="241" w:lineRule="auto"/>
        <w:rPr>
          <w:lang w:eastAsia="zh-CN"/>
        </w:rPr>
      </w:pPr>
    </w:p>
    <w:p w14:paraId="5F3EE428">
      <w:pPr>
        <w:spacing w:line="241" w:lineRule="auto"/>
        <w:rPr>
          <w:lang w:eastAsia="zh-CN"/>
        </w:rPr>
      </w:pPr>
    </w:p>
    <w:p w14:paraId="3CA0A847">
      <w:pPr>
        <w:spacing w:line="241" w:lineRule="auto"/>
        <w:rPr>
          <w:lang w:eastAsia="zh-CN"/>
        </w:rPr>
      </w:pPr>
    </w:p>
    <w:p w14:paraId="3FBC33CF">
      <w:pPr>
        <w:spacing w:line="241" w:lineRule="auto"/>
        <w:rPr>
          <w:lang w:eastAsia="zh-CN"/>
        </w:rPr>
      </w:pPr>
    </w:p>
    <w:p w14:paraId="7FF9B666">
      <w:pPr>
        <w:spacing w:line="241" w:lineRule="auto"/>
        <w:rPr>
          <w:lang w:eastAsia="zh-CN"/>
        </w:rPr>
      </w:pPr>
    </w:p>
    <w:p w14:paraId="1BCBC40E">
      <w:pPr>
        <w:spacing w:line="241" w:lineRule="auto"/>
        <w:rPr>
          <w:lang w:eastAsia="zh-CN"/>
        </w:rPr>
      </w:pPr>
    </w:p>
    <w:p w14:paraId="464EEA3A">
      <w:pPr>
        <w:spacing w:line="241" w:lineRule="auto"/>
        <w:rPr>
          <w:lang w:eastAsia="zh-CN"/>
        </w:rPr>
      </w:pPr>
    </w:p>
    <w:p w14:paraId="4DFEA39F">
      <w:pPr>
        <w:spacing w:line="241" w:lineRule="auto"/>
        <w:rPr>
          <w:lang w:eastAsia="zh-CN"/>
        </w:rPr>
      </w:pPr>
    </w:p>
    <w:p w14:paraId="56A413A5">
      <w:pPr>
        <w:spacing w:line="241" w:lineRule="auto"/>
        <w:rPr>
          <w:lang w:eastAsia="zh-CN"/>
        </w:rPr>
      </w:pPr>
    </w:p>
    <w:p w14:paraId="371BB5D7">
      <w:pPr>
        <w:spacing w:line="241" w:lineRule="auto"/>
        <w:rPr>
          <w:lang w:eastAsia="zh-CN"/>
        </w:rPr>
      </w:pPr>
    </w:p>
    <w:p w14:paraId="4DF60A04">
      <w:pPr>
        <w:spacing w:line="241" w:lineRule="auto"/>
        <w:rPr>
          <w:lang w:eastAsia="zh-CN"/>
        </w:rPr>
      </w:pPr>
    </w:p>
    <w:p w14:paraId="63168D30">
      <w:pPr>
        <w:spacing w:line="241" w:lineRule="auto"/>
        <w:rPr>
          <w:lang w:eastAsia="zh-CN"/>
        </w:rPr>
      </w:pPr>
    </w:p>
    <w:p w14:paraId="3BD11BA2">
      <w:pPr>
        <w:spacing w:line="241" w:lineRule="auto"/>
        <w:rPr>
          <w:lang w:eastAsia="zh-CN"/>
        </w:rPr>
      </w:pPr>
    </w:p>
    <w:p w14:paraId="206AE571">
      <w:pPr>
        <w:spacing w:line="241" w:lineRule="auto"/>
        <w:rPr>
          <w:lang w:eastAsia="zh-CN"/>
        </w:rPr>
      </w:pPr>
    </w:p>
    <w:p w14:paraId="6597B38E">
      <w:pPr>
        <w:pStyle w:val="2"/>
        <w:spacing w:before="78" w:line="231" w:lineRule="auto"/>
        <w:ind w:left="1814"/>
        <w:rPr>
          <w:b/>
          <w:sz w:val="24"/>
          <w:szCs w:val="24"/>
          <w:lang w:eastAsia="zh-CN"/>
        </w:rPr>
      </w:pPr>
      <w:r>
        <w:rPr>
          <w:rFonts w:hint="eastAsia"/>
          <w:spacing w:val="-20"/>
          <w:sz w:val="24"/>
          <w:szCs w:val="24"/>
          <w:lang w:eastAsia="zh-CN"/>
        </w:rPr>
        <w:t xml:space="preserve">            </w:t>
      </w:r>
      <w:r>
        <w:rPr>
          <w:rFonts w:hint="eastAsia"/>
          <w:b/>
          <w:spacing w:val="-20"/>
          <w:sz w:val="24"/>
          <w:szCs w:val="24"/>
          <w:lang w:eastAsia="zh-CN"/>
        </w:rPr>
        <w:t xml:space="preserve">    </w:t>
      </w:r>
      <w:r>
        <w:rPr>
          <w:b/>
          <w:spacing w:val="-20"/>
          <w:sz w:val="24"/>
          <w:szCs w:val="24"/>
          <w:lang w:eastAsia="zh-CN"/>
        </w:rPr>
        <w:t>部门( 单位 )名称 ：</w:t>
      </w:r>
      <w:r>
        <w:rPr>
          <w:b/>
          <w:spacing w:val="-20"/>
          <w:position w:val="-2"/>
          <w:sz w:val="24"/>
          <w:szCs w:val="24"/>
          <w:u w:val="single"/>
          <w:lang w:eastAsia="zh-CN"/>
        </w:rPr>
        <w:t xml:space="preserve">   (盖章)</w:t>
      </w:r>
    </w:p>
    <w:p w14:paraId="1DB6DCB9">
      <w:pPr>
        <w:pStyle w:val="2"/>
        <w:spacing w:before="271" w:line="602" w:lineRule="exact"/>
        <w:ind w:left="3024"/>
        <w:rPr>
          <w:b/>
          <w:sz w:val="24"/>
          <w:szCs w:val="24"/>
          <w:lang w:eastAsia="zh-CN"/>
        </w:rPr>
      </w:pPr>
      <w:r>
        <w:rPr>
          <w:rFonts w:hint="eastAsia"/>
          <w:b/>
          <w:spacing w:val="-16"/>
          <w:position w:val="27"/>
          <w:sz w:val="24"/>
          <w:szCs w:val="24"/>
          <w:lang w:eastAsia="zh-CN"/>
        </w:rPr>
        <w:t xml:space="preserve">         2024</w:t>
      </w:r>
      <w:r>
        <w:rPr>
          <w:b/>
          <w:spacing w:val="-16"/>
          <w:position w:val="27"/>
          <w:sz w:val="24"/>
          <w:szCs w:val="24"/>
          <w:lang w:eastAsia="zh-CN"/>
        </w:rPr>
        <w:t>年</w:t>
      </w:r>
      <w:r>
        <w:rPr>
          <w:rFonts w:hint="eastAsia"/>
          <w:b/>
          <w:spacing w:val="-16"/>
          <w:position w:val="27"/>
          <w:sz w:val="24"/>
          <w:szCs w:val="24"/>
          <w:lang w:eastAsia="zh-CN"/>
        </w:rPr>
        <w:t>5</w:t>
      </w:r>
      <w:r>
        <w:rPr>
          <w:b/>
          <w:spacing w:val="-16"/>
          <w:position w:val="27"/>
          <w:sz w:val="24"/>
          <w:szCs w:val="24"/>
          <w:lang w:eastAsia="zh-CN"/>
        </w:rPr>
        <w:t>月</w:t>
      </w:r>
      <w:r>
        <w:rPr>
          <w:rFonts w:hint="eastAsia"/>
          <w:b/>
          <w:spacing w:val="-16"/>
          <w:position w:val="27"/>
          <w:sz w:val="24"/>
          <w:szCs w:val="24"/>
          <w:lang w:eastAsia="zh-CN"/>
        </w:rPr>
        <w:t>21</w:t>
      </w:r>
      <w:r>
        <w:rPr>
          <w:b/>
          <w:spacing w:val="-16"/>
          <w:position w:val="27"/>
          <w:sz w:val="24"/>
          <w:szCs w:val="24"/>
          <w:lang w:eastAsia="zh-CN"/>
        </w:rPr>
        <w:t>日</w:t>
      </w:r>
    </w:p>
    <w:p w14:paraId="3970C43F">
      <w:pPr>
        <w:pStyle w:val="2"/>
        <w:spacing w:before="1" w:line="223" w:lineRule="auto"/>
        <w:ind w:left="3125"/>
        <w:rPr>
          <w:sz w:val="24"/>
          <w:szCs w:val="24"/>
          <w:lang w:eastAsia="zh-CN"/>
        </w:rPr>
      </w:pPr>
    </w:p>
    <w:p w14:paraId="38121741">
      <w:pPr>
        <w:spacing w:line="223" w:lineRule="auto"/>
        <w:rPr>
          <w:sz w:val="24"/>
          <w:szCs w:val="24"/>
          <w:lang w:eastAsia="zh-CN"/>
        </w:rPr>
        <w:sectPr>
          <w:pgSz w:w="11900" w:h="16840"/>
          <w:pgMar w:top="1430" w:right="1785" w:bottom="400" w:left="1785" w:header="0" w:footer="0" w:gutter="0"/>
          <w:cols w:space="720" w:num="1"/>
        </w:sectPr>
      </w:pPr>
    </w:p>
    <w:p w14:paraId="18647486">
      <w:pPr>
        <w:spacing w:line="300" w:lineRule="auto"/>
        <w:rPr>
          <w:lang w:eastAsia="zh-CN"/>
        </w:rPr>
      </w:pPr>
    </w:p>
    <w:p w14:paraId="10BA1F01">
      <w:pPr>
        <w:spacing w:before="134" w:line="221" w:lineRule="auto"/>
        <w:ind w:left="2315"/>
        <w:rPr>
          <w:rFonts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14:paraId="084368CA">
      <w:pPr>
        <w:spacing w:before="212" w:line="227" w:lineRule="auto"/>
        <w:ind w:left="3670"/>
        <w:rPr>
          <w:rFonts w:ascii="楷体" w:hAnsi="楷体" w:eastAsia="楷体" w:cs="楷体"/>
          <w:sz w:val="30"/>
          <w:szCs w:val="30"/>
          <w:lang w:eastAsia="zh-CN"/>
        </w:rPr>
      </w:pPr>
    </w:p>
    <w:p w14:paraId="7FD12092">
      <w:pPr>
        <w:spacing w:before="176" w:line="222" w:lineRule="auto"/>
        <w:ind w:left="534"/>
        <w:outlineLvl w:val="1"/>
        <w:rPr>
          <w:rFonts w:hint="eastAsia" w:ascii="黑体" w:hAnsi="黑体" w:eastAsia="黑体" w:cs="黑体"/>
          <w:b/>
          <w:bCs/>
          <w:spacing w:val="-8"/>
          <w:sz w:val="30"/>
          <w:szCs w:val="30"/>
          <w:lang w:eastAsia="zh-CN"/>
        </w:rPr>
      </w:pPr>
      <w:r>
        <w:rPr>
          <w:rFonts w:ascii="黑体" w:hAnsi="黑体" w:eastAsia="黑体" w:cs="黑体"/>
          <w:b/>
          <w:bCs/>
          <w:spacing w:val="-8"/>
          <w:sz w:val="30"/>
          <w:szCs w:val="30"/>
          <w:lang w:eastAsia="zh-CN"/>
        </w:rPr>
        <w:t>一、项目支出基本情况</w:t>
      </w:r>
    </w:p>
    <w:p w14:paraId="35E6BE0F">
      <w:pPr>
        <w:shd w:val="clear" w:color="auto" w:fill="FFFFFF"/>
        <w:spacing w:line="441" w:lineRule="atLeast"/>
        <w:rPr>
          <w:rFonts w:ascii="宋体" w:hAnsi="宋体" w:eastAsia="宋体" w:cs="宋体"/>
          <w:sz w:val="30"/>
          <w:szCs w:val="30"/>
          <w:lang w:eastAsia="zh-CN"/>
        </w:rPr>
      </w:pPr>
      <w:r>
        <w:rPr>
          <w:rFonts w:hint="eastAsia" w:eastAsiaTheme="minorEastAsia"/>
          <w:spacing w:val="2"/>
          <w:sz w:val="30"/>
          <w:szCs w:val="30"/>
          <w:lang w:eastAsia="zh-CN"/>
        </w:rPr>
        <w:t xml:space="preserve">     </w:t>
      </w:r>
      <w:r>
        <w:rPr>
          <w:spacing w:val="2"/>
          <w:sz w:val="30"/>
          <w:szCs w:val="30"/>
          <w:lang w:eastAsia="zh-CN"/>
        </w:rPr>
        <w:t>主要包括项目支出决策背景及其主要内容。</w:t>
      </w:r>
      <w:r>
        <w:rPr>
          <w:rFonts w:hint="eastAsia" w:ascii="宋体" w:hAnsi="宋体" w:eastAsia="宋体" w:cs="宋体"/>
          <w:sz w:val="30"/>
          <w:szCs w:val="30"/>
          <w:lang w:eastAsia="zh-CN"/>
        </w:rPr>
        <w:t>（一）、收藏展览屈原文物、弘扬爱国主义精神、屈原文物收集修复保护，屈原文物展览，屈原文物及相关研究、屈原文物宣传、屈原国际文化交流。</w:t>
      </w:r>
    </w:p>
    <w:p w14:paraId="56A6533B">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lang w:eastAsia="zh-CN"/>
        </w:rPr>
        <w:t>(一)项目支出概况。</w:t>
      </w:r>
    </w:p>
    <w:p w14:paraId="2C8E6E43">
      <w:pPr>
        <w:spacing w:line="560"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本项目年初预算为0万元，支出决算为70万元。其中：办公费支出7万元，占该项目总支出的1%；专用材料费支出45万元，占该项目总支出64.28%，劳务费支出5万元，占该项目总支出的7.14%，委托业务费支出10万元，占该项目总支出的14.28%，其他商品和服务支出3万元，占该项目总支出的4.28%。</w:t>
      </w:r>
    </w:p>
    <w:p w14:paraId="72938734">
      <w:pPr>
        <w:shd w:val="clear" w:color="auto" w:fill="FFFFFF"/>
        <w:spacing w:line="441" w:lineRule="atLeast"/>
        <w:ind w:firstLine="600"/>
        <w:rPr>
          <w:rFonts w:ascii="黑体" w:hAnsi="黑体" w:eastAsia="黑体" w:cs="黑体"/>
          <w:b/>
          <w:bCs/>
          <w:spacing w:val="2"/>
          <w:sz w:val="30"/>
          <w:szCs w:val="30"/>
          <w:lang w:eastAsia="zh-CN"/>
        </w:rPr>
      </w:pPr>
      <w:r>
        <w:rPr>
          <w:rFonts w:ascii="黑体" w:hAnsi="黑体" w:eastAsia="黑体" w:cs="黑体"/>
          <w:b/>
          <w:bCs/>
          <w:spacing w:val="2"/>
          <w:sz w:val="30"/>
          <w:szCs w:val="30"/>
          <w:lang w:eastAsia="zh-CN"/>
        </w:rPr>
        <w:t>(二)项目资金使用管理情况。</w:t>
      </w:r>
    </w:p>
    <w:p w14:paraId="2A6F513B">
      <w:pPr>
        <w:shd w:val="clear" w:color="auto" w:fill="FFFFFF"/>
        <w:spacing w:line="441" w:lineRule="atLeast"/>
        <w:ind w:firstLine="600"/>
        <w:rPr>
          <w:rFonts w:ascii="仿宋" w:hAnsi="仿宋" w:eastAsia="仿宋" w:cs="仿宋"/>
          <w:spacing w:val="1"/>
          <w:sz w:val="30"/>
          <w:szCs w:val="30"/>
          <w:lang w:eastAsia="zh-CN"/>
        </w:rPr>
      </w:pPr>
      <w:r>
        <w:rPr>
          <w:rFonts w:hint="eastAsia" w:ascii="宋体" w:hAnsi="宋体" w:eastAsia="宋体" w:cs="宋体"/>
          <w:sz w:val="30"/>
          <w:szCs w:val="30"/>
          <w:lang w:eastAsia="zh-CN"/>
        </w:rPr>
        <w:t>我</w:t>
      </w:r>
      <w:r>
        <w:rPr>
          <w:rFonts w:hint="eastAsia" w:ascii="仿宋" w:hAnsi="仿宋" w:eastAsia="仿宋" w:cs="仿宋"/>
          <w:spacing w:val="1"/>
          <w:sz w:val="30"/>
          <w:szCs w:val="30"/>
          <w:lang w:eastAsia="zh-CN"/>
        </w:rPr>
        <w:t>部门组织对2023年度一般公共预算项目支出全面开展绩效自评，其中，一级项目2个，二级项目0个，共涉及资金70万元，占一般公共预算项目支出总额的100%。2023年度我部门无政府性基金预算项目支出、无国有资本经营预算支出，对2023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14:paraId="6C493E84">
      <w:pPr>
        <w:pStyle w:val="2"/>
        <w:spacing w:line="560" w:lineRule="exact"/>
        <w:ind w:firstLine="604" w:firstLineChars="200"/>
        <w:rPr>
          <w:spacing w:val="1"/>
          <w:sz w:val="30"/>
          <w:szCs w:val="30"/>
          <w:lang w:eastAsia="zh-CN"/>
        </w:rPr>
      </w:pPr>
      <w:r>
        <w:rPr>
          <w:rFonts w:hint="eastAsia"/>
          <w:spacing w:val="1"/>
          <w:sz w:val="30"/>
          <w:szCs w:val="30"/>
          <w:lang w:eastAsia="zh-CN"/>
        </w:rPr>
        <w:t>组织对“中宣部免费开放资金 ”等1个项目开展了部门评价为进一步规范财政资金管理，强化绩效和责任意识，切实提高财政资金使用效益，根据财政预算管理要求及省财政单位的统一部署，我单位对2023年度部门整体支出认真开展绩效自评，按财政要求及时报送了《汨罗市屈原纪念馆2023年度部门整体支出绩效评价报告》等相关表格及佐证资料。涉及一般公共预算支出70元，政府性基金预算支出0万元，国有资本经营预算支出0万元。从评价情况来看，纪念馆开放项目进度实施，发挥了全国爱国主义职能,据统计自2020年11月，纪念馆共接待往来游客约40万人次，推动了我市文旅事业有序复苏、健康发展。根据上级部门通知要求，我馆在确保游客生命健康安全的前提下，严格制定和落实新冠肺炎防控措施，为加强爱国主义红色教育基地建设，提升纪念馆服务水平进行了全面修复升级维护现已基本完成了工作，参观更为便捷、智能满足了游客个性需求。项目立项程序完整、规范，绩效目标明确合理，预算执行及时有效，为有关部门决策提供了较为有力的支撑，绩效目标得到较好实现。专项资金的管理和使用应当严格执行国家有关法律法规、财务规章制度和本办法的规定，并接受本级纪检、财政、审计和上级文化旅游文物主管部门的监督检查。</w:t>
      </w:r>
    </w:p>
    <w:p w14:paraId="78245D8F">
      <w:pPr>
        <w:spacing w:line="560" w:lineRule="exact"/>
        <w:ind w:firstLine="604" w:firstLineChars="200"/>
        <w:jc w:val="both"/>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项目资金的使用必须纳入单位“三重一大”议事内容。相关讨论研究会议要邀请纪检组和局分管线领导参加集体审议。项目资金拨付由文化馆会同财政局联合审批。项目资金使用情况纳入单位主要负责人离任审计重点内容。</w:t>
      </w:r>
    </w:p>
    <w:p w14:paraId="4B2A2C7E">
      <w:pPr>
        <w:pStyle w:val="2"/>
        <w:spacing w:before="221" w:line="571" w:lineRule="exact"/>
        <w:ind w:left="534"/>
        <w:rPr>
          <w:rFonts w:ascii="黑体" w:hAnsi="黑体" w:eastAsia="黑体" w:cs="黑体"/>
          <w:b/>
          <w:bCs/>
          <w:spacing w:val="-3"/>
          <w:position w:val="20"/>
          <w:sz w:val="30"/>
          <w:szCs w:val="30"/>
          <w:lang w:eastAsia="zh-CN"/>
        </w:rPr>
      </w:pPr>
      <w:r>
        <w:rPr>
          <w:rFonts w:ascii="黑体" w:hAnsi="黑体" w:eastAsia="黑体" w:cs="黑体"/>
          <w:b/>
          <w:bCs/>
          <w:spacing w:val="-3"/>
          <w:position w:val="20"/>
          <w:sz w:val="30"/>
          <w:szCs w:val="30"/>
          <w:lang w:eastAsia="zh-CN"/>
        </w:rPr>
        <w:t>(三)项目支出绩效目标完成程度</w:t>
      </w:r>
    </w:p>
    <w:p w14:paraId="2339ECA8">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 xml:space="preserve">  </w:t>
      </w:r>
      <w:r>
        <w:rPr>
          <w:rFonts w:hint="eastAsia" w:ascii="仿宋" w:hAnsi="仿宋" w:eastAsia="仿宋" w:cs="仿宋"/>
          <w:spacing w:val="1"/>
          <w:sz w:val="30"/>
          <w:szCs w:val="30"/>
          <w:lang w:eastAsia="zh-CN"/>
        </w:rPr>
        <w:t>项目全年预算数为70万元，执行数为70万元，完成预算的100%。</w:t>
      </w:r>
    </w:p>
    <w:p w14:paraId="6822E7C1">
      <w:pPr>
        <w:spacing w:before="201" w:line="221" w:lineRule="auto"/>
        <w:ind w:left="534"/>
        <w:outlineLvl w:val="1"/>
        <w:rPr>
          <w:rFonts w:ascii="黑体" w:hAnsi="黑体" w:eastAsia="黑体" w:cs="黑体"/>
          <w:b/>
          <w:bCs/>
          <w:spacing w:val="-11"/>
          <w:sz w:val="30"/>
          <w:szCs w:val="30"/>
          <w:lang w:eastAsia="zh-CN"/>
        </w:rPr>
      </w:pPr>
      <w:r>
        <w:rPr>
          <w:rFonts w:ascii="黑体" w:hAnsi="黑体" w:eastAsia="黑体" w:cs="黑体"/>
          <w:b/>
          <w:bCs/>
          <w:spacing w:val="-11"/>
          <w:sz w:val="30"/>
          <w:szCs w:val="30"/>
          <w:lang w:eastAsia="zh-CN"/>
        </w:rPr>
        <w:t>二、绩效评价工作情况</w:t>
      </w:r>
    </w:p>
    <w:p w14:paraId="73A23BC4">
      <w:pPr>
        <w:shd w:val="clear" w:color="auto" w:fill="FFFFFF"/>
        <w:spacing w:line="441" w:lineRule="atLeast"/>
        <w:ind w:firstLine="60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项目绩效目标完成情况：一是红色教育基地屈原纪念馆相继被授予“全国爱国主义教育示范基地”“湖南省青少年爱国主义教育基地 ”等称号；二是作为爱国主义教育和“红色文化”的重要传播基地，我馆将继续坚守红色初心，践得革命精神，丰富文化自信，更好更优地发挥爱国主义教育职能，并对社会贡献一份红色力量。</w:t>
      </w:r>
    </w:p>
    <w:p w14:paraId="25AF06E6">
      <w:pPr>
        <w:spacing w:before="206" w:line="221" w:lineRule="auto"/>
        <w:ind w:left="530"/>
        <w:rPr>
          <w:rFonts w:ascii="黑体" w:hAnsi="黑体" w:eastAsia="黑体" w:cs="黑体"/>
          <w:spacing w:val="-9"/>
          <w:sz w:val="30"/>
          <w:szCs w:val="30"/>
          <w:lang w:eastAsia="zh-CN"/>
        </w:rPr>
      </w:pPr>
      <w:r>
        <w:rPr>
          <w:rFonts w:ascii="黑体" w:hAnsi="黑体" w:eastAsia="黑体" w:cs="黑体"/>
          <w:spacing w:val="-9"/>
          <w:sz w:val="30"/>
          <w:szCs w:val="30"/>
          <w:lang w:eastAsia="zh-CN"/>
        </w:rPr>
        <w:t>三 、项目支出主要绩效及评价结论</w:t>
      </w:r>
    </w:p>
    <w:p w14:paraId="5D1D8CC9">
      <w:pPr>
        <w:spacing w:before="206" w:line="221" w:lineRule="auto"/>
        <w:ind w:left="53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中宣部免费开放资金项目绩效自评综述：根据年初设定的绩效目标</w:t>
      </w:r>
    </w:p>
    <w:p w14:paraId="4E6F11E9">
      <w:pPr>
        <w:spacing w:before="206" w:line="221" w:lineRule="auto"/>
        <w:ind w:left="53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项目绩效自评得分为98分。</w:t>
      </w:r>
    </w:p>
    <w:p w14:paraId="11A6198F">
      <w:pPr>
        <w:spacing w:before="201" w:line="580" w:lineRule="exact"/>
        <w:ind w:left="530"/>
        <w:rPr>
          <w:rFonts w:ascii="黑体" w:hAnsi="黑体" w:eastAsia="黑体" w:cs="黑体"/>
          <w:sz w:val="30"/>
          <w:szCs w:val="30"/>
          <w:lang w:eastAsia="zh-CN"/>
        </w:rPr>
      </w:pPr>
      <w:r>
        <w:rPr>
          <w:rFonts w:ascii="黑体" w:hAnsi="黑体" w:eastAsia="黑体" w:cs="黑体"/>
          <w:spacing w:val="-15"/>
          <w:position w:val="20"/>
          <w:sz w:val="30"/>
          <w:szCs w:val="30"/>
          <w:lang w:eastAsia="zh-CN"/>
        </w:rPr>
        <w:t>四、绩效评价指标分析</w:t>
      </w:r>
    </w:p>
    <w:p w14:paraId="24FC571C">
      <w:pPr>
        <w:pStyle w:val="2"/>
        <w:spacing w:line="222" w:lineRule="auto"/>
        <w:ind w:left="619"/>
        <w:rPr>
          <w:spacing w:val="1"/>
          <w:sz w:val="30"/>
          <w:szCs w:val="30"/>
          <w:lang w:eastAsia="zh-CN"/>
        </w:rPr>
      </w:pPr>
      <w:r>
        <w:rPr>
          <w:spacing w:val="1"/>
          <w:sz w:val="30"/>
          <w:szCs w:val="30"/>
          <w:lang w:eastAsia="zh-CN"/>
        </w:rPr>
        <w:t>(一)项目支出决策情况</w:t>
      </w:r>
    </w:p>
    <w:p w14:paraId="6177C7DF">
      <w:pPr>
        <w:shd w:val="clear" w:color="auto" w:fill="FFFFFF"/>
        <w:spacing w:line="441" w:lineRule="atLeast"/>
        <w:rPr>
          <w:rFonts w:ascii="仿宋" w:hAnsi="仿宋" w:eastAsia="仿宋" w:cs="仿宋"/>
          <w:spacing w:val="1"/>
          <w:sz w:val="30"/>
          <w:szCs w:val="30"/>
          <w:lang w:eastAsia="zh-CN"/>
        </w:rPr>
      </w:pPr>
      <w:r>
        <w:rPr>
          <w:rFonts w:hint="eastAsia" w:ascii="仿宋" w:hAnsi="仿宋" w:eastAsia="仿宋" w:cs="仿宋"/>
          <w:sz w:val="30"/>
          <w:szCs w:val="30"/>
          <w:lang w:eastAsia="zh-CN"/>
        </w:rPr>
        <w:t xml:space="preserve">    </w:t>
      </w:r>
      <w:r>
        <w:rPr>
          <w:rFonts w:ascii="仿宋" w:hAnsi="仿宋" w:eastAsia="仿宋" w:cs="仿宋"/>
          <w:spacing w:val="1"/>
          <w:sz w:val="30"/>
          <w:szCs w:val="30"/>
          <w:lang w:eastAsia="zh-CN"/>
        </w:rPr>
        <w:t>根据《项目支出绩效评价办法》（财预〔2020〕10号）中《项目支出绩效评价报告（参考提纲）》、《湖南省预算支出绩效评价管理办法》（湘财绩〔2020〕7号），</w:t>
      </w:r>
      <w:r>
        <w:rPr>
          <w:rFonts w:hint="eastAsia" w:ascii="仿宋" w:hAnsi="仿宋" w:eastAsia="仿宋" w:cs="仿宋"/>
          <w:spacing w:val="1"/>
          <w:sz w:val="30"/>
          <w:szCs w:val="30"/>
          <w:lang w:eastAsia="zh-CN"/>
        </w:rPr>
        <w:t>根据《项目支出绩效评价办法》（财预〔2020〕10号）中《项目支出绩效评价报告（参考提纲）》、《湖南省预算支出绩效评价管理办法》（湘财绩〔2020〕7号），“图书馆免费开放经费项目”，该项目绩效评价综合得分98分，绩效评价结果为“优”，绩效评价报告详见附件。</w:t>
      </w:r>
    </w:p>
    <w:p w14:paraId="7E41AAE7">
      <w:pPr>
        <w:pStyle w:val="2"/>
        <w:spacing w:before="206" w:line="221" w:lineRule="auto"/>
        <w:ind w:left="619"/>
        <w:rPr>
          <w:spacing w:val="-4"/>
          <w:sz w:val="30"/>
          <w:szCs w:val="30"/>
          <w:lang w:eastAsia="zh-CN"/>
        </w:rPr>
      </w:pPr>
      <w:r>
        <w:rPr>
          <w:spacing w:val="1"/>
          <w:sz w:val="30"/>
          <w:szCs w:val="30"/>
          <w:lang w:eastAsia="zh-CN"/>
        </w:rPr>
        <w:t>(</w:t>
      </w:r>
      <w:r>
        <w:rPr>
          <w:spacing w:val="-4"/>
          <w:sz w:val="30"/>
          <w:szCs w:val="30"/>
          <w:lang w:eastAsia="zh-CN"/>
        </w:rPr>
        <w:t>二)项目执行过程情况</w:t>
      </w:r>
    </w:p>
    <w:p w14:paraId="5EB2BAFD">
      <w:pPr>
        <w:shd w:val="clear" w:color="auto" w:fill="FFFFFF"/>
        <w:spacing w:line="435" w:lineRule="atLeast"/>
        <w:ind w:firstLine="54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1、展示工程顺利推进。完成了神龛、雕塑、沙盘、疆域图等定制产品的设计定型。完成了所有电子屏展示内容的审定。启动了神龛后移工程，完成了电子屏的采购。完成了复原陈列件的采购。预计十月底可以全面完工。</w:t>
      </w:r>
    </w:p>
    <w:p w14:paraId="79D50929">
      <w:pPr>
        <w:shd w:val="clear" w:color="auto" w:fill="FFFFFF"/>
        <w:spacing w:line="435" w:lineRule="atLeast"/>
        <w:ind w:firstLine="54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2、安防工程于4月6日顺利通过岳阳市局专家领导初验，已申请省局终验，预计7月份完成。</w:t>
      </w:r>
    </w:p>
    <w:p w14:paraId="31ACC822">
      <w:pPr>
        <w:shd w:val="clear" w:color="auto" w:fill="FFFFFF"/>
        <w:spacing w:line="435" w:lineRule="atLeast"/>
        <w:ind w:firstLine="54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3、白蚁防治工程已完工百分之八十，白蚁检测设备正在定制中，预计7月底安装完毕。</w:t>
      </w:r>
    </w:p>
    <w:p w14:paraId="211693E7">
      <w:pPr>
        <w:shd w:val="clear" w:color="auto" w:fill="FFFFFF"/>
        <w:spacing w:line="435" w:lineRule="atLeast"/>
        <w:ind w:firstLine="54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4、配合市纪委完成了廉洁基地建设。目前交付我馆使用。</w:t>
      </w:r>
    </w:p>
    <w:p w14:paraId="28361DB4">
      <w:pPr>
        <w:shd w:val="clear" w:color="auto" w:fill="FFFFFF"/>
        <w:spacing w:line="435" w:lineRule="atLeast"/>
        <w:ind w:firstLine="54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5、屈原碑林修缮工程于6月份完工，目前已交付我馆使用。</w:t>
      </w:r>
    </w:p>
    <w:p w14:paraId="76E70448">
      <w:pPr>
        <w:pStyle w:val="2"/>
        <w:spacing w:before="194" w:line="222" w:lineRule="auto"/>
        <w:ind w:left="619"/>
        <w:rPr>
          <w:spacing w:val="1"/>
          <w:sz w:val="30"/>
          <w:szCs w:val="30"/>
          <w:lang w:eastAsia="zh-CN"/>
        </w:rPr>
      </w:pPr>
      <w:r>
        <w:rPr>
          <w:spacing w:val="1"/>
          <w:sz w:val="30"/>
          <w:szCs w:val="30"/>
          <w:lang w:eastAsia="zh-CN"/>
        </w:rPr>
        <w:t>(三)项目支出产出情况</w:t>
      </w:r>
    </w:p>
    <w:p w14:paraId="1D2D69FA">
      <w:pPr>
        <w:shd w:val="clear" w:color="auto" w:fill="FFFFFF"/>
        <w:spacing w:line="441" w:lineRule="atLeast"/>
        <w:ind w:firstLine="60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本次项目支出绩效评价，按项目产出和效果的逻辑模型，设定3个一级指标（产出、效益、满意度）、9个二级指标（数量指标、质量指标、时效指标、成本指标）我部门组织对2023年度一般公共预算项目支出全面开展绩效自评，其中，一级项目2个，二级项目0个，共涉及资金70万元，占一般公共预算项目支出总额的100%。2023年度我部门无政府性基金预算项目支出、无国有资本经营预算支出，对2023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14:paraId="61E8BD6A">
      <w:pPr>
        <w:pStyle w:val="2"/>
        <w:spacing w:before="220" w:line="222" w:lineRule="auto"/>
        <w:ind w:left="619"/>
        <w:rPr>
          <w:sz w:val="30"/>
          <w:szCs w:val="30"/>
          <w:lang w:eastAsia="zh-CN"/>
        </w:rPr>
      </w:pPr>
      <w:r>
        <w:rPr>
          <w:spacing w:val="1"/>
          <w:sz w:val="30"/>
          <w:szCs w:val="30"/>
          <w:lang w:eastAsia="zh-CN"/>
        </w:rPr>
        <w:t>(四)项目支出效益情况</w:t>
      </w:r>
    </w:p>
    <w:p w14:paraId="63EFA74F">
      <w:pPr>
        <w:spacing w:before="154" w:line="222" w:lineRule="auto"/>
        <w:ind w:left="534"/>
        <w:outlineLvl w:val="1"/>
        <w:rPr>
          <w:rFonts w:ascii="黑体" w:hAnsi="黑体" w:eastAsia="黑体" w:cs="黑体"/>
          <w:sz w:val="30"/>
          <w:szCs w:val="30"/>
          <w:lang w:eastAsia="zh-CN"/>
        </w:rPr>
      </w:pPr>
      <w:r>
        <w:rPr>
          <w:rFonts w:ascii="黑体" w:hAnsi="黑体" w:eastAsia="黑体" w:cs="黑体"/>
          <w:b/>
          <w:bCs/>
          <w:spacing w:val="-14"/>
          <w:sz w:val="30"/>
          <w:szCs w:val="30"/>
          <w:lang w:eastAsia="zh-CN"/>
        </w:rPr>
        <w:t>五、主要经验及做法、存在的问题及原因分析</w:t>
      </w:r>
    </w:p>
    <w:p w14:paraId="4E1AEF63">
      <w:pPr>
        <w:shd w:val="clear" w:color="auto" w:fill="FFFFFF"/>
        <w:spacing w:line="441" w:lineRule="atLeast"/>
        <w:ind w:firstLine="60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发现的主要问题及原因：一是纪念馆、广场面向全体大众开放，参观人数增加，人口流动性大各种设施的维修维护卫生处理、安全保卫任务加重；二是解说人员只有2名，无法满足每天有人解说要求，没有专职保安人员无法保障安全巡视。下一步改进措施：一是加强馆内业务培训；二是提高服务质量，三是提高绩效指标设置的准确性，提高屈原纪念馆工作的满意度。</w:t>
      </w:r>
    </w:p>
    <w:p w14:paraId="659384EA">
      <w:pPr>
        <w:spacing w:before="210" w:line="222" w:lineRule="auto"/>
        <w:ind w:left="530"/>
        <w:rPr>
          <w:rFonts w:ascii="黑体" w:hAnsi="黑体" w:eastAsia="黑体" w:cs="黑体"/>
          <w:spacing w:val="-14"/>
          <w:sz w:val="30"/>
          <w:szCs w:val="30"/>
          <w:lang w:eastAsia="zh-CN"/>
        </w:rPr>
      </w:pPr>
      <w:r>
        <w:rPr>
          <w:rFonts w:ascii="黑体" w:hAnsi="黑体" w:eastAsia="黑体" w:cs="黑体"/>
          <w:spacing w:val="-14"/>
          <w:sz w:val="30"/>
          <w:szCs w:val="30"/>
          <w:lang w:eastAsia="zh-CN"/>
        </w:rPr>
        <w:t>六、有关建议</w:t>
      </w:r>
    </w:p>
    <w:p w14:paraId="0D314B3B">
      <w:pPr>
        <w:shd w:val="clear" w:color="auto" w:fill="FFFFFF"/>
        <w:spacing w:line="435" w:lineRule="atLeast"/>
        <w:rPr>
          <w:rFonts w:ascii="仿宋" w:hAnsi="仿宋" w:eastAsia="仿宋" w:cs="仿宋"/>
          <w:spacing w:val="1"/>
          <w:sz w:val="30"/>
          <w:szCs w:val="30"/>
          <w:lang w:eastAsia="zh-CN"/>
        </w:rPr>
      </w:pPr>
      <w:r>
        <w:rPr>
          <w:rFonts w:eastAsia="宋体"/>
          <w:color w:val="1F1F1F"/>
          <w:sz w:val="27"/>
          <w:szCs w:val="27"/>
          <w:lang w:eastAsia="zh-CN"/>
        </w:rPr>
        <w:t>　</w:t>
      </w:r>
      <w:r>
        <w:rPr>
          <w:rFonts w:hint="eastAsia" w:eastAsia="宋体"/>
          <w:color w:val="1F1F1F"/>
          <w:sz w:val="27"/>
          <w:szCs w:val="27"/>
          <w:lang w:eastAsia="zh-CN"/>
        </w:rPr>
        <w:t xml:space="preserve">  </w:t>
      </w:r>
      <w:r>
        <w:rPr>
          <w:rFonts w:ascii="仿宋" w:hAnsi="仿宋" w:eastAsia="仿宋" w:cs="仿宋"/>
          <w:spacing w:val="1"/>
          <w:sz w:val="30"/>
          <w:szCs w:val="30"/>
          <w:lang w:eastAsia="zh-CN"/>
        </w:rPr>
        <w:t>请财政根据</w:t>
      </w:r>
      <w:r>
        <w:rPr>
          <w:rFonts w:hint="eastAsia" w:ascii="仿宋" w:hAnsi="仿宋" w:eastAsia="仿宋" w:cs="仿宋"/>
          <w:spacing w:val="1"/>
          <w:sz w:val="30"/>
          <w:szCs w:val="30"/>
          <w:lang w:eastAsia="zh-CN"/>
        </w:rPr>
        <w:t>汨罗市屈原纪念馆</w:t>
      </w:r>
      <w:r>
        <w:rPr>
          <w:rFonts w:ascii="仿宋" w:hAnsi="仿宋" w:eastAsia="仿宋" w:cs="仿宋"/>
          <w:spacing w:val="1"/>
          <w:sz w:val="30"/>
          <w:szCs w:val="30"/>
          <w:lang w:eastAsia="zh-CN"/>
        </w:rPr>
        <w:t>工作发展的要求和实际情况，提高年初部门预算额度，将常规项目支出纳入年度预算，保证机关正常运转。</w:t>
      </w:r>
    </w:p>
    <w:p w14:paraId="1F73AF42">
      <w:pPr>
        <w:spacing w:before="208" w:line="221" w:lineRule="auto"/>
        <w:ind w:left="530"/>
        <w:rPr>
          <w:rFonts w:ascii="黑体" w:hAnsi="黑体" w:eastAsia="黑体" w:cs="黑体"/>
          <w:sz w:val="30"/>
          <w:szCs w:val="30"/>
          <w:lang w:eastAsia="zh-CN"/>
        </w:rPr>
      </w:pPr>
      <w:r>
        <w:rPr>
          <w:rFonts w:ascii="黑体" w:hAnsi="黑体" w:eastAsia="黑体" w:cs="黑体"/>
          <w:spacing w:val="-11"/>
          <w:sz w:val="30"/>
          <w:szCs w:val="30"/>
          <w:lang w:eastAsia="zh-CN"/>
        </w:rPr>
        <w:t>七、其他需要说明的问题</w:t>
      </w:r>
    </w:p>
    <w:p w14:paraId="19695133">
      <w:pPr>
        <w:spacing w:before="49" w:line="224" w:lineRule="auto"/>
        <w:ind w:left="98"/>
        <w:rPr>
          <w:rFonts w:ascii="黑体" w:hAnsi="黑体" w:eastAsia="黑体" w:cs="黑体"/>
          <w:b/>
          <w:bCs/>
          <w:spacing w:val="26"/>
          <w:sz w:val="24"/>
          <w:szCs w:val="24"/>
          <w:lang w:eastAsia="zh-CN"/>
        </w:rPr>
      </w:pPr>
    </w:p>
    <w:p w14:paraId="148B3EF7">
      <w:pPr>
        <w:spacing w:before="49" w:line="224" w:lineRule="auto"/>
        <w:ind w:left="98"/>
        <w:rPr>
          <w:rFonts w:ascii="黑体" w:hAnsi="黑体" w:eastAsia="黑体" w:cs="黑体"/>
          <w:b/>
          <w:bCs/>
          <w:spacing w:val="26"/>
          <w:sz w:val="24"/>
          <w:szCs w:val="24"/>
          <w:lang w:eastAsia="zh-CN"/>
        </w:rPr>
      </w:pPr>
    </w:p>
    <w:p w14:paraId="7320BBF0">
      <w:pPr>
        <w:spacing w:before="49" w:line="224" w:lineRule="auto"/>
        <w:ind w:left="98"/>
        <w:rPr>
          <w:rFonts w:ascii="黑体" w:hAnsi="黑体" w:eastAsia="黑体" w:cs="黑体"/>
          <w:b/>
          <w:bCs/>
          <w:spacing w:val="26"/>
          <w:sz w:val="24"/>
          <w:szCs w:val="24"/>
          <w:lang w:eastAsia="zh-CN"/>
        </w:rPr>
      </w:pPr>
    </w:p>
    <w:p w14:paraId="461B1993">
      <w:pPr>
        <w:spacing w:before="49" w:line="224" w:lineRule="auto"/>
        <w:ind w:left="98"/>
        <w:rPr>
          <w:rFonts w:ascii="黑体" w:hAnsi="黑体" w:eastAsia="黑体" w:cs="黑体"/>
          <w:b/>
          <w:bCs/>
          <w:spacing w:val="26"/>
          <w:sz w:val="24"/>
          <w:szCs w:val="24"/>
          <w:lang w:eastAsia="zh-CN"/>
        </w:rPr>
      </w:pPr>
    </w:p>
    <w:p w14:paraId="07B17E53">
      <w:pPr>
        <w:spacing w:before="49" w:line="224" w:lineRule="auto"/>
        <w:ind w:left="98"/>
        <w:rPr>
          <w:rFonts w:ascii="黑体" w:hAnsi="黑体" w:eastAsia="黑体" w:cs="黑体"/>
          <w:b/>
          <w:bCs/>
          <w:spacing w:val="26"/>
          <w:sz w:val="24"/>
          <w:szCs w:val="24"/>
          <w:lang w:eastAsia="zh-CN"/>
        </w:rPr>
      </w:pPr>
    </w:p>
    <w:p w14:paraId="3FBEA5D1">
      <w:pPr>
        <w:spacing w:before="49" w:line="224" w:lineRule="auto"/>
        <w:ind w:left="98"/>
        <w:rPr>
          <w:rFonts w:ascii="黑体" w:hAnsi="黑体" w:eastAsia="黑体" w:cs="黑体"/>
          <w:b/>
          <w:bCs/>
          <w:spacing w:val="26"/>
          <w:sz w:val="24"/>
          <w:szCs w:val="24"/>
          <w:lang w:eastAsia="zh-CN"/>
        </w:rPr>
      </w:pPr>
    </w:p>
    <w:p w14:paraId="17B3AEF6">
      <w:pPr>
        <w:spacing w:before="49" w:line="224" w:lineRule="auto"/>
        <w:ind w:left="98"/>
        <w:rPr>
          <w:rFonts w:ascii="黑体" w:hAnsi="黑体" w:eastAsia="黑体" w:cs="黑体"/>
          <w:b/>
          <w:bCs/>
          <w:spacing w:val="26"/>
          <w:sz w:val="24"/>
          <w:szCs w:val="24"/>
          <w:lang w:eastAsia="zh-CN"/>
        </w:rPr>
      </w:pPr>
    </w:p>
    <w:p w14:paraId="0563AA7C">
      <w:pPr>
        <w:spacing w:before="49" w:line="224" w:lineRule="auto"/>
        <w:ind w:left="98"/>
        <w:rPr>
          <w:rFonts w:ascii="黑体" w:hAnsi="黑体" w:eastAsia="黑体" w:cs="黑体"/>
          <w:b/>
          <w:bCs/>
          <w:spacing w:val="26"/>
          <w:sz w:val="24"/>
          <w:szCs w:val="24"/>
          <w:lang w:eastAsia="zh-CN"/>
        </w:rPr>
      </w:pPr>
    </w:p>
    <w:p w14:paraId="70BF4C55">
      <w:pPr>
        <w:spacing w:before="49" w:line="224" w:lineRule="auto"/>
        <w:ind w:left="98"/>
        <w:rPr>
          <w:rFonts w:ascii="黑体" w:hAnsi="黑体" w:eastAsia="黑体" w:cs="黑体"/>
          <w:b/>
          <w:bCs/>
          <w:spacing w:val="26"/>
          <w:sz w:val="24"/>
          <w:szCs w:val="24"/>
          <w:lang w:eastAsia="zh-CN"/>
        </w:rPr>
      </w:pPr>
    </w:p>
    <w:p w14:paraId="3A1F135A">
      <w:pPr>
        <w:spacing w:before="49" w:line="224" w:lineRule="auto"/>
        <w:ind w:left="98"/>
        <w:rPr>
          <w:rFonts w:ascii="黑体" w:hAnsi="黑体" w:eastAsia="黑体" w:cs="黑体"/>
          <w:b/>
          <w:bCs/>
          <w:spacing w:val="26"/>
          <w:sz w:val="24"/>
          <w:szCs w:val="24"/>
          <w:lang w:eastAsia="zh-CN"/>
        </w:rPr>
      </w:pPr>
    </w:p>
    <w:p w14:paraId="5BDEB803">
      <w:pPr>
        <w:spacing w:before="49" w:line="224" w:lineRule="auto"/>
        <w:ind w:left="98"/>
        <w:rPr>
          <w:rFonts w:ascii="黑体" w:hAnsi="黑体" w:eastAsia="黑体" w:cs="黑体"/>
          <w:b/>
          <w:bCs/>
          <w:spacing w:val="26"/>
          <w:sz w:val="24"/>
          <w:szCs w:val="24"/>
          <w:lang w:eastAsia="zh-CN"/>
        </w:rPr>
      </w:pPr>
    </w:p>
    <w:p w14:paraId="06DC2926">
      <w:pPr>
        <w:spacing w:before="49" w:line="224" w:lineRule="auto"/>
        <w:ind w:left="98"/>
        <w:rPr>
          <w:rFonts w:ascii="黑体" w:hAnsi="黑体" w:eastAsia="黑体" w:cs="黑体"/>
          <w:b/>
          <w:bCs/>
          <w:spacing w:val="26"/>
          <w:sz w:val="24"/>
          <w:szCs w:val="24"/>
          <w:lang w:eastAsia="zh-CN"/>
        </w:rPr>
      </w:pPr>
    </w:p>
    <w:p w14:paraId="65973A4F">
      <w:pPr>
        <w:spacing w:before="49" w:line="224" w:lineRule="auto"/>
        <w:ind w:left="98"/>
        <w:rPr>
          <w:rFonts w:ascii="黑体" w:hAnsi="黑体" w:eastAsia="黑体" w:cs="黑体"/>
          <w:b/>
          <w:bCs/>
          <w:spacing w:val="26"/>
          <w:sz w:val="24"/>
          <w:szCs w:val="24"/>
          <w:lang w:eastAsia="zh-CN"/>
        </w:rPr>
      </w:pPr>
    </w:p>
    <w:p w14:paraId="27429C1E">
      <w:pPr>
        <w:spacing w:before="49" w:line="224" w:lineRule="auto"/>
        <w:ind w:left="98"/>
        <w:rPr>
          <w:rFonts w:ascii="黑体" w:hAnsi="黑体" w:eastAsia="黑体" w:cs="黑体"/>
          <w:b/>
          <w:bCs/>
          <w:spacing w:val="26"/>
          <w:sz w:val="24"/>
          <w:szCs w:val="24"/>
          <w:lang w:eastAsia="zh-CN"/>
        </w:rPr>
      </w:pPr>
    </w:p>
    <w:p w14:paraId="33C893C9">
      <w:pPr>
        <w:spacing w:before="49" w:line="224" w:lineRule="auto"/>
        <w:ind w:left="98"/>
        <w:rPr>
          <w:rFonts w:ascii="黑体" w:hAnsi="黑体" w:eastAsia="黑体" w:cs="黑体"/>
          <w:b/>
          <w:bCs/>
          <w:spacing w:val="26"/>
          <w:sz w:val="24"/>
          <w:szCs w:val="24"/>
          <w:lang w:eastAsia="zh-CN"/>
        </w:rPr>
      </w:pPr>
    </w:p>
    <w:p w14:paraId="372503B1">
      <w:pPr>
        <w:spacing w:before="49" w:line="224" w:lineRule="auto"/>
        <w:ind w:left="98"/>
        <w:rPr>
          <w:rFonts w:ascii="黑体" w:hAnsi="黑体" w:eastAsia="黑体" w:cs="黑体"/>
          <w:b/>
          <w:bCs/>
          <w:spacing w:val="26"/>
          <w:sz w:val="24"/>
          <w:szCs w:val="24"/>
          <w:lang w:eastAsia="zh-CN"/>
        </w:rPr>
      </w:pPr>
    </w:p>
    <w:p w14:paraId="2A686096">
      <w:pPr>
        <w:spacing w:before="49" w:line="224" w:lineRule="auto"/>
        <w:ind w:left="98"/>
        <w:rPr>
          <w:rFonts w:ascii="黑体" w:hAnsi="黑体" w:eastAsia="黑体" w:cs="黑体"/>
          <w:b/>
          <w:bCs/>
          <w:spacing w:val="26"/>
          <w:sz w:val="24"/>
          <w:szCs w:val="24"/>
          <w:lang w:eastAsia="zh-CN"/>
        </w:rPr>
      </w:pPr>
    </w:p>
    <w:p w14:paraId="42A9F67F">
      <w:pPr>
        <w:spacing w:before="49" w:line="224" w:lineRule="auto"/>
        <w:ind w:left="98"/>
        <w:rPr>
          <w:rFonts w:ascii="黑体" w:hAnsi="黑体" w:eastAsia="黑体" w:cs="黑体"/>
          <w:b/>
          <w:bCs/>
          <w:spacing w:val="26"/>
          <w:sz w:val="24"/>
          <w:szCs w:val="24"/>
          <w:lang w:eastAsia="zh-CN"/>
        </w:rPr>
      </w:pPr>
    </w:p>
    <w:p w14:paraId="2FFB31AF">
      <w:pPr>
        <w:spacing w:before="49" w:line="224" w:lineRule="auto"/>
        <w:ind w:left="98"/>
        <w:rPr>
          <w:rFonts w:ascii="黑体" w:hAnsi="黑体" w:eastAsia="黑体" w:cs="黑体"/>
          <w:b/>
          <w:bCs/>
          <w:spacing w:val="26"/>
          <w:sz w:val="24"/>
          <w:szCs w:val="24"/>
          <w:lang w:eastAsia="zh-CN"/>
        </w:rPr>
      </w:pPr>
    </w:p>
    <w:p w14:paraId="48FDD59A">
      <w:pPr>
        <w:spacing w:before="49" w:line="224" w:lineRule="auto"/>
        <w:ind w:left="98"/>
        <w:rPr>
          <w:rFonts w:ascii="黑体" w:hAnsi="黑体" w:eastAsia="黑体" w:cs="黑体"/>
          <w:sz w:val="24"/>
          <w:szCs w:val="24"/>
          <w:lang w:eastAsia="zh-CN"/>
        </w:rPr>
      </w:pPr>
      <w:r>
        <w:rPr>
          <w:rFonts w:ascii="黑体" w:hAnsi="黑体" w:eastAsia="黑体" w:cs="黑体"/>
          <w:b/>
          <w:bCs/>
          <w:spacing w:val="26"/>
          <w:sz w:val="24"/>
          <w:szCs w:val="24"/>
          <w:lang w:eastAsia="zh-CN"/>
        </w:rPr>
        <w:t>附件5</w:t>
      </w:r>
    </w:p>
    <w:p w14:paraId="1DEC2CB0">
      <w:pPr>
        <w:spacing w:before="244" w:line="588" w:lineRule="exact"/>
        <w:ind w:left="1725"/>
        <w:rPr>
          <w:rFonts w:ascii="黑体" w:hAnsi="黑体" w:eastAsia="黑体" w:cs="黑体"/>
          <w:b/>
          <w:spacing w:val="10"/>
          <w:position w:val="12"/>
          <w:sz w:val="30"/>
          <w:szCs w:val="30"/>
          <w:lang w:eastAsia="zh-CN"/>
        </w:rPr>
      </w:pPr>
      <w:r>
        <w:rPr>
          <w:rFonts w:ascii="黑体" w:hAnsi="黑体" w:eastAsia="黑体" w:cs="黑体"/>
          <w:b/>
          <w:spacing w:val="10"/>
          <w:position w:val="12"/>
          <w:sz w:val="30"/>
          <w:szCs w:val="30"/>
          <w:lang w:eastAsia="zh-CN"/>
        </w:rPr>
        <w:t>2023年度</w:t>
      </w:r>
      <w:r>
        <w:rPr>
          <w:rFonts w:hint="eastAsia" w:ascii="黑体" w:hAnsi="黑体" w:eastAsia="黑体" w:cs="黑体"/>
          <w:b/>
          <w:spacing w:val="10"/>
          <w:position w:val="12"/>
          <w:sz w:val="30"/>
          <w:szCs w:val="30"/>
          <w:lang w:eastAsia="zh-CN"/>
        </w:rPr>
        <w:t>屈子祠文物本体及玉笥山白蚁防治</w:t>
      </w:r>
      <w:r>
        <w:rPr>
          <w:rFonts w:ascii="黑体" w:hAnsi="黑体" w:eastAsia="黑体" w:cs="黑体"/>
          <w:b/>
          <w:spacing w:val="10"/>
          <w:position w:val="12"/>
          <w:sz w:val="30"/>
          <w:szCs w:val="30"/>
          <w:lang w:eastAsia="zh-CN"/>
        </w:rPr>
        <w:t>项目支出</w:t>
      </w:r>
    </w:p>
    <w:p w14:paraId="2B4F1038">
      <w:pPr>
        <w:spacing w:before="1" w:line="220" w:lineRule="auto"/>
        <w:ind w:left="2655"/>
        <w:rPr>
          <w:rFonts w:ascii="黑体" w:hAnsi="黑体" w:eastAsia="黑体" w:cs="黑体"/>
          <w:sz w:val="41"/>
          <w:szCs w:val="41"/>
          <w:lang w:eastAsia="zh-CN"/>
        </w:rPr>
      </w:pPr>
      <w:r>
        <w:rPr>
          <w:rFonts w:hint="eastAsia" w:ascii="黑体" w:hAnsi="黑体" w:eastAsia="黑体" w:cs="黑体"/>
          <w:spacing w:val="12"/>
          <w:sz w:val="41"/>
          <w:szCs w:val="41"/>
          <w:lang w:eastAsia="zh-CN"/>
        </w:rPr>
        <w:t xml:space="preserve">    </w:t>
      </w:r>
      <w:r>
        <w:rPr>
          <w:rFonts w:ascii="黑体" w:hAnsi="黑体" w:eastAsia="黑体" w:cs="黑体"/>
          <w:spacing w:val="12"/>
          <w:sz w:val="41"/>
          <w:szCs w:val="41"/>
          <w:lang w:eastAsia="zh-CN"/>
        </w:rPr>
        <w:t>绩效自评报告</w:t>
      </w:r>
    </w:p>
    <w:p w14:paraId="055FA938">
      <w:pPr>
        <w:rPr>
          <w:lang w:eastAsia="zh-CN"/>
        </w:rPr>
      </w:pPr>
    </w:p>
    <w:p w14:paraId="5B4B685B">
      <w:pPr>
        <w:rPr>
          <w:lang w:eastAsia="zh-CN"/>
        </w:rPr>
      </w:pPr>
    </w:p>
    <w:p w14:paraId="6EA6E947">
      <w:pPr>
        <w:rPr>
          <w:lang w:eastAsia="zh-CN"/>
        </w:rPr>
      </w:pPr>
    </w:p>
    <w:p w14:paraId="57E3A068">
      <w:pPr>
        <w:rPr>
          <w:lang w:eastAsia="zh-CN"/>
        </w:rPr>
      </w:pPr>
    </w:p>
    <w:p w14:paraId="6232FDC2">
      <w:pPr>
        <w:rPr>
          <w:lang w:eastAsia="zh-CN"/>
        </w:rPr>
      </w:pPr>
    </w:p>
    <w:p w14:paraId="4FEE5641">
      <w:pPr>
        <w:rPr>
          <w:lang w:eastAsia="zh-CN"/>
        </w:rPr>
      </w:pPr>
    </w:p>
    <w:p w14:paraId="334F329A">
      <w:pPr>
        <w:rPr>
          <w:lang w:eastAsia="zh-CN"/>
        </w:rPr>
      </w:pPr>
    </w:p>
    <w:p w14:paraId="6C16A2C0">
      <w:pPr>
        <w:rPr>
          <w:lang w:eastAsia="zh-CN"/>
        </w:rPr>
      </w:pPr>
    </w:p>
    <w:p w14:paraId="533FBC01">
      <w:pPr>
        <w:spacing w:line="241" w:lineRule="auto"/>
        <w:rPr>
          <w:lang w:eastAsia="zh-CN"/>
        </w:rPr>
      </w:pPr>
    </w:p>
    <w:p w14:paraId="5BC1D01F">
      <w:pPr>
        <w:spacing w:line="241" w:lineRule="auto"/>
        <w:rPr>
          <w:lang w:eastAsia="zh-CN"/>
        </w:rPr>
      </w:pPr>
    </w:p>
    <w:p w14:paraId="61FCE055">
      <w:pPr>
        <w:spacing w:line="241" w:lineRule="auto"/>
        <w:rPr>
          <w:lang w:eastAsia="zh-CN"/>
        </w:rPr>
      </w:pPr>
    </w:p>
    <w:p w14:paraId="40B8383C">
      <w:pPr>
        <w:spacing w:line="241" w:lineRule="auto"/>
        <w:rPr>
          <w:lang w:eastAsia="zh-CN"/>
        </w:rPr>
      </w:pPr>
    </w:p>
    <w:p w14:paraId="745BDE04">
      <w:pPr>
        <w:spacing w:line="241" w:lineRule="auto"/>
        <w:rPr>
          <w:lang w:eastAsia="zh-CN"/>
        </w:rPr>
      </w:pPr>
    </w:p>
    <w:p w14:paraId="01D23B4D">
      <w:pPr>
        <w:spacing w:line="241" w:lineRule="auto"/>
        <w:rPr>
          <w:lang w:eastAsia="zh-CN"/>
        </w:rPr>
      </w:pPr>
    </w:p>
    <w:p w14:paraId="5EF788DA">
      <w:pPr>
        <w:spacing w:line="241" w:lineRule="auto"/>
        <w:rPr>
          <w:lang w:eastAsia="zh-CN"/>
        </w:rPr>
      </w:pPr>
    </w:p>
    <w:p w14:paraId="66F72E13">
      <w:pPr>
        <w:spacing w:line="241" w:lineRule="auto"/>
        <w:rPr>
          <w:lang w:eastAsia="zh-CN"/>
        </w:rPr>
      </w:pPr>
    </w:p>
    <w:p w14:paraId="6E33A1B0">
      <w:pPr>
        <w:spacing w:line="241" w:lineRule="auto"/>
        <w:rPr>
          <w:lang w:eastAsia="zh-CN"/>
        </w:rPr>
      </w:pPr>
    </w:p>
    <w:p w14:paraId="06409E98">
      <w:pPr>
        <w:spacing w:line="241" w:lineRule="auto"/>
        <w:rPr>
          <w:lang w:eastAsia="zh-CN"/>
        </w:rPr>
      </w:pPr>
    </w:p>
    <w:p w14:paraId="49B8F238">
      <w:pPr>
        <w:spacing w:line="241" w:lineRule="auto"/>
        <w:rPr>
          <w:lang w:eastAsia="zh-CN"/>
        </w:rPr>
      </w:pPr>
    </w:p>
    <w:p w14:paraId="7EF7548F">
      <w:pPr>
        <w:spacing w:line="241" w:lineRule="auto"/>
        <w:rPr>
          <w:lang w:eastAsia="zh-CN"/>
        </w:rPr>
      </w:pPr>
    </w:p>
    <w:p w14:paraId="1EC31B41">
      <w:pPr>
        <w:spacing w:line="241" w:lineRule="auto"/>
        <w:rPr>
          <w:lang w:eastAsia="zh-CN"/>
        </w:rPr>
      </w:pPr>
    </w:p>
    <w:p w14:paraId="41D0C55C">
      <w:pPr>
        <w:spacing w:line="241" w:lineRule="auto"/>
        <w:rPr>
          <w:lang w:eastAsia="zh-CN"/>
        </w:rPr>
      </w:pPr>
    </w:p>
    <w:p w14:paraId="35D1EE43">
      <w:pPr>
        <w:spacing w:line="241" w:lineRule="auto"/>
        <w:rPr>
          <w:lang w:eastAsia="zh-CN"/>
        </w:rPr>
      </w:pPr>
    </w:p>
    <w:p w14:paraId="471E9E7E">
      <w:pPr>
        <w:spacing w:line="241" w:lineRule="auto"/>
        <w:rPr>
          <w:lang w:eastAsia="zh-CN"/>
        </w:rPr>
      </w:pPr>
    </w:p>
    <w:p w14:paraId="5EC39260">
      <w:pPr>
        <w:spacing w:line="241" w:lineRule="auto"/>
        <w:rPr>
          <w:lang w:eastAsia="zh-CN"/>
        </w:rPr>
      </w:pPr>
    </w:p>
    <w:p w14:paraId="5DAB07CF">
      <w:pPr>
        <w:spacing w:line="241" w:lineRule="auto"/>
        <w:rPr>
          <w:lang w:eastAsia="zh-CN"/>
        </w:rPr>
      </w:pPr>
    </w:p>
    <w:p w14:paraId="7FE895A0">
      <w:pPr>
        <w:spacing w:line="241" w:lineRule="auto"/>
        <w:rPr>
          <w:lang w:eastAsia="zh-CN"/>
        </w:rPr>
      </w:pPr>
    </w:p>
    <w:p w14:paraId="2C50454D">
      <w:pPr>
        <w:spacing w:line="241" w:lineRule="auto"/>
        <w:rPr>
          <w:lang w:eastAsia="zh-CN"/>
        </w:rPr>
      </w:pPr>
    </w:p>
    <w:p w14:paraId="26939CEF">
      <w:pPr>
        <w:spacing w:line="241" w:lineRule="auto"/>
        <w:rPr>
          <w:lang w:eastAsia="zh-CN"/>
        </w:rPr>
      </w:pPr>
    </w:p>
    <w:p w14:paraId="63209556">
      <w:pPr>
        <w:pStyle w:val="2"/>
        <w:spacing w:before="78" w:line="231" w:lineRule="auto"/>
        <w:ind w:left="1814"/>
        <w:rPr>
          <w:b/>
          <w:sz w:val="24"/>
          <w:szCs w:val="24"/>
          <w:lang w:eastAsia="zh-CN"/>
        </w:rPr>
      </w:pPr>
      <w:r>
        <w:rPr>
          <w:rFonts w:hint="eastAsia"/>
          <w:spacing w:val="-20"/>
          <w:sz w:val="24"/>
          <w:szCs w:val="24"/>
          <w:lang w:eastAsia="zh-CN"/>
        </w:rPr>
        <w:t xml:space="preserve">            </w:t>
      </w:r>
      <w:r>
        <w:rPr>
          <w:rFonts w:hint="eastAsia"/>
          <w:b/>
          <w:spacing w:val="-20"/>
          <w:sz w:val="24"/>
          <w:szCs w:val="24"/>
          <w:lang w:eastAsia="zh-CN"/>
        </w:rPr>
        <w:t xml:space="preserve">    </w:t>
      </w:r>
      <w:r>
        <w:rPr>
          <w:b/>
          <w:spacing w:val="-20"/>
          <w:sz w:val="24"/>
          <w:szCs w:val="24"/>
          <w:lang w:eastAsia="zh-CN"/>
        </w:rPr>
        <w:t>部门( 单位 )名称 ：</w:t>
      </w:r>
      <w:r>
        <w:rPr>
          <w:b/>
          <w:spacing w:val="-20"/>
          <w:position w:val="-2"/>
          <w:sz w:val="24"/>
          <w:szCs w:val="24"/>
          <w:u w:val="single"/>
          <w:lang w:eastAsia="zh-CN"/>
        </w:rPr>
        <w:t xml:space="preserve">   (盖章)</w:t>
      </w:r>
    </w:p>
    <w:p w14:paraId="5A1AB304">
      <w:pPr>
        <w:pStyle w:val="2"/>
        <w:spacing w:before="271" w:line="602" w:lineRule="exact"/>
        <w:ind w:left="3024"/>
        <w:rPr>
          <w:b/>
          <w:sz w:val="24"/>
          <w:szCs w:val="24"/>
          <w:lang w:eastAsia="zh-CN"/>
        </w:rPr>
      </w:pPr>
      <w:r>
        <w:rPr>
          <w:rFonts w:hint="eastAsia"/>
          <w:b/>
          <w:spacing w:val="-16"/>
          <w:position w:val="27"/>
          <w:sz w:val="24"/>
          <w:szCs w:val="24"/>
          <w:lang w:eastAsia="zh-CN"/>
        </w:rPr>
        <w:t xml:space="preserve">         2024</w:t>
      </w:r>
      <w:r>
        <w:rPr>
          <w:b/>
          <w:spacing w:val="-16"/>
          <w:position w:val="27"/>
          <w:sz w:val="24"/>
          <w:szCs w:val="24"/>
          <w:lang w:eastAsia="zh-CN"/>
        </w:rPr>
        <w:t>年</w:t>
      </w:r>
      <w:r>
        <w:rPr>
          <w:rFonts w:hint="eastAsia"/>
          <w:b/>
          <w:spacing w:val="-16"/>
          <w:position w:val="27"/>
          <w:sz w:val="24"/>
          <w:szCs w:val="24"/>
          <w:lang w:eastAsia="zh-CN"/>
        </w:rPr>
        <w:t>5</w:t>
      </w:r>
      <w:r>
        <w:rPr>
          <w:b/>
          <w:spacing w:val="-16"/>
          <w:position w:val="27"/>
          <w:sz w:val="24"/>
          <w:szCs w:val="24"/>
          <w:lang w:eastAsia="zh-CN"/>
        </w:rPr>
        <w:t>月</w:t>
      </w:r>
      <w:r>
        <w:rPr>
          <w:rFonts w:hint="eastAsia"/>
          <w:b/>
          <w:spacing w:val="-16"/>
          <w:position w:val="27"/>
          <w:sz w:val="24"/>
          <w:szCs w:val="24"/>
          <w:lang w:eastAsia="zh-CN"/>
        </w:rPr>
        <w:t>21</w:t>
      </w:r>
      <w:r>
        <w:rPr>
          <w:b/>
          <w:spacing w:val="-16"/>
          <w:position w:val="27"/>
          <w:sz w:val="24"/>
          <w:szCs w:val="24"/>
          <w:lang w:eastAsia="zh-CN"/>
        </w:rPr>
        <w:t>日</w:t>
      </w:r>
    </w:p>
    <w:p w14:paraId="59B23FAA">
      <w:pPr>
        <w:pStyle w:val="2"/>
        <w:spacing w:before="1" w:line="223" w:lineRule="auto"/>
        <w:ind w:left="3125"/>
        <w:rPr>
          <w:sz w:val="24"/>
          <w:szCs w:val="24"/>
          <w:lang w:eastAsia="zh-CN"/>
        </w:rPr>
      </w:pPr>
    </w:p>
    <w:p w14:paraId="24C0555C">
      <w:pPr>
        <w:spacing w:line="223" w:lineRule="auto"/>
        <w:rPr>
          <w:sz w:val="24"/>
          <w:szCs w:val="24"/>
          <w:lang w:eastAsia="zh-CN"/>
        </w:rPr>
        <w:sectPr>
          <w:pgSz w:w="11900" w:h="16840"/>
          <w:pgMar w:top="1430" w:right="1785" w:bottom="400" w:left="1785" w:header="0" w:footer="0" w:gutter="0"/>
          <w:cols w:space="720" w:num="1"/>
        </w:sectPr>
      </w:pPr>
    </w:p>
    <w:p w14:paraId="425536B6">
      <w:pPr>
        <w:spacing w:line="300" w:lineRule="auto"/>
        <w:rPr>
          <w:lang w:eastAsia="zh-CN"/>
        </w:rPr>
      </w:pPr>
    </w:p>
    <w:p w14:paraId="5E5B5E3A">
      <w:pPr>
        <w:spacing w:before="134" w:line="221" w:lineRule="auto"/>
        <w:ind w:left="2315"/>
        <w:rPr>
          <w:rFonts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14:paraId="11493C8E">
      <w:pPr>
        <w:spacing w:before="212" w:line="227" w:lineRule="auto"/>
        <w:ind w:left="3670"/>
        <w:rPr>
          <w:rFonts w:ascii="楷体" w:hAnsi="楷体" w:eastAsia="楷体" w:cs="楷体"/>
          <w:sz w:val="30"/>
          <w:szCs w:val="30"/>
          <w:lang w:eastAsia="zh-CN"/>
        </w:rPr>
      </w:pPr>
    </w:p>
    <w:p w14:paraId="1A0C0056">
      <w:pPr>
        <w:spacing w:before="176" w:line="222" w:lineRule="auto"/>
        <w:ind w:left="534"/>
        <w:outlineLvl w:val="1"/>
        <w:rPr>
          <w:rFonts w:hint="eastAsia" w:ascii="黑体" w:hAnsi="黑体" w:eastAsia="黑体" w:cs="黑体"/>
          <w:b/>
          <w:bCs/>
          <w:spacing w:val="-8"/>
          <w:sz w:val="30"/>
          <w:szCs w:val="30"/>
          <w:lang w:eastAsia="zh-CN"/>
        </w:rPr>
      </w:pPr>
      <w:r>
        <w:rPr>
          <w:rFonts w:ascii="黑体" w:hAnsi="黑体" w:eastAsia="黑体" w:cs="黑体"/>
          <w:b/>
          <w:bCs/>
          <w:spacing w:val="-8"/>
          <w:sz w:val="30"/>
          <w:szCs w:val="30"/>
          <w:lang w:eastAsia="zh-CN"/>
        </w:rPr>
        <w:t>一、项目支出基本情况</w:t>
      </w:r>
    </w:p>
    <w:p w14:paraId="47B7048C">
      <w:pPr>
        <w:pStyle w:val="2"/>
        <w:widowControl w:val="0"/>
        <w:spacing w:line="600" w:lineRule="exact"/>
        <w:ind w:firstLine="636" w:firstLineChars="200"/>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1、项目介绍：屈子祠文物本体及玉笥山白蚁防治工程主要包括：</w:t>
      </w:r>
    </w:p>
    <w:p w14:paraId="7D569531">
      <w:pPr>
        <w:pStyle w:val="2"/>
        <w:widowControl w:val="0"/>
        <w:spacing w:line="600" w:lineRule="exact"/>
        <w:ind w:firstLine="636" w:firstLineChars="200"/>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①、对屈子祠文物本体及玉笥山文物本体进行防与治的综合治理（防治措施：粉剂防治法、表面涂刷药防治法、设置毒土屏障、防治药剂熏灭、设置诱杀坑）。</w:t>
      </w:r>
    </w:p>
    <w:p w14:paraId="2D89F541">
      <w:pPr>
        <w:pStyle w:val="2"/>
        <w:widowControl w:val="0"/>
        <w:spacing w:line="600" w:lineRule="exact"/>
        <w:ind w:firstLine="636" w:firstLineChars="200"/>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②、对屈子祠文物本体及玉笥山文物古建筑白蚁危害的环境治理（防治措施：隔离带设置、园林绿化药物防治、蚁巢清理）。</w:t>
      </w:r>
    </w:p>
    <w:p w14:paraId="5E423A50">
      <w:pPr>
        <w:pStyle w:val="2"/>
        <w:widowControl w:val="0"/>
        <w:spacing w:line="600" w:lineRule="exact"/>
        <w:ind w:firstLine="636" w:firstLineChars="200"/>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③、对屈子祠文物本体及玉笥山文物古建筑白蚁危害防治的进行日常危害管理培训。</w:t>
      </w:r>
    </w:p>
    <w:p w14:paraId="5C1CF7BA">
      <w:pPr>
        <w:pStyle w:val="2"/>
        <w:widowControl w:val="0"/>
        <w:spacing w:line="600" w:lineRule="exact"/>
        <w:ind w:firstLine="636" w:firstLineChars="200"/>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④、软件监测。</w:t>
      </w:r>
    </w:p>
    <w:p w14:paraId="2CEA7A79">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lang w:eastAsia="zh-CN"/>
        </w:rPr>
        <w:t>(一)项目支出概况。</w:t>
      </w:r>
    </w:p>
    <w:p w14:paraId="09FFCC1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本项目年初预算为0万元，支出决算为67万元。其中：办公费支出2万元，占该项目总支出的2.96%；专用材料费支出50万元，占该项目总支出74.62%，劳务费支出9万元，占该项目总支出的13.04%，委托业务费支出7万元，占该项目总支出的28%，其他商品和服务支出3万元，占该项目总支出的4.3%。</w:t>
      </w:r>
    </w:p>
    <w:p w14:paraId="0941BEA2">
      <w:pPr>
        <w:pStyle w:val="2"/>
        <w:widowControl w:val="0"/>
        <w:spacing w:line="600" w:lineRule="exact"/>
        <w:rPr>
          <w:rFonts w:ascii="仿宋_GB2312" w:hAnsi="仿宋_GB2312" w:eastAsia="仿宋_GB2312" w:cs="仿宋_GB2312"/>
          <w:spacing w:val="-1"/>
          <w:sz w:val="32"/>
          <w:szCs w:val="32"/>
          <w:lang w:eastAsia="zh-CN"/>
        </w:rPr>
      </w:pPr>
      <w:r>
        <w:rPr>
          <w:rFonts w:hint="eastAsia" w:ascii="黑体" w:hAnsi="黑体" w:eastAsia="黑体" w:cs="黑体"/>
          <w:b/>
          <w:bCs/>
          <w:spacing w:val="2"/>
          <w:sz w:val="30"/>
          <w:szCs w:val="30"/>
          <w:lang w:eastAsia="zh-CN"/>
        </w:rPr>
        <w:t xml:space="preserve">  </w:t>
      </w:r>
      <w:r>
        <w:rPr>
          <w:rFonts w:hint="eastAsia" w:ascii="仿宋_GB2312" w:hAnsi="仿宋_GB2312" w:eastAsia="仿宋_GB2312" w:cs="仿宋_GB2312"/>
          <w:spacing w:val="-1"/>
          <w:sz w:val="32"/>
          <w:szCs w:val="32"/>
          <w:lang w:eastAsia="zh-CN"/>
        </w:rPr>
        <w:t>现已完成屈子祠文物本体白蚁防治工程（粉剂防治法、表面涂刷药防治法、设置毒土屏障、防治药剂熏灭、）。环境治理（隔离带设置、蚁巢清理）。剩余工程（设置诱杀坑、园林绿化药物防治、蚁巢回填）在近期完成。软件监测系统正在定制。</w:t>
      </w:r>
    </w:p>
    <w:p w14:paraId="63520AA4">
      <w:pPr>
        <w:shd w:val="clear" w:color="auto" w:fill="FFFFFF"/>
        <w:spacing w:line="441" w:lineRule="atLeast"/>
        <w:ind w:firstLine="600"/>
        <w:rPr>
          <w:rFonts w:ascii="黑体" w:hAnsi="黑体" w:eastAsia="黑体" w:cs="黑体"/>
          <w:b/>
          <w:bCs/>
          <w:spacing w:val="2"/>
          <w:sz w:val="30"/>
          <w:szCs w:val="30"/>
          <w:lang w:eastAsia="zh-CN"/>
        </w:rPr>
      </w:pPr>
      <w:r>
        <w:rPr>
          <w:rFonts w:ascii="黑体" w:hAnsi="黑体" w:eastAsia="黑体" w:cs="黑体"/>
          <w:b/>
          <w:bCs/>
          <w:spacing w:val="2"/>
          <w:sz w:val="30"/>
          <w:szCs w:val="30"/>
          <w:lang w:eastAsia="zh-CN"/>
        </w:rPr>
        <w:t xml:space="preserve"> (二)项目资金使用管理情况。</w:t>
      </w:r>
    </w:p>
    <w:p w14:paraId="486C4738">
      <w:pPr>
        <w:pStyle w:val="2"/>
        <w:widowControl w:val="0"/>
        <w:spacing w:line="600" w:lineRule="exact"/>
        <w:ind w:firstLine="636" w:firstLineChars="200"/>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我部门组织对2023年度一般公共预算项目支出全面开展绩效自评，其中，一级项目2个，二级项目0个，共涉及资金67万元，占一般公共预算项目支出总额的100%。2023年度我部门无政府性基金预算项目支出、无国有资本经营预算支出，对2023年度0个政府性基金预算项目支出开展绩效自评，共涉及资金0万元，占政府性基金预算项目支出总额的0%；对2023年度0个国有资本经营预算项目支出开展绩效自评，共涉及资金0万元，占国有资本经营预算项目支出总额的0%。组织对屈子祠文物本体及玉笥山白蚁防治工程”等1个项目开展了部门评价为进一步规范财政资金管理，强化绩效和责任意识，切实提高财政资金使用效益，根据财政预算管理要求及省财政单位的统一部署，我单位对2023年度部门整体支出认真开展绩效自评，按财政要求及时报送了《汨罗市屈原纪念馆2023年度部门整体支出绩效评价报告》等相关表格及佐证资料。涉及一般公共预算支出67万元，政府性基金预算支出0万元，国有资本经营预算支出0万元。从评价情况来看，纪念馆开放项目进度实施，现已完成屈子祠文物本体白蚁防治工程（粉剂防治法、表面涂刷药防治法、设置毒土屏障、防治药剂熏灭、）。环境治理（隔离带设置、蚁巢清理）。剩余工程（设置诱杀坑、园林绿化药物防治、蚁巢回填）在近期完成。软件监测系统正在定制。</w:t>
      </w:r>
    </w:p>
    <w:p w14:paraId="13482492">
      <w:pPr>
        <w:shd w:val="clear" w:color="auto" w:fill="FFFFFF"/>
        <w:spacing w:line="441" w:lineRule="atLeast"/>
        <w:ind w:firstLine="600"/>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项目立项程序完整、规范，绩效目标明确合理，预算执行及时有效，为有关部门决策提供了较为有力的支撑，绩效目标得到较好实现。专项资金的管理和使用应当严格执行国家有关法律法规、财务规章制度和本办法的规定，并接受本级纪检、财政、审计和上级文化旅游文物主管部门的监督检查。</w:t>
      </w:r>
    </w:p>
    <w:p w14:paraId="2FC4CD6B">
      <w:pPr>
        <w:spacing w:line="560" w:lineRule="exact"/>
        <w:ind w:firstLine="636" w:firstLineChars="200"/>
        <w:jc w:val="both"/>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项目资金的使用必须纳入单位“三重一大”议事内容。相关讨论研究会议要邀请纪检组和局分管线领导参加集体审议。项目资金拨付由文化馆会同财政局联合审批。项目资金使用情况纳入单位主要负责人离任审计重点内容。</w:t>
      </w:r>
    </w:p>
    <w:p w14:paraId="265B8ECB">
      <w:pPr>
        <w:shd w:val="clear" w:color="auto" w:fill="FFFFFF"/>
        <w:spacing w:line="441" w:lineRule="atLeast"/>
        <w:ind w:firstLine="600"/>
        <w:rPr>
          <w:rFonts w:ascii="仿宋" w:hAnsi="仿宋" w:eastAsia="仿宋" w:cs="仿宋"/>
          <w:spacing w:val="1"/>
          <w:sz w:val="30"/>
          <w:szCs w:val="30"/>
          <w:lang w:eastAsia="zh-CN"/>
        </w:rPr>
      </w:pPr>
    </w:p>
    <w:p w14:paraId="16D75B07">
      <w:pPr>
        <w:pStyle w:val="2"/>
        <w:spacing w:before="221" w:line="571" w:lineRule="exact"/>
        <w:ind w:left="534"/>
        <w:rPr>
          <w:rFonts w:ascii="黑体" w:hAnsi="黑体" w:eastAsia="黑体" w:cs="黑体"/>
          <w:b/>
          <w:bCs/>
          <w:spacing w:val="-3"/>
          <w:position w:val="20"/>
          <w:sz w:val="30"/>
          <w:szCs w:val="30"/>
          <w:lang w:eastAsia="zh-CN"/>
        </w:rPr>
      </w:pPr>
      <w:r>
        <w:rPr>
          <w:rFonts w:ascii="黑体" w:hAnsi="黑体" w:eastAsia="黑体" w:cs="黑体"/>
          <w:b/>
          <w:bCs/>
          <w:spacing w:val="-3"/>
          <w:position w:val="20"/>
          <w:sz w:val="30"/>
          <w:szCs w:val="30"/>
          <w:lang w:eastAsia="zh-CN"/>
        </w:rPr>
        <w:t xml:space="preserve"> (三)项目支出绩效目标完成程度</w:t>
      </w:r>
    </w:p>
    <w:p w14:paraId="6A182B14">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 xml:space="preserve">  项目全年预算数为0万元，执行数为67万元，完成预算的100%。</w:t>
      </w:r>
    </w:p>
    <w:p w14:paraId="3C085799">
      <w:pPr>
        <w:spacing w:before="201" w:line="221" w:lineRule="auto"/>
        <w:ind w:left="534"/>
        <w:outlineLvl w:val="1"/>
        <w:rPr>
          <w:rFonts w:ascii="黑体" w:hAnsi="黑体" w:eastAsia="黑体" w:cs="黑体"/>
          <w:b/>
          <w:bCs/>
          <w:spacing w:val="-11"/>
          <w:sz w:val="30"/>
          <w:szCs w:val="30"/>
          <w:lang w:eastAsia="zh-CN"/>
        </w:rPr>
      </w:pPr>
      <w:r>
        <w:rPr>
          <w:rFonts w:ascii="黑体" w:hAnsi="黑体" w:eastAsia="黑体" w:cs="黑体"/>
          <w:b/>
          <w:bCs/>
          <w:spacing w:val="-11"/>
          <w:sz w:val="30"/>
          <w:szCs w:val="30"/>
          <w:lang w:eastAsia="zh-CN"/>
        </w:rPr>
        <w:t>二、绩效评价工作情况</w:t>
      </w:r>
    </w:p>
    <w:p w14:paraId="55B8C96A">
      <w:pPr>
        <w:spacing w:before="206" w:line="221" w:lineRule="auto"/>
        <w:ind w:left="530"/>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 xml:space="preserve">    项目绩效自评综述：根据年初设定的绩效目标屈子祠文物本体及玉笥山白蚁防治工程项目绩效自评得分为98分。</w:t>
      </w:r>
    </w:p>
    <w:p w14:paraId="18A14688">
      <w:pPr>
        <w:spacing w:before="201" w:line="580" w:lineRule="exact"/>
        <w:ind w:left="530"/>
        <w:rPr>
          <w:rFonts w:ascii="黑体" w:hAnsi="黑体" w:eastAsia="黑体" w:cs="黑体"/>
          <w:sz w:val="30"/>
          <w:szCs w:val="30"/>
          <w:lang w:eastAsia="zh-CN"/>
        </w:rPr>
      </w:pPr>
      <w:r>
        <w:rPr>
          <w:rFonts w:ascii="黑体" w:hAnsi="黑体" w:eastAsia="黑体" w:cs="黑体"/>
          <w:spacing w:val="-15"/>
          <w:position w:val="20"/>
          <w:sz w:val="30"/>
          <w:szCs w:val="30"/>
          <w:lang w:eastAsia="zh-CN"/>
        </w:rPr>
        <w:t>四、绩效评价指标分析</w:t>
      </w:r>
    </w:p>
    <w:p w14:paraId="05453188">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按计划完成。</w:t>
      </w:r>
    </w:p>
    <w:p w14:paraId="119906DD">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(四)绩效指标完成情况分析。</w:t>
      </w:r>
    </w:p>
    <w:p w14:paraId="08BEAC55">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 xml:space="preserve"> 1.产出指标完成情况分析。</w:t>
      </w:r>
    </w:p>
    <w:p w14:paraId="2AD26B64">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(1)数量指标。项目预计完成情况：2022年12月6日已开工， 已完成玉笥山全面白蚁洞穴摧毁和屈子祠文物本体及附属屈原碑林 隔离带的铺设工程，屈子祠文物本体药物防治。预计2024年5月份可以完工。2024年6月完成工程验收。</w:t>
      </w:r>
    </w:p>
    <w:p w14:paraId="1210042F">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工程范围：包括文物本体1561平米，及保护范围及一类建控地带共</w:t>
      </w:r>
    </w:p>
    <w:p w14:paraId="72447A4C">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186200余平米范围。</w:t>
      </w:r>
    </w:p>
    <w:p w14:paraId="142D0928">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(2)质量指标。项目质量达标率：项目按计划全部完成且质量良好。</w:t>
      </w:r>
    </w:p>
    <w:p w14:paraId="6A313C29">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(3)时效指标。项目完成及时性：提前或按计划完成。</w:t>
      </w:r>
    </w:p>
    <w:p w14:paraId="1725788D">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(4)成本指标。成本节约：在按质按量完成项目的情况下，严格控</w:t>
      </w:r>
    </w:p>
    <w:p w14:paraId="1580C897">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制项目成本。</w:t>
      </w:r>
    </w:p>
    <w:p w14:paraId="51728122">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2.效益指标完成情况分析。</w:t>
      </w:r>
    </w:p>
    <w:p w14:paraId="6177C890">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(1)经济效益。带动相关产业发展：对当地旅游、运动、休闲、文化等相关产业发展带来较大的带动作用。</w:t>
      </w:r>
    </w:p>
    <w:p w14:paraId="07DE343C">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(2)社会效益。古树保护及碳中和：全面保护古树安全，提升低碳效益</w:t>
      </w:r>
    </w:p>
    <w:p w14:paraId="11738E48">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(3)生态效益。历史文化资源保护：促进文物资源的可持续利用和保护。</w:t>
      </w:r>
    </w:p>
    <w:p w14:paraId="62106DD0">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(4)可持续影响。后续监管：完善项目后续管护措施、监督管理机制和新闻媒体宣传，确保项目示范带动作用。</w:t>
      </w:r>
    </w:p>
    <w:p w14:paraId="6A33788C">
      <w:pPr>
        <w:pStyle w:val="2"/>
        <w:spacing w:line="660" w:lineRule="exact"/>
        <w:ind w:firstLine="592" w:firstLineChars="200"/>
        <w:outlineLvl w:val="1"/>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3.满意度指标完成情况分析。社会公众或服务对象对项目实施效果的满意程度：确保现场采访和问卷调查满意度达到98%以上。</w:t>
      </w:r>
    </w:p>
    <w:p w14:paraId="5192630A">
      <w:pPr>
        <w:spacing w:before="154" w:line="222" w:lineRule="auto"/>
        <w:ind w:left="534"/>
        <w:outlineLvl w:val="1"/>
        <w:rPr>
          <w:rFonts w:ascii="黑体" w:hAnsi="黑体" w:eastAsia="黑体" w:cs="黑体"/>
          <w:sz w:val="30"/>
          <w:szCs w:val="30"/>
          <w:lang w:eastAsia="zh-CN"/>
        </w:rPr>
      </w:pPr>
      <w:r>
        <w:rPr>
          <w:rFonts w:ascii="黑体" w:hAnsi="黑体" w:eastAsia="黑体" w:cs="黑体"/>
          <w:b/>
          <w:bCs/>
          <w:spacing w:val="-14"/>
          <w:sz w:val="30"/>
          <w:szCs w:val="30"/>
          <w:lang w:eastAsia="zh-CN"/>
        </w:rPr>
        <w:t>五、主要经验及做法、存在的问题及原因分析</w:t>
      </w:r>
    </w:p>
    <w:p w14:paraId="21E3712C">
      <w:pPr>
        <w:shd w:val="clear" w:color="auto" w:fill="FFFFFF"/>
        <w:spacing w:line="441" w:lineRule="atLeast"/>
        <w:ind w:firstLine="600"/>
        <w:rPr>
          <w:rFonts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改进措施：一是加强馆内业务培训；二是提高服务质量，三是提高绩效指标设置的准确性，提高屈原纪念馆工作的满意度。</w:t>
      </w:r>
    </w:p>
    <w:p w14:paraId="10FD45B3">
      <w:pPr>
        <w:spacing w:before="210" w:line="222" w:lineRule="auto"/>
        <w:ind w:left="530"/>
        <w:rPr>
          <w:rFonts w:ascii="黑体" w:hAnsi="黑体" w:eastAsia="黑体" w:cs="黑体"/>
          <w:spacing w:val="-14"/>
          <w:sz w:val="30"/>
          <w:szCs w:val="30"/>
          <w:lang w:eastAsia="zh-CN"/>
        </w:rPr>
      </w:pPr>
      <w:r>
        <w:rPr>
          <w:rFonts w:ascii="黑体" w:hAnsi="黑体" w:eastAsia="黑体" w:cs="黑体"/>
          <w:spacing w:val="-14"/>
          <w:sz w:val="30"/>
          <w:szCs w:val="30"/>
          <w:lang w:eastAsia="zh-CN"/>
        </w:rPr>
        <w:t>六、有关建议</w:t>
      </w:r>
    </w:p>
    <w:p w14:paraId="135E5071">
      <w:pPr>
        <w:shd w:val="clear" w:color="auto" w:fill="FFFFFF"/>
        <w:spacing w:line="435" w:lineRule="atLeast"/>
        <w:rPr>
          <w:rFonts w:ascii="仿宋_GB2312" w:hAnsi="仿宋_GB2312" w:eastAsia="仿宋_GB2312" w:cs="仿宋_GB2312"/>
          <w:spacing w:val="-12"/>
          <w:sz w:val="32"/>
          <w:szCs w:val="32"/>
          <w:lang w:eastAsia="zh-CN"/>
        </w:rPr>
      </w:pPr>
      <w:r>
        <w:rPr>
          <w:rFonts w:eastAsia="宋体"/>
          <w:color w:val="1F1F1F"/>
          <w:sz w:val="27"/>
          <w:szCs w:val="27"/>
          <w:lang w:eastAsia="zh-CN"/>
        </w:rPr>
        <w:t>　</w:t>
      </w:r>
      <w:r>
        <w:rPr>
          <w:rFonts w:hint="eastAsia" w:eastAsia="宋体"/>
          <w:color w:val="1F1F1F"/>
          <w:sz w:val="27"/>
          <w:szCs w:val="27"/>
          <w:lang w:eastAsia="zh-CN"/>
        </w:rPr>
        <w:t xml:space="preserve">  </w:t>
      </w:r>
      <w:r>
        <w:rPr>
          <w:rFonts w:ascii="仿宋_GB2312" w:hAnsi="仿宋_GB2312" w:eastAsia="仿宋_GB2312" w:cs="仿宋_GB2312"/>
          <w:spacing w:val="-12"/>
          <w:sz w:val="32"/>
          <w:szCs w:val="32"/>
          <w:lang w:eastAsia="zh-CN"/>
        </w:rPr>
        <w:t>请财政根据</w:t>
      </w:r>
      <w:r>
        <w:rPr>
          <w:rFonts w:hint="eastAsia" w:ascii="仿宋_GB2312" w:hAnsi="仿宋_GB2312" w:eastAsia="仿宋_GB2312" w:cs="仿宋_GB2312"/>
          <w:spacing w:val="-12"/>
          <w:sz w:val="32"/>
          <w:szCs w:val="32"/>
          <w:lang w:eastAsia="zh-CN"/>
        </w:rPr>
        <w:t>汨罗市屈原纪念馆</w:t>
      </w:r>
      <w:r>
        <w:rPr>
          <w:rFonts w:ascii="仿宋_GB2312" w:hAnsi="仿宋_GB2312" w:eastAsia="仿宋_GB2312" w:cs="仿宋_GB2312"/>
          <w:spacing w:val="-12"/>
          <w:sz w:val="32"/>
          <w:szCs w:val="32"/>
          <w:lang w:eastAsia="zh-CN"/>
        </w:rPr>
        <w:t>工作发展的要求和实际情况，提高年初部门预算额度，将常规项目支出纳入年度预算，保证机关正常运转。</w:t>
      </w:r>
    </w:p>
    <w:p w14:paraId="3DE5EBBA">
      <w:pPr>
        <w:spacing w:before="208" w:line="221" w:lineRule="auto"/>
        <w:ind w:left="530"/>
        <w:rPr>
          <w:rFonts w:ascii="黑体" w:hAnsi="黑体" w:eastAsia="黑体" w:cs="黑体"/>
          <w:sz w:val="30"/>
          <w:szCs w:val="30"/>
          <w:lang w:eastAsia="zh-CN"/>
        </w:rPr>
      </w:pPr>
      <w:r>
        <w:rPr>
          <w:rFonts w:ascii="黑体" w:hAnsi="黑体" w:eastAsia="黑体" w:cs="黑体"/>
          <w:spacing w:val="-11"/>
          <w:sz w:val="30"/>
          <w:szCs w:val="30"/>
          <w:lang w:eastAsia="zh-CN"/>
        </w:rPr>
        <w:t>七、其他需要说明的问题</w:t>
      </w:r>
    </w:p>
    <w:p w14:paraId="40B0415A">
      <w:pPr>
        <w:rPr>
          <w:rFonts w:hint="eastAsia"/>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5934"/>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377BD159">
        <w:pPr>
          <w:pStyle w:val="3"/>
          <w:jc w:val="right"/>
          <w:rPr>
            <w:rFonts w:asciiTheme="minorEastAsia" w:hAnsiTheme="minorEastAsia" w:eastAsiaTheme="minorEastAsia"/>
            <w:kern w:val="0"/>
          </w:rPr>
        </w:pPr>
      </w:p>
    </w:sdtContent>
  </w:sdt>
  <w:p w14:paraId="1F6D029A">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MzMTBmMjdjZDI3ZmZkOTA3MDc5MWQ0MzE4ZWNkNGUifQ=="/>
  </w:docVars>
  <w:rsids>
    <w:rsidRoot w:val="00000000"/>
    <w:rsid w:val="01AF3811"/>
    <w:rsid w:val="03795BF7"/>
    <w:rsid w:val="04C40ADD"/>
    <w:rsid w:val="086E756B"/>
    <w:rsid w:val="08EE18A3"/>
    <w:rsid w:val="0ACF37E5"/>
    <w:rsid w:val="0B400BC6"/>
    <w:rsid w:val="0E68228D"/>
    <w:rsid w:val="0EA6787F"/>
    <w:rsid w:val="10A420BD"/>
    <w:rsid w:val="15064376"/>
    <w:rsid w:val="15276E52"/>
    <w:rsid w:val="15AE73C0"/>
    <w:rsid w:val="19D32FBC"/>
    <w:rsid w:val="1E6A4395"/>
    <w:rsid w:val="1EF5495B"/>
    <w:rsid w:val="222B5EB7"/>
    <w:rsid w:val="25557A3D"/>
    <w:rsid w:val="26EA5ED7"/>
    <w:rsid w:val="27A93B82"/>
    <w:rsid w:val="2AE00186"/>
    <w:rsid w:val="308216BE"/>
    <w:rsid w:val="34FE1149"/>
    <w:rsid w:val="387A1A0B"/>
    <w:rsid w:val="3A550786"/>
    <w:rsid w:val="3B7A130F"/>
    <w:rsid w:val="491954A0"/>
    <w:rsid w:val="494A1329"/>
    <w:rsid w:val="499E2642"/>
    <w:rsid w:val="4F8B6063"/>
    <w:rsid w:val="52FA3F96"/>
    <w:rsid w:val="55850F17"/>
    <w:rsid w:val="57AE6D93"/>
    <w:rsid w:val="5E893A28"/>
    <w:rsid w:val="5F7F73F3"/>
    <w:rsid w:val="5FB623A7"/>
    <w:rsid w:val="653B6BC3"/>
    <w:rsid w:val="6E3851B0"/>
    <w:rsid w:val="784167CA"/>
    <w:rsid w:val="7914530E"/>
    <w:rsid w:val="7E674B3E"/>
    <w:rsid w:val="7ED67756"/>
    <w:rsid w:val="7F046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4983</Words>
  <Characters>5314</Characters>
  <TotalTime>5</TotalTime>
  <ScaleCrop>false</ScaleCrop>
  <LinksUpToDate>false</LinksUpToDate>
  <CharactersWithSpaces>5491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2024-10-10T08:32:46Z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A0E512AA4AAF467E9C7C57C075D3E9C3_13</vt:lpwstr>
  </property>
</Properties>
</file>