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30A5C">
      <w:pPr>
        <w:pStyle w:val="2"/>
        <w:spacing w:before="0" w:beforeAutospacing="0" w:after="0" w:afterAutospacing="0" w:line="300" w:lineRule="auto"/>
        <w:ind w:left="0" w:leftChars="0" w:right="0" w:rightChars="0"/>
        <w:jc w:val="center"/>
        <w:rPr>
          <w:rFonts w:hint="default" w:ascii="黑体" w:hAnsi="宋体" w:eastAsia="黑体" w:cs="黑体"/>
          <w:color w:val="000000"/>
          <w:sz w:val="44"/>
          <w:szCs w:val="44"/>
        </w:rPr>
      </w:pPr>
      <w:r>
        <w:rPr>
          <w:rFonts w:hint="default" w:ascii="黑体" w:hAnsi="宋体" w:eastAsia="黑体" w:cs="黑体"/>
          <w:color w:val="000000"/>
          <w:sz w:val="44"/>
          <w:szCs w:val="44"/>
        </w:rPr>
        <w:t>关于黄金佳园小区前期物业多次放火焚烧装修垃圾的投诉</w:t>
      </w:r>
    </w:p>
    <w:p w14:paraId="6C55507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投诉人：黄金佳园小区联名业主</w:t>
      </w:r>
    </w:p>
    <w:p w14:paraId="19E64D29">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被投诉单位：黄金佳园小区前期物业服务企业[</w:t>
      </w:r>
      <w:r>
        <w:rPr>
          <w:rFonts w:hint="eastAsia" w:ascii="Calibri" w:hAnsi="Calibri" w:eastAsia="宋体" w:cs="Calibri"/>
          <w:color w:val="000000"/>
          <w:sz w:val="24"/>
          <w:szCs w:val="24"/>
          <w:lang w:val="en-US" w:eastAsia="zh-CN"/>
        </w:rPr>
        <w:t>黄鑫物业有限公司</w:t>
      </w:r>
      <w:r>
        <w:rPr>
          <w:rFonts w:hint="default" w:ascii="Calibri" w:hAnsi="Calibri" w:eastAsia="宋体" w:cs="Calibri"/>
          <w:color w:val="000000"/>
          <w:sz w:val="24"/>
          <w:szCs w:val="24"/>
        </w:rPr>
        <w:t>]</w:t>
      </w:r>
    </w:p>
    <w:p w14:paraId="594F2DA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受理投诉单位：</w:t>
      </w:r>
      <w:r>
        <w:rPr>
          <w:rFonts w:hint="eastAsia" w:ascii="Calibri" w:hAnsi="Calibri" w:eastAsia="宋体" w:cs="Calibri"/>
          <w:color w:val="000000"/>
          <w:sz w:val="24"/>
          <w:szCs w:val="24"/>
          <w:lang w:val="en-US" w:eastAsia="zh-CN"/>
        </w:rPr>
        <w:t>岳阳</w:t>
      </w:r>
      <w:r>
        <w:rPr>
          <w:rFonts w:hint="default" w:ascii="Calibri" w:hAnsi="Calibri" w:eastAsia="宋体" w:cs="Calibri"/>
          <w:color w:val="000000"/>
          <w:sz w:val="24"/>
          <w:szCs w:val="24"/>
        </w:rPr>
        <w:t>市/区住房和城乡建设局、</w:t>
      </w:r>
      <w:r>
        <w:rPr>
          <w:rFonts w:hint="eastAsia" w:ascii="Calibri" w:hAnsi="Calibri" w:eastAsia="宋体" w:cs="Calibri"/>
          <w:color w:val="000000"/>
          <w:sz w:val="24"/>
          <w:szCs w:val="24"/>
          <w:lang w:val="en-US" w:eastAsia="zh-CN"/>
        </w:rPr>
        <w:t>汨罗</w:t>
      </w:r>
      <w:r>
        <w:rPr>
          <w:rFonts w:hint="default" w:ascii="Calibri" w:hAnsi="Calibri" w:eastAsia="宋体" w:cs="Calibri"/>
          <w:color w:val="000000"/>
          <w:sz w:val="24"/>
          <w:szCs w:val="24"/>
        </w:rPr>
        <w:t>市/区生态环境局、</w:t>
      </w:r>
      <w:r>
        <w:rPr>
          <w:rFonts w:hint="eastAsia" w:ascii="Calibri" w:hAnsi="Calibri" w:eastAsia="宋体" w:cs="Calibri"/>
          <w:color w:val="000000"/>
          <w:sz w:val="24"/>
          <w:szCs w:val="24"/>
          <w:lang w:val="en-US" w:eastAsia="zh-CN"/>
        </w:rPr>
        <w:t>汨罗</w:t>
      </w:r>
      <w:r>
        <w:rPr>
          <w:rFonts w:hint="default" w:ascii="Calibri" w:hAnsi="Calibri" w:eastAsia="宋体" w:cs="Calibri"/>
          <w:color w:val="000000"/>
          <w:sz w:val="24"/>
          <w:szCs w:val="24"/>
        </w:rPr>
        <w:t>市/区消防救援大队</w:t>
      </w:r>
    </w:p>
    <w:p w14:paraId="7484EA17">
      <w:pPr>
        <w:pStyle w:val="3"/>
        <w:spacing w:before="320" w:beforeAutospacing="0" w:after="0" w:afterAutospacing="0" w:line="300" w:lineRule="auto"/>
        <w:ind w:left="0" w:leftChars="0" w:right="0" w:rightChars="0"/>
        <w:rPr>
          <w:rFonts w:hint="default" w:ascii="黑体" w:hAnsi="宋体" w:eastAsia="黑体" w:cs="黑体"/>
          <w:color w:val="000000"/>
          <w:sz w:val="32"/>
          <w:szCs w:val="32"/>
        </w:rPr>
      </w:pPr>
      <w:r>
        <w:rPr>
          <w:rFonts w:hint="default" w:ascii="黑体" w:hAnsi="宋体" w:eastAsia="黑体" w:cs="黑体"/>
          <w:color w:val="000000"/>
          <w:sz w:val="32"/>
          <w:szCs w:val="32"/>
        </w:rPr>
        <w:t>一、投诉核心事由</w:t>
      </w:r>
    </w:p>
    <w:p w14:paraId="799BB300">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我们是黄金佳园小区的业主，小区交付后由开发企业选聘的前期物业提供物业服务，该物业为节省装修垃圾清运成本，长期多次在小区公共区域放火焚烧装修垃圾，严重污染小区环境、危害业主身体健康，同时存在重大消防安全隐患，经业主多次沟通仍拒不整改，现依法提出投诉。</w:t>
      </w:r>
    </w:p>
    <w:p w14:paraId="70D2CB80">
      <w:pPr>
        <w:pStyle w:val="3"/>
        <w:spacing w:before="320" w:beforeAutospacing="0" w:after="0" w:afterAutospacing="0" w:line="300" w:lineRule="auto"/>
        <w:ind w:left="0" w:leftChars="0" w:right="0" w:rightChars="0"/>
        <w:rPr>
          <w:rFonts w:hint="default" w:ascii="黑体" w:hAnsi="宋体" w:eastAsia="黑体" w:cs="黑体"/>
          <w:color w:val="000000"/>
          <w:sz w:val="32"/>
          <w:szCs w:val="32"/>
        </w:rPr>
      </w:pPr>
      <w:r>
        <w:rPr>
          <w:rFonts w:hint="default" w:ascii="黑体" w:hAnsi="宋体" w:eastAsia="黑体" w:cs="黑体"/>
          <w:color w:val="000000"/>
          <w:sz w:val="32"/>
          <w:szCs w:val="32"/>
        </w:rPr>
        <w:t>二、违规焚烧的具体事实</w:t>
      </w:r>
    </w:p>
    <w:p w14:paraId="4C0D6F36">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自小区</w:t>
      </w:r>
      <w:r>
        <w:rPr>
          <w:rFonts w:hint="eastAsia" w:ascii="Calibri" w:hAnsi="Calibri" w:eastAsia="宋体" w:cs="Calibri"/>
          <w:color w:val="000000"/>
          <w:sz w:val="24"/>
          <w:szCs w:val="24"/>
          <w:lang w:val="en-US" w:eastAsia="zh-CN"/>
        </w:rPr>
        <w:t>2022</w:t>
      </w:r>
      <w:r>
        <w:rPr>
          <w:rFonts w:hint="default" w:ascii="Calibri" w:hAnsi="Calibri" w:eastAsia="宋体" w:cs="Calibri"/>
          <w:color w:val="000000"/>
          <w:sz w:val="24"/>
          <w:szCs w:val="24"/>
        </w:rPr>
        <w:t>年</w:t>
      </w:r>
      <w:r>
        <w:rPr>
          <w:rFonts w:hint="eastAsia" w:ascii="Calibri" w:hAnsi="Calibri" w:eastAsia="宋体" w:cs="Calibri"/>
          <w:color w:val="000000"/>
          <w:sz w:val="24"/>
          <w:szCs w:val="24"/>
          <w:lang w:val="en-US" w:eastAsia="zh-CN"/>
        </w:rPr>
        <w:t>经新市政府同意未交房先入住</w:t>
      </w:r>
      <w:r>
        <w:rPr>
          <w:rFonts w:hint="default" w:ascii="Calibri" w:hAnsi="Calibri" w:eastAsia="宋体" w:cs="Calibri"/>
          <w:color w:val="000000"/>
          <w:sz w:val="24"/>
          <w:szCs w:val="24"/>
        </w:rPr>
        <w:t>，</w:t>
      </w:r>
      <w:r>
        <w:rPr>
          <w:rFonts w:hint="eastAsia" w:ascii="Calibri" w:hAnsi="Calibri" w:eastAsia="宋体" w:cs="Calibri"/>
          <w:color w:val="000000"/>
          <w:sz w:val="24"/>
          <w:szCs w:val="24"/>
          <w:lang w:val="en-US" w:eastAsia="zh-CN"/>
        </w:rPr>
        <w:t>入住每户缴纳2900-3900垃圾清运费和装修押金；</w:t>
      </w:r>
      <w:r>
        <w:rPr>
          <w:rFonts w:hint="default" w:ascii="Calibri" w:hAnsi="Calibri" w:eastAsia="宋体" w:cs="Calibri"/>
          <w:color w:val="000000"/>
          <w:sz w:val="24"/>
          <w:szCs w:val="24"/>
        </w:rPr>
        <w:t>小区产生的装修垃圾一直由前期物业负责清运处置，但该物业未按照规定将装修垃圾交由具备资质的单位统一清运分类处理，反而多次选择在小区内部公共区域放火焚烧，主要焚烧地点为小区</w:t>
      </w:r>
      <w:r>
        <w:rPr>
          <w:rFonts w:hint="eastAsia" w:ascii="Calibri" w:hAnsi="Calibri" w:eastAsia="宋体" w:cs="Calibri"/>
          <w:color w:val="000000"/>
          <w:sz w:val="24"/>
          <w:szCs w:val="24"/>
          <w:lang w:val="en-US" w:eastAsia="zh-CN"/>
        </w:rPr>
        <w:t>中间6</w:t>
      </w:r>
      <w:r>
        <w:rPr>
          <w:rFonts w:hint="default" w:ascii="Calibri" w:hAnsi="Calibri" w:eastAsia="宋体" w:cs="Calibri"/>
          <w:color w:val="000000"/>
          <w:sz w:val="24"/>
          <w:szCs w:val="24"/>
        </w:rPr>
        <w:t>号楼</w:t>
      </w:r>
      <w:r>
        <w:rPr>
          <w:rFonts w:hint="eastAsia" w:ascii="Calibri" w:hAnsi="Calibri" w:eastAsia="宋体" w:cs="Calibri"/>
          <w:color w:val="000000"/>
          <w:sz w:val="24"/>
          <w:szCs w:val="24"/>
          <w:lang w:val="en-US" w:eastAsia="zh-CN"/>
        </w:rPr>
        <w:t>单元正门口</w:t>
      </w:r>
      <w:r>
        <w:rPr>
          <w:rFonts w:hint="default" w:ascii="Calibri" w:hAnsi="Calibri" w:eastAsia="宋体" w:cs="Calibri"/>
          <w:color w:val="000000"/>
          <w:sz w:val="24"/>
          <w:szCs w:val="24"/>
        </w:rPr>
        <w:t>多选择傍晚或凌晨时段偷偷焚烧，累计焚烧次数已超过10</w:t>
      </w:r>
      <w:r>
        <w:rPr>
          <w:rFonts w:hint="eastAsia" w:ascii="Calibri" w:hAnsi="Calibri" w:eastAsia="宋体" w:cs="Calibri"/>
          <w:color w:val="000000"/>
          <w:sz w:val="24"/>
          <w:szCs w:val="24"/>
          <w:lang w:val="en-US" w:eastAsia="zh-CN"/>
        </w:rPr>
        <w:t>余</w:t>
      </w:r>
      <w:r>
        <w:rPr>
          <w:rFonts w:hint="default" w:ascii="Calibri" w:hAnsi="Calibri" w:eastAsia="宋体" w:cs="Calibri"/>
          <w:color w:val="000000"/>
          <w:sz w:val="24"/>
          <w:szCs w:val="24"/>
        </w:rPr>
        <w:t>次，近</w:t>
      </w:r>
      <w:r>
        <w:rPr>
          <w:rFonts w:hint="eastAsia" w:ascii="Calibri" w:hAnsi="Calibri" w:eastAsia="宋体" w:cs="Calibri"/>
          <w:color w:val="000000"/>
          <w:sz w:val="24"/>
          <w:szCs w:val="24"/>
          <w:lang w:val="en-US" w:eastAsia="zh-CN"/>
        </w:rPr>
        <w:t>10</w:t>
      </w:r>
      <w:r>
        <w:rPr>
          <w:rFonts w:hint="default" w:ascii="Calibri" w:hAnsi="Calibri" w:eastAsia="宋体" w:cs="Calibri"/>
          <w:color w:val="000000"/>
          <w:sz w:val="24"/>
          <w:szCs w:val="24"/>
        </w:rPr>
        <w:t>天内仍发生2次公开焚烧行为。</w:t>
      </w:r>
    </w:p>
    <w:p w14:paraId="74B39E59">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焚烧的装修垃圾中混杂大量涂料桶、保温泡沫、装饰板材、塑料管材等含有毒有害物质的废弃物，焚烧产生的浓密黑烟和刺鼻异味会扩散到全小区各个楼栋，导致小区室内外空气质量严重下降，多位业主反映出现咳嗽、咽喉肿痛、皮肤过敏等不适症状，家中有老人、儿童以及呼吸道疾病患者的业主正常生活受到严重干扰。</w:t>
      </w:r>
    </w:p>
    <w:p w14:paraId="447742FD">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从安全层面来看，焚烧点距离居民楼最近仅</w:t>
      </w:r>
      <w:r>
        <w:rPr>
          <w:rFonts w:hint="eastAsia" w:ascii="Calibri" w:hAnsi="Calibri" w:eastAsia="宋体" w:cs="Calibri"/>
          <w:color w:val="000000"/>
          <w:sz w:val="24"/>
          <w:szCs w:val="24"/>
          <w:lang w:val="en-US" w:eastAsia="zh-CN"/>
        </w:rPr>
        <w:t>3.5</w:t>
      </w:r>
      <w:r>
        <w:rPr>
          <w:rFonts w:hint="default" w:ascii="Calibri" w:hAnsi="Calibri" w:eastAsia="宋体" w:cs="Calibri"/>
          <w:color w:val="000000"/>
          <w:sz w:val="24"/>
          <w:szCs w:val="24"/>
        </w:rPr>
        <w:t>米，紧小区室外天然气管线和弱电井，焚烧明火最高超过1米，遇大风天气极容易引发火势蔓延，极易造成楼栋火灾、管线爆炸等重大安全事故，给全体业主的生命财产安全带来极大威胁。</w:t>
      </w:r>
    </w:p>
    <w:p w14:paraId="3A8B01E7">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针对该问题，业主先后</w:t>
      </w:r>
      <w:r>
        <w:rPr>
          <w:rFonts w:hint="eastAsia" w:ascii="Calibri" w:hAnsi="Calibri" w:eastAsia="宋体" w:cs="Calibri"/>
          <w:color w:val="000000"/>
          <w:sz w:val="24"/>
          <w:szCs w:val="24"/>
          <w:lang w:val="en-US" w:eastAsia="zh-CN"/>
        </w:rPr>
        <w:t>10多</w:t>
      </w:r>
      <w:r>
        <w:rPr>
          <w:rFonts w:hint="default" w:ascii="Calibri" w:hAnsi="Calibri" w:eastAsia="宋体" w:cs="Calibri"/>
          <w:color w:val="000000"/>
          <w:sz w:val="24"/>
          <w:szCs w:val="24"/>
        </w:rPr>
        <w:t>次与</w:t>
      </w:r>
      <w:r>
        <w:rPr>
          <w:rFonts w:hint="eastAsia" w:ascii="Calibri" w:hAnsi="Calibri" w:eastAsia="宋体" w:cs="Calibri"/>
          <w:color w:val="000000"/>
          <w:sz w:val="24"/>
          <w:szCs w:val="24"/>
          <w:lang w:val="en-US" w:eastAsia="zh-CN"/>
        </w:rPr>
        <w:t>前期</w:t>
      </w:r>
      <w:r>
        <w:rPr>
          <w:rFonts w:hint="default" w:ascii="Calibri" w:hAnsi="Calibri" w:eastAsia="宋体" w:cs="Calibri"/>
          <w:color w:val="000000"/>
          <w:sz w:val="24"/>
          <w:szCs w:val="24"/>
        </w:rPr>
        <w:t>物业负责人</w:t>
      </w:r>
      <w:r>
        <w:rPr>
          <w:rFonts w:hint="eastAsia" w:ascii="Calibri" w:hAnsi="Calibri" w:eastAsia="宋体" w:cs="Calibri"/>
          <w:color w:val="000000"/>
          <w:sz w:val="24"/>
          <w:szCs w:val="24"/>
          <w:lang w:val="en-US" w:eastAsia="zh-CN"/>
        </w:rPr>
        <w:t>苏正海</w:t>
      </w:r>
      <w:r>
        <w:rPr>
          <w:rFonts w:hint="default" w:ascii="Calibri" w:hAnsi="Calibri" w:eastAsia="宋体" w:cs="Calibri"/>
          <w:color w:val="000000"/>
          <w:sz w:val="24"/>
          <w:szCs w:val="24"/>
        </w:rPr>
        <w:t>沟通，要求停止焚烧、规范清运装修垃圾，但物业始终</w:t>
      </w:r>
      <w:r>
        <w:rPr>
          <w:rFonts w:hint="eastAsia" w:ascii="Calibri" w:hAnsi="Calibri" w:eastAsia="宋体" w:cs="Calibri"/>
          <w:color w:val="000000"/>
          <w:sz w:val="24"/>
          <w:szCs w:val="24"/>
          <w:lang w:val="en-US" w:eastAsia="zh-CN"/>
        </w:rPr>
        <w:t>回避</w:t>
      </w:r>
      <w:r>
        <w:rPr>
          <w:rFonts w:hint="default" w:ascii="Calibri" w:hAnsi="Calibri" w:eastAsia="宋体" w:cs="Calibri"/>
          <w:color w:val="000000"/>
          <w:sz w:val="24"/>
          <w:szCs w:val="24"/>
        </w:rPr>
        <w:t>态度，</w:t>
      </w:r>
      <w:r>
        <w:rPr>
          <w:rFonts w:hint="eastAsia" w:ascii="Calibri" w:hAnsi="Calibri" w:eastAsia="宋体" w:cs="Calibri"/>
          <w:color w:val="000000"/>
          <w:sz w:val="24"/>
          <w:szCs w:val="24"/>
          <w:lang w:val="en-US" w:eastAsia="zh-CN"/>
        </w:rPr>
        <w:t>未做任何</w:t>
      </w:r>
      <w:r>
        <w:rPr>
          <w:rFonts w:hint="default" w:ascii="Calibri" w:hAnsi="Calibri" w:eastAsia="宋体" w:cs="Calibri"/>
          <w:color w:val="000000"/>
          <w:sz w:val="24"/>
          <w:szCs w:val="24"/>
        </w:rPr>
        <w:t>整改，</w:t>
      </w:r>
      <w:r>
        <w:rPr>
          <w:rFonts w:hint="eastAsia" w:ascii="Calibri" w:hAnsi="Calibri" w:eastAsia="宋体" w:cs="Calibri"/>
          <w:color w:val="000000"/>
          <w:sz w:val="24"/>
          <w:szCs w:val="24"/>
          <w:lang w:val="en-US" w:eastAsia="zh-CN"/>
        </w:rPr>
        <w:t>业主</w:t>
      </w:r>
      <w:r>
        <w:rPr>
          <w:rFonts w:hint="default" w:ascii="Calibri" w:hAnsi="Calibri" w:eastAsia="宋体" w:cs="Calibri"/>
          <w:color w:val="000000"/>
          <w:sz w:val="24"/>
          <w:szCs w:val="24"/>
        </w:rPr>
        <w:t>从未</w:t>
      </w:r>
      <w:r>
        <w:rPr>
          <w:rFonts w:hint="eastAsia" w:ascii="Calibri" w:hAnsi="Calibri" w:eastAsia="宋体" w:cs="Calibri"/>
          <w:color w:val="000000"/>
          <w:sz w:val="24"/>
          <w:szCs w:val="24"/>
          <w:lang w:val="en-US" w:eastAsia="zh-CN"/>
        </w:rPr>
        <w:t>2022年2月到2026年9月反馈，</w:t>
      </w:r>
      <w:r>
        <w:rPr>
          <w:rFonts w:hint="default" w:ascii="Calibri" w:hAnsi="Calibri" w:eastAsia="宋体" w:cs="Calibri"/>
          <w:color w:val="000000"/>
          <w:sz w:val="24"/>
          <w:szCs w:val="24"/>
        </w:rPr>
        <w:t>违规焚烧行为屡禁不止，业主的合理诉求完全得不到回应。</w:t>
      </w:r>
    </w:p>
    <w:p w14:paraId="07A96265">
      <w:pPr>
        <w:pStyle w:val="3"/>
        <w:spacing w:before="320" w:beforeAutospacing="0" w:after="0" w:afterAutospacing="0" w:line="300" w:lineRule="auto"/>
        <w:ind w:left="0" w:leftChars="0" w:right="0" w:rightChars="0"/>
        <w:rPr>
          <w:rFonts w:hint="default" w:ascii="黑体" w:hAnsi="宋体" w:eastAsia="黑体" w:cs="黑体"/>
          <w:color w:val="000000"/>
          <w:sz w:val="32"/>
          <w:szCs w:val="32"/>
        </w:rPr>
      </w:pPr>
      <w:r>
        <w:rPr>
          <w:rFonts w:hint="default" w:ascii="黑体" w:hAnsi="宋体" w:eastAsia="黑体" w:cs="黑体"/>
          <w:color w:val="000000"/>
          <w:sz w:val="32"/>
          <w:szCs w:val="32"/>
        </w:rPr>
        <w:t>三、投诉具体诉求</w:t>
      </w:r>
    </w:p>
    <w:p w14:paraId="42CDA6C7">
      <w:pPr>
        <w:numPr>
          <w:ilvl w:val="0"/>
          <w:numId w:val="1"/>
        </w:numPr>
        <w:spacing w:before="0" w:beforeAutospacing="0" w:afterAutospacing="0" w:line="300" w:lineRule="auto"/>
        <w:ind w:left="0" w:leftChars="0" w:right="0" w:rightChars="0"/>
        <w:rPr>
          <w:rFonts w:hint="default" w:ascii="Calibri" w:hAnsi="Calibri" w:eastAsia="宋体" w:cs="Calibri"/>
          <w:color w:val="000000"/>
          <w:sz w:val="24"/>
          <w:szCs w:val="24"/>
        </w:rPr>
      </w:pPr>
      <w:r>
        <w:rPr>
          <w:rFonts w:hint="default" w:ascii="Calibri" w:hAnsi="Calibri" w:eastAsia="宋体" w:cs="Calibri"/>
          <w:color w:val="000000"/>
          <w:sz w:val="24"/>
          <w:szCs w:val="24"/>
        </w:rPr>
        <w:t>1. 请受理单位立即安排执法人员前往黄金佳园小区调查核实，依法对涉事物业的违法行为作出行政处罚，责令其立即停止所有场内焚烧装修垃圾的违规行为；</w:t>
      </w:r>
    </w:p>
    <w:p w14:paraId="7E4B34A5">
      <w:pPr>
        <w:numPr>
          <w:ilvl w:val="0"/>
          <w:numId w:val="1"/>
        </w:numPr>
        <w:spacing w:beforeAutospacing="0" w:afterAutospacing="0" w:line="300" w:lineRule="auto"/>
        <w:ind w:left="0" w:leftChars="0" w:right="0" w:rightChars="0"/>
        <w:rPr>
          <w:rFonts w:hint="default" w:ascii="Calibri" w:hAnsi="Calibri" w:eastAsia="宋体" w:cs="Calibri"/>
          <w:color w:val="000000"/>
          <w:sz w:val="24"/>
          <w:szCs w:val="24"/>
        </w:rPr>
      </w:pPr>
      <w:r>
        <w:rPr>
          <w:rFonts w:hint="default" w:ascii="Calibri" w:hAnsi="Calibri" w:eastAsia="宋体" w:cs="Calibri"/>
          <w:color w:val="000000"/>
          <w:sz w:val="24"/>
          <w:szCs w:val="24"/>
        </w:rPr>
        <w:t>2. 请督促涉事物业对焚烧区域的有毒残留物进行全面清理，委托专业机构对小区空气质量进行检测，消除污染遗留影响；</w:t>
      </w:r>
    </w:p>
    <w:p w14:paraId="5ECB9EAE">
      <w:pPr>
        <w:numPr>
          <w:ilvl w:val="0"/>
          <w:numId w:val="1"/>
        </w:numPr>
        <w:spacing w:beforeAutospacing="0" w:afterAutospacing="0" w:line="300" w:lineRule="auto"/>
        <w:ind w:left="0" w:leftChars="0" w:right="0" w:rightChars="0"/>
        <w:rPr>
          <w:rFonts w:hint="default" w:ascii="Calibri" w:hAnsi="Calibri" w:eastAsia="宋体" w:cs="Calibri"/>
          <w:color w:val="000000"/>
          <w:sz w:val="24"/>
          <w:szCs w:val="24"/>
        </w:rPr>
      </w:pPr>
      <w:r>
        <w:rPr>
          <w:rFonts w:hint="default" w:ascii="Calibri" w:hAnsi="Calibri" w:eastAsia="宋体" w:cs="Calibri"/>
          <w:color w:val="000000"/>
          <w:sz w:val="24"/>
          <w:szCs w:val="24"/>
        </w:rPr>
        <w:t>3. 请责令该前期物业严格按照《物业管理条例》《住宅室内装饰装修管理办法》相关规定，将所有装修垃圾交由具备资质的合规单位清运处置，建立装修垃圾存放、清运台账，接受业主监督；</w:t>
      </w:r>
    </w:p>
    <w:p w14:paraId="762D4CC1">
      <w:pPr>
        <w:numPr>
          <w:ilvl w:val="0"/>
          <w:numId w:val="1"/>
        </w:numPr>
        <w:spacing w:beforeAutospacing="0" w:after="0" w:afterAutospacing="0" w:line="300" w:lineRule="auto"/>
        <w:ind w:left="0" w:leftChars="0" w:right="0" w:rightChars="0"/>
        <w:rPr>
          <w:rFonts w:hint="default" w:ascii="Calibri" w:hAnsi="Calibri" w:eastAsia="宋体" w:cs="Calibri"/>
          <w:color w:val="000000"/>
          <w:sz w:val="24"/>
          <w:szCs w:val="24"/>
        </w:rPr>
      </w:pPr>
      <w:r>
        <w:rPr>
          <w:rFonts w:hint="default" w:ascii="Calibri" w:hAnsi="Calibri" w:eastAsia="宋体" w:cs="Calibri"/>
          <w:color w:val="000000"/>
          <w:sz w:val="24"/>
          <w:szCs w:val="24"/>
        </w:rPr>
        <w:t>4. 若涉事物业拒不整改，恳请将其违规行为记入物业服务企业信用档案，支持并指导小区业主按照法定程序更换前期物业服务企业。</w:t>
      </w:r>
    </w:p>
    <w:p w14:paraId="580127B5">
      <w:pPr>
        <w:spacing w:before="100" w:beforeAutospacing="0" w:after="100" w:afterAutospacing="0" w:line="300" w:lineRule="auto"/>
        <w:ind w:left="0" w:leftChars="0" w:right="0" w:rightChars="0" w:firstLine="480" w:firstLineChars="200"/>
        <w:rPr>
          <w:rFonts w:hint="default" w:ascii="Calibri" w:hAnsi="Calibri" w:eastAsia="宋体" w:cs="Calibri"/>
          <w:color w:val="000000"/>
          <w:sz w:val="24"/>
          <w:szCs w:val="24"/>
        </w:rPr>
      </w:pPr>
      <w:r>
        <w:rPr>
          <w:rFonts w:hint="default" w:ascii="Calibri" w:hAnsi="Calibri" w:eastAsia="宋体" w:cs="Calibri"/>
          <w:color w:val="000000"/>
          <w:sz w:val="24"/>
          <w:szCs w:val="24"/>
        </w:rPr>
        <w:t>黄金佳园小区</w:t>
      </w:r>
      <w:r>
        <w:rPr>
          <w:rFonts w:hint="default" w:ascii="Calibri" w:hAnsi="Calibri" w:eastAsia="宋体" w:cs="Calibri"/>
          <w:color w:val="000000"/>
          <w:sz w:val="24"/>
          <w:szCs w:val="24"/>
        </w:rPr>
        <w:t>业主联名</w:t>
      </w:r>
      <w:r>
        <w:rPr>
          <w:rFonts w:hint="default" w:ascii="Calibri" w:hAnsi="Calibri" w:eastAsia="宋体" w:cs="Calibri"/>
          <w:color w:val="000000"/>
          <w:sz w:val="24"/>
          <w:szCs w:val="24"/>
        </w:rPr>
        <w:t xml:space="preserve">投诉 </w:t>
      </w:r>
    </w:p>
    <w:p w14:paraId="6D7BAE2F">
      <w:pPr>
        <w:rPr>
          <w:rFonts w:hint="eastAsia" w:eastAsiaTheme="minorEastAsia"/>
          <w:lang w:eastAsia="zh-CN"/>
        </w:rPr>
      </w:pPr>
      <w:r>
        <w:rPr>
          <w:rFonts w:hint="eastAsia" w:eastAsiaTheme="minorEastAsia"/>
          <w:lang w:eastAsia="zh-CN"/>
        </w:rPr>
        <w:drawing>
          <wp:inline distT="0" distB="0" distL="114300" distR="114300">
            <wp:extent cx="1437640" cy="3072765"/>
            <wp:effectExtent l="0" t="0" r="10160" b="635"/>
            <wp:docPr id="1" name="图片 1" descr="f0459d0eabe306a722ff5970bce38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0459d0eabe306a722ff5970bce38e9e"/>
                    <pic:cNvPicPr>
                      <a:picLocks noChangeAspect="1"/>
                    </pic:cNvPicPr>
                  </pic:nvPicPr>
                  <pic:blipFill>
                    <a:blip r:embed="rId4"/>
                    <a:stretch>
                      <a:fillRect/>
                    </a:stretch>
                  </pic:blipFill>
                  <pic:spPr>
                    <a:xfrm>
                      <a:off x="0" y="0"/>
                      <a:ext cx="1437640" cy="3072765"/>
                    </a:xfrm>
                    <a:prstGeom prst="rect">
                      <a:avLst/>
                    </a:prstGeom>
                  </pic:spPr>
                </pic:pic>
              </a:graphicData>
            </a:graphic>
          </wp:inline>
        </w:drawing>
      </w:r>
      <w:r>
        <w:rPr>
          <w:rFonts w:hint="eastAsia" w:eastAsiaTheme="minorEastAsia"/>
          <w:lang w:eastAsia="zh-CN"/>
        </w:rPr>
        <w:drawing>
          <wp:inline distT="0" distB="0" distL="114300" distR="114300">
            <wp:extent cx="1236345" cy="3059430"/>
            <wp:effectExtent l="0" t="0" r="8255" b="1270"/>
            <wp:docPr id="2" name="图片 2" descr="07f260b96b69d2796ae4edb862ba7e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7f260b96b69d2796ae4edb862ba7e0c"/>
                    <pic:cNvPicPr>
                      <a:picLocks noChangeAspect="1"/>
                    </pic:cNvPicPr>
                  </pic:nvPicPr>
                  <pic:blipFill>
                    <a:blip r:embed="rId5"/>
                    <a:stretch>
                      <a:fillRect/>
                    </a:stretch>
                  </pic:blipFill>
                  <pic:spPr>
                    <a:xfrm>
                      <a:off x="0" y="0"/>
                      <a:ext cx="1236345" cy="3059430"/>
                    </a:xfrm>
                    <a:prstGeom prst="rect">
                      <a:avLst/>
                    </a:prstGeom>
                  </pic:spPr>
                </pic:pic>
              </a:graphicData>
            </a:graphic>
          </wp:inline>
        </w:drawing>
      </w:r>
      <w:r>
        <w:rPr>
          <w:rFonts w:hint="eastAsia" w:eastAsiaTheme="minorEastAsia"/>
          <w:lang w:eastAsia="zh-CN"/>
        </w:rPr>
        <w:drawing>
          <wp:inline distT="0" distB="0" distL="114300" distR="114300">
            <wp:extent cx="1088390" cy="3047365"/>
            <wp:effectExtent l="0" t="0" r="3810" b="635"/>
            <wp:docPr id="3" name="图片 3" descr="a029f60c5ce2b481e9f1df9a1fecf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29f60c5ce2b481e9f1df9a1fecf10e"/>
                    <pic:cNvPicPr>
                      <a:picLocks noChangeAspect="1"/>
                    </pic:cNvPicPr>
                  </pic:nvPicPr>
                  <pic:blipFill>
                    <a:blip r:embed="rId6"/>
                    <a:stretch>
                      <a:fillRect/>
                    </a:stretch>
                  </pic:blipFill>
                  <pic:spPr>
                    <a:xfrm>
                      <a:off x="0" y="0"/>
                      <a:ext cx="1088390" cy="3047365"/>
                    </a:xfrm>
                    <a:prstGeom prst="rect">
                      <a:avLst/>
                    </a:prstGeom>
                  </pic:spPr>
                </pic:pic>
              </a:graphicData>
            </a:graphic>
          </wp:inline>
        </w:drawing>
      </w:r>
      <w:r>
        <w:rPr>
          <w:rFonts w:hint="eastAsia" w:eastAsiaTheme="minorEastAsia"/>
          <w:lang w:eastAsia="zh-CN"/>
        </w:rPr>
        <w:drawing>
          <wp:inline distT="0" distB="0" distL="114300" distR="114300">
            <wp:extent cx="2420620" cy="1815465"/>
            <wp:effectExtent l="0" t="0" r="635" b="5080"/>
            <wp:docPr id="4" name="图片 4" descr="076cdc23b09679cff5bd85664206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76cdc23b09679cff5bd856642068707"/>
                    <pic:cNvPicPr>
                      <a:picLocks noChangeAspect="1"/>
                    </pic:cNvPicPr>
                  </pic:nvPicPr>
                  <pic:blipFill>
                    <a:blip r:embed="rId7"/>
                    <a:stretch>
                      <a:fillRect/>
                    </a:stretch>
                  </pic:blipFill>
                  <pic:spPr>
                    <a:xfrm rot="5400000">
                      <a:off x="0" y="0"/>
                      <a:ext cx="2420620" cy="1815465"/>
                    </a:xfrm>
                    <a:prstGeom prst="rect">
                      <a:avLst/>
                    </a:prstGeom>
                  </pic:spPr>
                </pic:pic>
              </a:graphicData>
            </a:graphic>
          </wp:inline>
        </w:drawing>
      </w:r>
      <w:r>
        <w:rPr>
          <w:rFonts w:hint="eastAsia" w:eastAsiaTheme="minorEastAsia"/>
          <w:lang w:eastAsia="zh-CN"/>
        </w:rPr>
        <w:drawing>
          <wp:inline distT="0" distB="0" distL="114300" distR="114300">
            <wp:extent cx="1824355" cy="2434590"/>
            <wp:effectExtent l="0" t="0" r="4445" b="3810"/>
            <wp:docPr id="5" name="图片 5" descr="c21a77b22630a69c19191337b563e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21a77b22630a69c19191337b563ede5"/>
                    <pic:cNvPicPr>
                      <a:picLocks noChangeAspect="1"/>
                    </pic:cNvPicPr>
                  </pic:nvPicPr>
                  <pic:blipFill>
                    <a:blip r:embed="rId8"/>
                    <a:stretch>
                      <a:fillRect/>
                    </a:stretch>
                  </pic:blipFill>
                  <pic:spPr>
                    <a:xfrm>
                      <a:off x="0" y="0"/>
                      <a:ext cx="1824355" cy="2434590"/>
                    </a:xfrm>
                    <a:prstGeom prst="rect">
                      <a:avLst/>
                    </a:prstGeom>
                  </pic:spPr>
                </pic:pic>
              </a:graphicData>
            </a:graphic>
          </wp:inline>
        </w:drawing>
      </w:r>
      <w:bookmarkStart w:id="0" w:name="_GoBack"/>
      <w:r>
        <w:rPr>
          <w:rFonts w:hint="eastAsia" w:eastAsiaTheme="minorEastAsia"/>
          <w:lang w:eastAsia="zh-CN"/>
        </w:rPr>
        <w:drawing>
          <wp:inline distT="0" distB="0" distL="114300" distR="114300">
            <wp:extent cx="1706880" cy="2276475"/>
            <wp:effectExtent l="0" t="0" r="7620" b="9525"/>
            <wp:docPr id="6" name="图片 6" descr="a805d2e511b61190d36850315ea0ad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805d2e511b61190d36850315ea0ad9c"/>
                    <pic:cNvPicPr>
                      <a:picLocks noChangeAspect="1"/>
                    </pic:cNvPicPr>
                  </pic:nvPicPr>
                  <pic:blipFill>
                    <a:blip r:embed="rId8"/>
                    <a:stretch>
                      <a:fillRect/>
                    </a:stretch>
                  </pic:blipFill>
                  <pic:spPr>
                    <a:xfrm>
                      <a:off x="0" y="0"/>
                      <a:ext cx="1706880" cy="227647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40DBFF"/>
    <w:multiLevelType w:val="singleLevel"/>
    <w:tmpl w:val="D540DBFF"/>
    <w:lvl w:ilvl="0" w:tentative="0">
      <w:start w:val="1"/>
      <w:numFmt w:val="bullet"/>
      <w:lvlText w:val=""/>
      <w:lvlJc w:val="left"/>
      <w:pPr>
        <w:ind w:left="72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DA3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73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2026-09-17T03:13:02Z</dcterms:created>
  <dc:creator>hdf</dc:creator>
  <cp:lastModifiedBy>77</cp:lastModifiedBy>
  <dcterms:modified xsi:type="dcterms:W3CDTF">2026-09-17T04:26:51Z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eyJoZGlkIjoiYjcyNDgxMTNlNjA4ZGM4NTkyOTE1OTk2MGM2ZDNlY2UiLCJ1c2VySWQiOiIyNzEwNDAwNTcifQ==</vt:lpwstr>
  </property>
  <property fmtid="{D5CDD505-2E9C-101B-9397-08002B2CF9AE}" pid="4" name="ICV">
    <vt:lpwstr>35106928122E48BDB6D531BB89F58F76_12</vt:lpwstr>
  </property>
</Properties>
</file>