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highlight w:val="none"/>
          <w:u w:val="none" w:color="auto"/>
        </w:rPr>
      </w:pPr>
    </w:p>
    <w:p>
      <w:pPr>
        <w:rPr>
          <w:rFonts w:hint="default" w:ascii="Times New Roman" w:hAnsi="Times New Roman" w:eastAsia="宋体" w:cs="Times New Roman"/>
          <w:color w:val="auto"/>
          <w:sz w:val="36"/>
          <w:szCs w:val="36"/>
          <w:highlight w:val="none"/>
          <w:u w:val="none" w:color="auto"/>
        </w:rPr>
      </w:pPr>
      <w:r>
        <w:rPr>
          <w:rFonts w:hint="default" w:ascii="Times New Roman" w:hAnsi="Times New Roman" w:eastAsia="宋体" w:cs="Times New Roman"/>
          <w:b/>
          <w:bCs w:val="0"/>
          <w:color w:val="auto"/>
          <w:sz w:val="72"/>
          <w:szCs w:val="72"/>
          <w:highlight w:val="none"/>
          <w:u w:val="none" w:color="auto"/>
        </w:rPr>
        <w:drawing>
          <wp:anchor distT="0" distB="0" distL="114300" distR="114300" simplePos="0" relativeHeight="251662336" behindDoc="0" locked="0" layoutInCell="1" allowOverlap="1">
            <wp:simplePos x="0" y="0"/>
            <wp:positionH relativeFrom="column">
              <wp:posOffset>0</wp:posOffset>
            </wp:positionH>
            <wp:positionV relativeFrom="paragraph">
              <wp:posOffset>188595</wp:posOffset>
            </wp:positionV>
            <wp:extent cx="5831205" cy="8113395"/>
            <wp:effectExtent l="0" t="0" r="17145" b="1905"/>
            <wp:wrapNone/>
            <wp:docPr id="130" name="图片 130" descr="微信图片_202505061817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0" name="图片 130" descr="微信图片_20250506181740"/>
                    <pic:cNvPicPr>
                      <a:picLocks noChangeAspect="true"/>
                    </pic:cNvPicPr>
                  </pic:nvPicPr>
                  <pic:blipFill>
                    <a:blip r:embed="rId8"/>
                    <a:stretch>
                      <a:fillRect/>
                    </a:stretch>
                  </pic:blipFill>
                  <pic:spPr>
                    <a:xfrm>
                      <a:off x="0" y="0"/>
                      <a:ext cx="5831205" cy="8113395"/>
                    </a:xfrm>
                    <a:prstGeom prst="rect">
                      <a:avLst/>
                    </a:prstGeom>
                  </pic:spPr>
                </pic:pic>
              </a:graphicData>
            </a:graphic>
          </wp:anchor>
        </w:drawing>
      </w:r>
    </w:p>
    <w:p>
      <w:pPr>
        <w:rPr>
          <w:rFonts w:hint="default" w:ascii="Times New Roman" w:hAnsi="Times New Roman" w:eastAsia="宋体" w:cs="Times New Roman"/>
          <w:color w:val="auto"/>
          <w:sz w:val="36"/>
          <w:szCs w:val="36"/>
          <w:highlight w:val="none"/>
          <w:u w:val="none" w:color="auto"/>
        </w:rPr>
      </w:pPr>
    </w:p>
    <w:p>
      <w:pPr>
        <w:rPr>
          <w:rFonts w:hint="default" w:ascii="Times New Roman" w:hAnsi="Times New Roman" w:eastAsia="宋体" w:cs="Times New Roman"/>
          <w:color w:val="auto"/>
          <w:sz w:val="36"/>
          <w:szCs w:val="36"/>
          <w:highlight w:val="none"/>
          <w:u w:val="none" w:color="auto"/>
        </w:rPr>
      </w:pPr>
    </w:p>
    <w:p>
      <w:pPr>
        <w:adjustRightInd w:val="0"/>
        <w:snapToGrid w:val="0"/>
        <w:jc w:val="center"/>
        <w:outlineLvl w:val="0"/>
        <w:rPr>
          <w:rFonts w:hint="default" w:ascii="Times New Roman" w:hAnsi="Times New Roman" w:eastAsia="宋体" w:cs="Times New Roman"/>
          <w:b/>
          <w:bCs w:val="0"/>
          <w:color w:val="auto"/>
          <w:sz w:val="72"/>
          <w:szCs w:val="72"/>
          <w:highlight w:val="none"/>
          <w:u w:val="none" w:color="auto"/>
        </w:rPr>
      </w:pPr>
      <w:bookmarkStart w:id="0" w:name="_Toc1270"/>
      <w:r>
        <w:rPr>
          <w:rFonts w:hint="default" w:ascii="Times New Roman" w:hAnsi="Times New Roman" w:eastAsia="宋体" w:cs="Times New Roman"/>
          <w:b/>
          <w:bCs w:val="0"/>
          <w:color w:val="auto"/>
          <w:sz w:val="72"/>
          <w:szCs w:val="72"/>
          <w:highlight w:val="none"/>
          <w:u w:val="none" w:color="auto"/>
        </w:rPr>
        <w:t>建设项目环境影响报告表</w:t>
      </w:r>
      <w:bookmarkEnd w:id="0"/>
    </w:p>
    <w:p>
      <w:pPr>
        <w:adjustRightInd w:val="0"/>
        <w:snapToGrid w:val="0"/>
        <w:spacing w:before="192" w:beforeLines="80"/>
        <w:jc w:val="center"/>
        <w:rPr>
          <w:rFonts w:hint="default" w:ascii="Times New Roman" w:hAnsi="Times New Roman" w:eastAsia="宋体" w:cs="Times New Roman"/>
          <w:b/>
          <w:color w:val="auto"/>
          <w:sz w:val="48"/>
          <w:szCs w:val="48"/>
          <w:highlight w:val="none"/>
          <w:u w:val="none" w:color="auto"/>
        </w:rPr>
      </w:pPr>
      <w:r>
        <w:rPr>
          <w:rFonts w:hint="default" w:ascii="Times New Roman" w:hAnsi="Times New Roman" w:eastAsia="宋体" w:cs="Times New Roman"/>
          <w:b/>
          <w:color w:val="auto"/>
          <w:sz w:val="48"/>
          <w:szCs w:val="48"/>
          <w:highlight w:val="none"/>
          <w:u w:val="none" w:color="auto"/>
        </w:rPr>
        <w:t>（污染影响类）</w:t>
      </w:r>
    </w:p>
    <w:p>
      <w:pPr>
        <w:adjustRightInd w:val="0"/>
        <w:snapToGrid w:val="0"/>
        <w:spacing w:line="288" w:lineRule="auto"/>
        <w:jc w:val="center"/>
        <w:rPr>
          <w:rFonts w:hint="default" w:ascii="Times New Roman" w:hAnsi="Times New Roman" w:eastAsia="宋体" w:cs="Times New Roman"/>
          <w:b/>
          <w:color w:val="auto"/>
          <w:kern w:val="44"/>
          <w:sz w:val="44"/>
          <w:szCs w:val="44"/>
          <w:highlight w:val="none"/>
          <w:u w:val="none" w:color="auto"/>
        </w:rPr>
      </w:pPr>
    </w:p>
    <w:p>
      <w:pPr>
        <w:jc w:val="center"/>
        <w:rPr>
          <w:rFonts w:hint="default" w:ascii="Times New Roman" w:hAnsi="Times New Roman" w:eastAsia="宋体" w:cs="Times New Roman"/>
          <w:b/>
          <w:color w:val="auto"/>
          <w:sz w:val="52"/>
          <w:szCs w:val="52"/>
          <w:highlight w:val="none"/>
          <w:u w:val="none" w:color="auto"/>
        </w:rPr>
      </w:pPr>
    </w:p>
    <w:p>
      <w:pPr>
        <w:ind w:firstLine="1040"/>
        <w:rPr>
          <w:rFonts w:hint="default" w:ascii="Times New Roman" w:hAnsi="Times New Roman" w:eastAsia="宋体" w:cs="Times New Roman"/>
          <w:b/>
          <w:color w:val="auto"/>
          <w:sz w:val="44"/>
          <w:szCs w:val="44"/>
          <w:highlight w:val="none"/>
          <w:u w:val="none" w:color="auto"/>
        </w:rPr>
      </w:pPr>
    </w:p>
    <w:p>
      <w:pPr>
        <w:ind w:firstLine="1040"/>
        <w:rPr>
          <w:rFonts w:hint="default" w:ascii="Times New Roman" w:hAnsi="Times New Roman" w:eastAsia="宋体" w:cs="Times New Roman"/>
          <w:b/>
          <w:color w:val="auto"/>
          <w:sz w:val="44"/>
          <w:szCs w:val="44"/>
          <w:highlight w:val="none"/>
          <w:u w:val="none" w:color="auto"/>
        </w:rPr>
      </w:pPr>
    </w:p>
    <w:p>
      <w:pPr>
        <w:ind w:firstLine="1040"/>
        <w:rPr>
          <w:rFonts w:hint="default" w:ascii="Times New Roman" w:hAnsi="Times New Roman" w:eastAsia="宋体" w:cs="Times New Roman"/>
          <w:b/>
          <w:color w:val="auto"/>
          <w:sz w:val="44"/>
          <w:szCs w:val="44"/>
          <w:highlight w:val="none"/>
          <w:u w:val="none" w:color="auto"/>
        </w:rPr>
      </w:pPr>
    </w:p>
    <w:p>
      <w:pPr>
        <w:ind w:firstLine="1040"/>
        <w:rPr>
          <w:rFonts w:hint="default" w:ascii="Times New Roman" w:hAnsi="Times New Roman" w:eastAsia="宋体" w:cs="Times New Roman"/>
          <w:b/>
          <w:color w:val="auto"/>
          <w:sz w:val="44"/>
          <w:szCs w:val="44"/>
          <w:highlight w:val="none"/>
          <w:u w:val="none" w:color="auto"/>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5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项目名称：</w:t>
            </w:r>
          </w:p>
        </w:tc>
        <w:tc>
          <w:tcPr>
            <w:tcW w:w="5732" w:type="dxa"/>
            <w:tcBorders>
              <w:top w:val="nil"/>
              <w:left w:val="nil"/>
              <w:right w:val="nil"/>
            </w:tcBorders>
          </w:tcPr>
          <w:p>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eastAsia" w:cs="Times New Roman"/>
                <w:b/>
                <w:color w:val="auto"/>
                <w:sz w:val="36"/>
                <w:szCs w:val="36"/>
                <w:highlight w:val="none"/>
                <w:u w:val="none" w:color="auto"/>
                <w:lang w:eastAsia="zh-CN"/>
              </w:rPr>
              <w:t>年破碎72000吨废塑料、废开关插座建设项目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建设单位（盖章）：</w:t>
            </w:r>
          </w:p>
        </w:tc>
        <w:tc>
          <w:tcPr>
            <w:tcW w:w="5732" w:type="dxa"/>
            <w:tcBorders>
              <w:left w:val="nil"/>
              <w:right w:val="nil"/>
            </w:tcBorders>
          </w:tcPr>
          <w:p>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eastAsia" w:cs="Times New Roman"/>
                <w:b/>
                <w:color w:val="auto"/>
                <w:sz w:val="36"/>
                <w:szCs w:val="36"/>
                <w:highlight w:val="none"/>
                <w:u w:val="none" w:color="auto"/>
                <w:lang w:eastAsia="zh-CN"/>
              </w:rPr>
              <w:t>湖南旭胜新材料有限公司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编制日期：</w:t>
            </w:r>
          </w:p>
        </w:tc>
        <w:tc>
          <w:tcPr>
            <w:tcW w:w="5732" w:type="dxa"/>
            <w:tcBorders>
              <w:left w:val="nil"/>
              <w:right w:val="nil"/>
            </w:tcBorders>
          </w:tcPr>
          <w:p>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二〇二</w:t>
            </w:r>
            <w:r>
              <w:rPr>
                <w:rFonts w:hint="eastAsia" w:cs="Times New Roman"/>
                <w:b/>
                <w:color w:val="auto"/>
                <w:sz w:val="36"/>
                <w:szCs w:val="36"/>
                <w:highlight w:val="none"/>
                <w:u w:val="none" w:color="auto"/>
                <w:lang w:val="en-US" w:eastAsia="zh-CN"/>
              </w:rPr>
              <w:t>五</w:t>
            </w:r>
            <w:r>
              <w:rPr>
                <w:rFonts w:hint="default" w:ascii="Times New Roman" w:hAnsi="Times New Roman" w:eastAsia="宋体" w:cs="Times New Roman"/>
                <w:b/>
                <w:color w:val="auto"/>
                <w:sz w:val="36"/>
                <w:szCs w:val="36"/>
                <w:highlight w:val="none"/>
                <w:u w:val="none" w:color="auto"/>
              </w:rPr>
              <w:t>年</w:t>
            </w:r>
            <w:r>
              <w:rPr>
                <w:rFonts w:hint="eastAsia" w:cs="Times New Roman"/>
                <w:b/>
                <w:color w:val="auto"/>
                <w:sz w:val="36"/>
                <w:szCs w:val="36"/>
                <w:highlight w:val="none"/>
                <w:u w:val="none" w:color="auto"/>
                <w:lang w:val="en-US" w:eastAsia="zh-CN"/>
              </w:rPr>
              <w:t>四</w:t>
            </w:r>
            <w:r>
              <w:rPr>
                <w:rFonts w:hint="default" w:ascii="Times New Roman" w:hAnsi="Times New Roman" w:eastAsia="宋体" w:cs="Times New Roman"/>
                <w:b/>
                <w:color w:val="auto"/>
                <w:sz w:val="36"/>
                <w:szCs w:val="36"/>
                <w:highlight w:val="none"/>
                <w:u w:val="none" w:color="auto"/>
              </w:rPr>
              <w:t>月</w:t>
            </w:r>
          </w:p>
        </w:tc>
      </w:tr>
    </w:tbl>
    <w:p>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bookmarkStart w:id="1" w:name="_Hlk57884087"/>
    </w:p>
    <w:p>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bookmarkEnd w:id="1"/>
    <w:p>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rPr>
      </w:pPr>
    </w:p>
    <w:p>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rPr>
      </w:pP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宋体" w:cs="Times New Roman"/>
          <w:color w:val="auto"/>
          <w:sz w:val="36"/>
          <w:szCs w:val="36"/>
          <w:highlight w:val="none"/>
          <w:u w:val="none" w:color="auto"/>
          <w:lang w:eastAsia="zh-CN"/>
        </w:rPr>
        <w:drawing>
          <wp:inline distT="0" distB="0" distL="114300" distR="114300">
            <wp:extent cx="6049645" cy="8443595"/>
            <wp:effectExtent l="0" t="0" r="8255" b="14605"/>
            <wp:docPr id="127" name="图片 127" descr="微信图片_202505061817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7" name="图片 127" descr="微信图片_20250506181743"/>
                    <pic:cNvPicPr>
                      <a:picLocks noChangeAspect="true"/>
                    </pic:cNvPicPr>
                  </pic:nvPicPr>
                  <pic:blipFill>
                    <a:blip r:embed="rId9"/>
                    <a:stretch>
                      <a:fillRect/>
                    </a:stretch>
                  </pic:blipFill>
                  <pic:spPr>
                    <a:xfrm>
                      <a:off x="0" y="0"/>
                      <a:ext cx="6049645" cy="8443595"/>
                    </a:xfrm>
                    <a:prstGeom prst="rect">
                      <a:avLst/>
                    </a:prstGeom>
                  </pic:spPr>
                </pic:pic>
              </a:graphicData>
            </a:graphic>
          </wp:inline>
        </w:drawing>
      </w:r>
    </w:p>
    <w:p>
      <w:pPr>
        <w:pStyle w:val="280"/>
        <w:rPr>
          <w:rFonts w:hint="default" w:eastAsia="宋体"/>
          <w:color w:val="auto"/>
          <w:sz w:val="36"/>
          <w:szCs w:val="36"/>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eastAsia="宋体"/>
          <w:color w:val="auto"/>
          <w:sz w:val="36"/>
          <w:szCs w:val="36"/>
          <w:u w:val="none" w:color="auto"/>
        </w:rPr>
        <mc:AlternateContent>
          <mc:Choice Requires="wps">
            <w:drawing>
              <wp:anchor distT="0" distB="0" distL="114300" distR="114300" simplePos="0" relativeHeight="251660288" behindDoc="0" locked="0" layoutInCell="1" allowOverlap="1">
                <wp:simplePos x="0" y="0"/>
                <wp:positionH relativeFrom="column">
                  <wp:posOffset>-379730</wp:posOffset>
                </wp:positionH>
                <wp:positionV relativeFrom="paragraph">
                  <wp:posOffset>3484245</wp:posOffset>
                </wp:positionV>
                <wp:extent cx="6079490" cy="656590"/>
                <wp:effectExtent l="0" t="0" r="0" b="0"/>
                <wp:wrapNone/>
                <wp:docPr id="7" name="文本框 7"/>
                <wp:cNvGraphicFramePr/>
                <a:graphic xmlns:a="http://schemas.openxmlformats.org/drawingml/2006/main">
                  <a:graphicData uri="http://schemas.microsoft.com/office/word/2010/wordprocessingShape">
                    <wps:wsp>
                      <wps:cNvSpPr txBox="true"/>
                      <wps:spPr>
                        <a:xfrm rot="-1489747">
                          <a:off x="0" y="0"/>
                          <a:ext cx="6079490" cy="656590"/>
                        </a:xfrm>
                        <a:prstGeom prst="rect">
                          <a:avLst/>
                        </a:prstGeom>
                        <a:noFill/>
                        <a:ln w="6350">
                          <a:noFill/>
                        </a:ln>
                        <a:effectLst/>
                      </wps:spPr>
                      <wps:txbx>
                        <w:txbxContent>
                          <w:p>
                            <w:pPr>
                              <w:spacing w:beforeLines="0" w:afterLines="0"/>
                              <w:jc w:val="center"/>
                              <w:rPr>
                                <w:rFonts w:hint="eastAsia" w:eastAsia="宋体"/>
                                <w:b/>
                                <w:color w:val="FF0000"/>
                                <w:sz w:val="24"/>
                                <w:szCs w:val="24"/>
                              </w:rPr>
                            </w:pPr>
                            <w:r>
                              <w:rPr>
                                <w:rFonts w:hint="eastAsia" w:eastAsia="宋体"/>
                                <w:b/>
                                <w:color w:val="FF0000"/>
                                <w:sz w:val="24"/>
                                <w:szCs w:val="24"/>
                              </w:rPr>
                              <w:t>仅供湖南旭胜新材料有限公司年破碎72000吨废塑料、废开关插座建设项目</w:t>
                            </w:r>
                          </w:p>
                          <w:p>
                            <w:pPr>
                              <w:spacing w:beforeLines="0" w:afterLines="0"/>
                              <w:jc w:val="center"/>
                              <w:rPr>
                                <w:rFonts w:hint="eastAsia"/>
                                <w:b/>
                                <w:color w:val="FF0000"/>
                                <w:sz w:val="24"/>
                                <w:szCs w:val="24"/>
                              </w:rPr>
                            </w:pPr>
                            <w:r>
                              <w:rPr>
                                <w:rFonts w:hint="eastAsia" w:eastAsia="宋体"/>
                                <w:b/>
                                <w:color w:val="FF0000"/>
                                <w:sz w:val="24"/>
                                <w:szCs w:val="24"/>
                              </w:rPr>
                              <w:t>环境影响报告表使用</w:t>
                            </w:r>
                          </w:p>
                        </w:txbxContent>
                      </wps:txbx>
                      <wps:bodyPr upright="true"/>
                    </wps:wsp>
                  </a:graphicData>
                </a:graphic>
              </wp:anchor>
            </w:drawing>
          </mc:Choice>
          <mc:Fallback>
            <w:pict>
              <v:shape id="_x0000_s1026" o:spid="_x0000_s1026" o:spt="202" type="#_x0000_t202" style="position:absolute;left:0pt;margin-left:-29.9pt;margin-top:274.35pt;height:51.7pt;width:478.7pt;rotation:-1627201f;z-index:251660288;mso-width-relative:page;mso-height-relative:page;" filled="f" stroked="f" coordsize="21600,21600" o:gfxdata="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NITp/DcAAAACwEAAA8AAAAAAAAAAQAgAAAAOAAAAGRycy9kb3du&#10;cmV2LnhtbFBLAQIUABQAAAAIAIdO4kAyGbV7rAEAACwDAAAOAAAAAAAAAAEAIAAAAEEBAABkcnMv&#10;ZTJvRG9jLnhtbFBLBQYAAAAABgAGAFkBAABfBQAAAAA=&#10;">
                <v:fill on="f" focussize="0,0"/>
                <v:stroke on="f" weight="0.5pt"/>
                <v:imagedata o:title=""/>
                <o:lock v:ext="edit" aspectratio="f"/>
                <v:textbox>
                  <w:txbxContent>
                    <w:p>
                      <w:pPr>
                        <w:spacing w:beforeLines="0" w:afterLines="0"/>
                        <w:jc w:val="center"/>
                        <w:rPr>
                          <w:rFonts w:hint="eastAsia" w:eastAsia="宋体"/>
                          <w:b/>
                          <w:color w:val="FF0000"/>
                          <w:sz w:val="24"/>
                          <w:szCs w:val="24"/>
                        </w:rPr>
                      </w:pPr>
                      <w:r>
                        <w:rPr>
                          <w:rFonts w:hint="eastAsia" w:eastAsia="宋体"/>
                          <w:b/>
                          <w:color w:val="FF0000"/>
                          <w:sz w:val="24"/>
                          <w:szCs w:val="24"/>
                        </w:rPr>
                        <w:t>仅供湖南旭胜新材料有限公司年破碎72000吨废塑料、废开关插座建设项目</w:t>
                      </w:r>
                    </w:p>
                    <w:p>
                      <w:pPr>
                        <w:spacing w:beforeLines="0" w:afterLines="0"/>
                        <w:jc w:val="center"/>
                        <w:rPr>
                          <w:rFonts w:hint="eastAsia"/>
                          <w:b/>
                          <w:color w:val="FF0000"/>
                          <w:sz w:val="24"/>
                          <w:szCs w:val="24"/>
                        </w:rPr>
                      </w:pPr>
                      <w:r>
                        <w:rPr>
                          <w:rFonts w:hint="eastAsia" w:eastAsia="宋体"/>
                          <w:b/>
                          <w:color w:val="FF0000"/>
                          <w:sz w:val="24"/>
                          <w:szCs w:val="24"/>
                        </w:rPr>
                        <w:t>环境影响报告表使用</w:t>
                      </w:r>
                    </w:p>
                  </w:txbxContent>
                </v:textbox>
              </v:shape>
            </w:pict>
          </mc:Fallback>
        </mc:AlternateContent>
      </w:r>
      <w:r>
        <w:rPr>
          <w:rFonts w:hint="default" w:eastAsia="宋体"/>
          <w:color w:val="auto"/>
          <w:sz w:val="36"/>
          <w:szCs w:val="36"/>
          <w:u w:val="none" w:color="auto"/>
        </w:rPr>
        <w:drawing>
          <wp:inline distT="0" distB="0" distL="114300" distR="114300">
            <wp:extent cx="5238750" cy="3636010"/>
            <wp:effectExtent l="0" t="0" r="0" b="2540"/>
            <wp:docPr id="4" name="图片 2" descr="10a52e93b405d3ad884304ea9ed33f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descr="10a52e93b405d3ad884304ea9ed33f4"/>
                    <pic:cNvPicPr>
                      <a:picLocks noChangeAspect="true"/>
                    </pic:cNvPicPr>
                  </pic:nvPicPr>
                  <pic:blipFill>
                    <a:blip r:embed="rId10"/>
                    <a:stretch>
                      <a:fillRect/>
                    </a:stretch>
                  </pic:blipFill>
                  <pic:spPr>
                    <a:xfrm>
                      <a:off x="0" y="0"/>
                      <a:ext cx="5238750" cy="3636010"/>
                    </a:xfrm>
                    <a:prstGeom prst="rect">
                      <a:avLst/>
                    </a:prstGeom>
                    <a:noFill/>
                    <a:ln>
                      <a:noFill/>
                    </a:ln>
                  </pic:spPr>
                </pic:pic>
              </a:graphicData>
            </a:graphic>
          </wp:inline>
        </w:drawing>
      </w:r>
      <w:r>
        <w:rPr>
          <w:rFonts w:hint="default" w:eastAsia="宋体"/>
          <w:color w:val="auto"/>
          <w:sz w:val="36"/>
          <w:szCs w:val="36"/>
          <w:u w:val="none" w:color="auto"/>
        </w:rPr>
        <w:drawing>
          <wp:inline distT="0" distB="0" distL="114300" distR="114300">
            <wp:extent cx="5263515" cy="3762375"/>
            <wp:effectExtent l="0" t="0" r="13335" b="9525"/>
            <wp:docPr id="5" name="图片 3" descr="6815d26503e0e530af94a63a83ee71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descr="6815d26503e0e530af94a63a83ee71f"/>
                    <pic:cNvPicPr>
                      <a:picLocks noChangeAspect="true"/>
                    </pic:cNvPicPr>
                  </pic:nvPicPr>
                  <pic:blipFill>
                    <a:blip r:embed="rId11"/>
                    <a:stretch>
                      <a:fillRect/>
                    </a:stretch>
                  </pic:blipFill>
                  <pic:spPr>
                    <a:xfrm>
                      <a:off x="0" y="0"/>
                      <a:ext cx="5263515" cy="3762375"/>
                    </a:xfrm>
                    <a:prstGeom prst="rect">
                      <a:avLst/>
                    </a:prstGeom>
                    <a:noFill/>
                    <a:ln>
                      <a:noFill/>
                    </a:ln>
                  </pic:spPr>
                </pic:pic>
              </a:graphicData>
            </a:graphic>
          </wp:inline>
        </w:drawing>
      </w: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宋体" w:cs="Times New Roman"/>
          <w:color w:val="auto"/>
          <w:sz w:val="36"/>
          <w:szCs w:val="36"/>
          <w:highlight w:val="none"/>
          <w:u w:val="none" w:color="auto"/>
          <w:lang w:eastAsia="zh-CN"/>
        </w:rPr>
        <w:drawing>
          <wp:inline distT="0" distB="0" distL="114300" distR="114300">
            <wp:extent cx="5610225" cy="7935595"/>
            <wp:effectExtent l="0" t="0" r="9525" b="8255"/>
            <wp:docPr id="1" name="图片 1" descr="366d6cc4-d99a-486e-bf21-8157a484b3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366d6cc4-d99a-486e-bf21-8157a484b348"/>
                    <pic:cNvPicPr>
                      <a:picLocks noChangeAspect="true"/>
                    </pic:cNvPicPr>
                  </pic:nvPicPr>
                  <pic:blipFill>
                    <a:blip r:embed="rId12"/>
                    <a:stretch>
                      <a:fillRect/>
                    </a:stretch>
                  </pic:blipFill>
                  <pic:spPr>
                    <a:xfrm>
                      <a:off x="0" y="0"/>
                      <a:ext cx="5610225" cy="7935595"/>
                    </a:xfrm>
                    <a:prstGeom prst="rect">
                      <a:avLst/>
                    </a:prstGeom>
                  </pic:spPr>
                </pic:pic>
              </a:graphicData>
            </a:graphic>
          </wp:inline>
        </w:drawing>
      </w: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sz w:val="36"/>
        </w:rPr>
        <mc:AlternateContent>
          <mc:Choice Requires="wps">
            <w:drawing>
              <wp:anchor distT="0" distB="0" distL="114300" distR="114300" simplePos="0" relativeHeight="251661312" behindDoc="0" locked="0" layoutInCell="1" allowOverlap="1">
                <wp:simplePos x="0" y="0"/>
                <wp:positionH relativeFrom="column">
                  <wp:posOffset>685165</wp:posOffset>
                </wp:positionH>
                <wp:positionV relativeFrom="paragraph">
                  <wp:posOffset>2863215</wp:posOffset>
                </wp:positionV>
                <wp:extent cx="4817745" cy="1799590"/>
                <wp:effectExtent l="1509395" t="0" r="0" b="0"/>
                <wp:wrapNone/>
                <wp:docPr id="10" name="文本框 10"/>
                <wp:cNvGraphicFramePr/>
                <a:graphic xmlns:a="http://schemas.openxmlformats.org/drawingml/2006/main">
                  <a:graphicData uri="http://schemas.microsoft.com/office/word/2010/wordprocessingShape">
                    <wps:wsp>
                      <wps:cNvSpPr txBox="true"/>
                      <wps:spPr>
                        <a:xfrm rot="16200000">
                          <a:off x="2994660" y="3472180"/>
                          <a:ext cx="4817745" cy="179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center"/>
                              <w:rPr>
                                <w:rFonts w:hint="eastAsia"/>
                                <w:b/>
                                <w:color w:val="FF0000"/>
                                <w:sz w:val="24"/>
                                <w:szCs w:val="24"/>
                              </w:rPr>
                            </w:pPr>
                            <w:r>
                              <w:rPr>
                                <w:rFonts w:hint="eastAsia" w:eastAsia="宋体"/>
                                <w:b/>
                                <w:color w:val="FF0000"/>
                                <w:sz w:val="24"/>
                                <w:szCs w:val="24"/>
                              </w:rPr>
                              <w:t>仅供湖南旭胜新材料有限公司年破碎72000吨废塑料、废开关插座建设项目环境影响报告表使用</w:t>
                            </w:r>
                          </w:p>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3.95pt;margin-top:225.45pt;height:141.7pt;width:379.35pt;rotation:-5898240f;z-index:251661312;mso-width-relative:page;mso-height-relative:page;" filled="f" stroked="f" coordsize="21600,21600" o:gfxdata="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G9taBHaAAAA&#10;CwEAAA8AAAAAAAAAAQAgAAAAOAAAAGRycy9kb3ducmV2LnhtbFBLAQIUABQAAAAIAIdO4kCrVr0m&#10;PgIAAEgEAAAOAAAAAAAAAAEAIAAAAD8BAABkcnMvZTJvRG9jLnhtbFBLBQYAAAAABgAGAFkBAADv&#10;BQAAAAA=&#10;">
                <v:fill on="f" focussize="0,0"/>
                <v:stroke on="f" weight="0.5pt"/>
                <v:imagedata o:title=""/>
                <o:lock v:ext="edit" aspectratio="f"/>
                <v:textbox>
                  <w:txbxContent>
                    <w:p>
                      <w:pPr>
                        <w:spacing w:beforeLines="0" w:afterLines="0"/>
                        <w:jc w:val="center"/>
                        <w:rPr>
                          <w:rFonts w:hint="eastAsia"/>
                          <w:b/>
                          <w:color w:val="FF0000"/>
                          <w:sz w:val="24"/>
                          <w:szCs w:val="24"/>
                        </w:rPr>
                      </w:pPr>
                      <w:r>
                        <w:rPr>
                          <w:rFonts w:hint="eastAsia" w:eastAsia="宋体"/>
                          <w:b/>
                          <w:color w:val="FF0000"/>
                          <w:sz w:val="24"/>
                          <w:szCs w:val="24"/>
                        </w:rPr>
                        <w:t>仅供湖南旭胜新材料有限公司年破碎72000吨废塑料、废开关插座建设项目环境影响报告表使用</w:t>
                      </w:r>
                    </w:p>
                    <w:p/>
                  </w:txbxContent>
                </v:textbox>
              </v:shape>
            </w:pict>
          </mc:Fallback>
        </mc:AlternateContent>
      </w:r>
      <w:r>
        <w:rPr>
          <w:rFonts w:hint="eastAsia" w:ascii="Times New Roman" w:hAnsi="Times New Roman" w:eastAsia="宋体" w:cs="Times New Roman"/>
          <w:color w:val="auto"/>
          <w:sz w:val="36"/>
          <w:szCs w:val="36"/>
          <w:highlight w:val="none"/>
          <w:u w:val="none" w:color="auto"/>
          <w:lang w:eastAsia="zh-CN"/>
        </w:rPr>
        <w:drawing>
          <wp:inline distT="0" distB="0" distL="114300" distR="114300">
            <wp:extent cx="5967095" cy="8282305"/>
            <wp:effectExtent l="0" t="0" r="14605" b="4445"/>
            <wp:docPr id="9" name="图片 9" descr="翔鹏营业执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翔鹏营业执照"/>
                    <pic:cNvPicPr>
                      <a:picLocks noChangeAspect="true"/>
                    </pic:cNvPicPr>
                  </pic:nvPicPr>
                  <pic:blipFill>
                    <a:blip r:embed="rId13"/>
                    <a:stretch>
                      <a:fillRect/>
                    </a:stretch>
                  </pic:blipFill>
                  <pic:spPr>
                    <a:xfrm>
                      <a:off x="0" y="0"/>
                      <a:ext cx="5967095" cy="8282305"/>
                    </a:xfrm>
                    <a:prstGeom prst="rect">
                      <a:avLst/>
                    </a:prstGeom>
                  </pic:spPr>
                </pic:pic>
              </a:graphicData>
            </a:graphic>
          </wp:inline>
        </w:drawing>
      </w: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宋体" w:cs="Times New Roman"/>
          <w:color w:val="auto"/>
          <w:sz w:val="36"/>
          <w:szCs w:val="36"/>
          <w:highlight w:val="none"/>
          <w:u w:val="none" w:color="auto"/>
          <w:lang w:eastAsia="zh-CN"/>
        </w:rPr>
        <w:drawing>
          <wp:inline distT="0" distB="0" distL="114300" distR="114300">
            <wp:extent cx="5807710" cy="8401050"/>
            <wp:effectExtent l="0" t="0" r="2540" b="0"/>
            <wp:docPr id="11" name="图片 11" descr="编制情况承诺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编制情况承诺书"/>
                    <pic:cNvPicPr>
                      <a:picLocks noChangeAspect="true"/>
                    </pic:cNvPicPr>
                  </pic:nvPicPr>
                  <pic:blipFill>
                    <a:blip r:embed="rId14"/>
                    <a:stretch>
                      <a:fillRect/>
                    </a:stretch>
                  </pic:blipFill>
                  <pic:spPr>
                    <a:xfrm>
                      <a:off x="0" y="0"/>
                      <a:ext cx="5807710" cy="8401050"/>
                    </a:xfrm>
                    <a:prstGeom prst="rect">
                      <a:avLst/>
                    </a:prstGeom>
                  </pic:spPr>
                </pic:pic>
              </a:graphicData>
            </a:graphic>
          </wp:inline>
        </w:drawing>
      </w: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rPr>
        <w:drawing>
          <wp:inline distT="0" distB="0" distL="114300" distR="114300">
            <wp:extent cx="8526145" cy="2806700"/>
            <wp:effectExtent l="0" t="0" r="8255" b="12700"/>
            <wp:docPr id="1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true"/>
                    </pic:cNvPicPr>
                  </pic:nvPicPr>
                  <pic:blipFill>
                    <a:blip r:embed="rId15"/>
                    <a:stretch>
                      <a:fillRect/>
                    </a:stretch>
                  </pic:blipFill>
                  <pic:spPr>
                    <a:xfrm>
                      <a:off x="0" y="0"/>
                      <a:ext cx="8526145" cy="2806700"/>
                    </a:xfrm>
                    <a:prstGeom prst="rect">
                      <a:avLst/>
                    </a:prstGeom>
                    <a:noFill/>
                    <a:ln>
                      <a:noFill/>
                    </a:ln>
                  </pic:spPr>
                </pic:pic>
              </a:graphicData>
            </a:graphic>
          </wp:inline>
        </w:drawing>
      </w:r>
    </w:p>
    <w:p>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rPr>
        <w:drawing>
          <wp:inline distT="0" distB="0" distL="114300" distR="114300">
            <wp:extent cx="8516620" cy="2310130"/>
            <wp:effectExtent l="0" t="0" r="17780" b="13970"/>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16"/>
                    <a:stretch>
                      <a:fillRect/>
                    </a:stretch>
                  </pic:blipFill>
                  <pic:spPr>
                    <a:xfrm>
                      <a:off x="0" y="0"/>
                      <a:ext cx="8516620" cy="2310130"/>
                    </a:xfrm>
                    <a:prstGeom prst="rect">
                      <a:avLst/>
                    </a:prstGeom>
                    <a:noFill/>
                    <a:ln>
                      <a:noFill/>
                    </a:ln>
                  </pic:spPr>
                </pic:pic>
              </a:graphicData>
            </a:graphic>
          </wp:inline>
        </w:drawing>
      </w:r>
    </w:p>
    <w:sdt>
      <w:sdtPr>
        <w:rPr>
          <w:rFonts w:hint="default" w:ascii="Times New Roman" w:hAnsi="Times New Roman" w:eastAsia="宋体" w:cs="Times New Roman"/>
          <w:b/>
          <w:bCs/>
          <w:color w:val="auto"/>
          <w:kern w:val="2"/>
          <w:sz w:val="32"/>
          <w:szCs w:val="32"/>
          <w:highlight w:val="none"/>
          <w:u w:val="none" w:color="auto"/>
          <w:lang w:val="en-US" w:eastAsia="zh-CN" w:bidi="ar-SA"/>
        </w:rPr>
        <w:id w:val="147468825"/>
        <w15:color w:val="DBDBDB"/>
        <w:docPartObj>
          <w:docPartGallery w:val="Table of Contents"/>
          <w:docPartUnique/>
        </w:docPartObj>
      </w:sdtPr>
      <w:sdtEndPr>
        <w:rPr>
          <w:rFonts w:hint="default" w:ascii="Times New Roman" w:hAnsi="Times New Roman" w:eastAsia="宋体" w:cs="Times New Roman"/>
          <w:b/>
          <w:bCs/>
          <w:color w:val="auto"/>
          <w:kern w:val="2"/>
          <w:sz w:val="28"/>
          <w:szCs w:val="20"/>
          <w:highlight w:val="none"/>
          <w:u w:val="none" w:color="auto"/>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2"/>
              <w:szCs w:val="32"/>
              <w:highlight w:val="none"/>
              <w:u w:val="none" w:color="auto"/>
            </w:rPr>
          </w:pPr>
          <w:r>
            <w:rPr>
              <w:rFonts w:hint="default" w:ascii="Times New Roman" w:hAnsi="Times New Roman" w:eastAsia="宋体" w:cs="Times New Roman"/>
              <w:b/>
              <w:bCs/>
              <w:color w:val="auto"/>
              <w:sz w:val="32"/>
              <w:szCs w:val="32"/>
              <w:highlight w:val="none"/>
              <w:u w:val="none" w:color="auto"/>
            </w:rPr>
            <w:t>目</w:t>
          </w:r>
          <w:r>
            <w:rPr>
              <w:rFonts w:hint="default" w:ascii="Times New Roman" w:hAnsi="Times New Roman" w:eastAsia="宋体" w:cs="Times New Roman"/>
              <w:b/>
              <w:bCs/>
              <w:color w:val="auto"/>
              <w:sz w:val="32"/>
              <w:szCs w:val="32"/>
              <w:highlight w:val="none"/>
              <w:u w:val="none" w:color="auto"/>
              <w:lang w:val="en-US" w:eastAsia="zh-CN"/>
            </w:rPr>
            <w:t xml:space="preserve">  </w:t>
          </w:r>
          <w:r>
            <w:rPr>
              <w:rFonts w:hint="default" w:ascii="Times New Roman" w:hAnsi="Times New Roman" w:eastAsia="宋体" w:cs="Times New Roman"/>
              <w:b/>
              <w:bCs/>
              <w:color w:val="auto"/>
              <w:sz w:val="32"/>
              <w:szCs w:val="32"/>
              <w:highlight w:val="none"/>
              <w:u w:val="none" w:color="auto"/>
            </w:rPr>
            <w:t>录</w:t>
          </w:r>
        </w:p>
        <w:p>
          <w:pPr>
            <w:pStyle w:val="277"/>
            <w:tabs>
              <w:tab w:val="right" w:leader="dot" w:pos="8844"/>
            </w:tabs>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fldChar w:fldCharType="begin"/>
          </w:r>
          <w:r>
            <w:rPr>
              <w:rFonts w:hint="default" w:ascii="Times New Roman" w:hAnsi="Times New Roman" w:eastAsia="宋体" w:cs="Times New Roman"/>
              <w:color w:val="auto"/>
              <w:highlight w:val="none"/>
              <w:u w:val="none" w:color="auto"/>
            </w:rPr>
            <w:instrText xml:space="preserve">TOC \o "1-1" \h \u </w:instrText>
          </w:r>
          <w:r>
            <w:rPr>
              <w:rFonts w:hint="default" w:ascii="Times New Roman" w:hAnsi="Times New Roman" w:eastAsia="宋体" w:cs="Times New Roman"/>
              <w:color w:val="auto"/>
              <w:highlight w:val="none"/>
              <w:u w:val="none" w:color="auto"/>
            </w:rPr>
            <w:fldChar w:fldCharType="separate"/>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_Toc12963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一、建设项目基本情况</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_Toc12963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_Toc106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二、建设项目工程分析</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_Toc106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26</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_Toc22688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三、区域环境质量现状、环境保护目标及评价标准</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_Toc22688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38</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_Toc9807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bCs/>
              <w:color w:val="auto"/>
              <w:sz w:val="24"/>
              <w:szCs w:val="24"/>
              <w:highlight w:val="none"/>
              <w:u w:val="none" w:color="auto"/>
            </w:rPr>
            <w:t>四、主要环境影响和保护措施</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_Toc9807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45</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_Toc10621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五、环境保护措施监督检查清单</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_Toc10621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72</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_Toc19894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六、结论</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_Toc19894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74</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_Toc16500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附表</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_Toc16500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75</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pPr>
            <w:pStyle w:val="277"/>
            <w:tabs>
              <w:tab w:val="right" w:leader="dot" w:pos="8844"/>
            </w:tabs>
            <w:spacing w:line="360" w:lineRule="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_Toc20463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建设项目污染物排放量汇总表</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_Toc20463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75</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highlight w:val="none"/>
              <w:u w:val="none" w:color="auto"/>
            </w:rPr>
            <w:fldChar w:fldCharType="end"/>
          </w:r>
        </w:p>
      </w:sdtContent>
    </w:sdt>
    <w:p>
      <w:pPr>
        <w:pStyle w:val="22"/>
        <w:keepNext w:val="0"/>
        <w:keepLines w:val="0"/>
        <w:pageBreakBefore w:val="0"/>
        <w:kinsoku/>
        <w:wordWrap/>
        <w:overflowPunct/>
        <w:topLinePunct w:val="0"/>
        <w:autoSpaceDE/>
        <w:autoSpaceDN/>
        <w:bidi w:val="0"/>
        <w:adjustRightInd/>
        <w:snapToGrid w:val="0"/>
        <w:spacing w:before="0" w:after="0" w:line="360" w:lineRule="auto"/>
        <w:jc w:val="both"/>
        <w:textAlignment w:val="auto"/>
        <w:outlineLvl w:val="0"/>
        <w:rPr>
          <w:rFonts w:hint="default" w:ascii="Times New Roman" w:hAnsi="Times New Roman" w:eastAsia="宋体" w:cs="Times New Roman"/>
          <w:b/>
          <w:bCs/>
          <w:color w:val="auto"/>
          <w:sz w:val="21"/>
          <w:szCs w:val="21"/>
          <w:highlight w:val="none"/>
          <w:u w:val="none" w:color="auto"/>
        </w:rPr>
      </w:pPr>
      <w:bookmarkStart w:id="2" w:name="_Toc16074"/>
      <w:r>
        <w:rPr>
          <w:rFonts w:hint="default" w:ascii="Times New Roman" w:hAnsi="Times New Roman" w:eastAsia="宋体" w:cs="Times New Roman"/>
          <w:b/>
          <w:bCs/>
          <w:color w:val="auto"/>
          <w:sz w:val="21"/>
          <w:szCs w:val="21"/>
          <w:highlight w:val="none"/>
          <w:u w:val="none" w:color="auto"/>
        </w:rPr>
        <w:t>附件</w:t>
      </w:r>
      <w:bookmarkEnd w:id="2"/>
    </w:p>
    <w:p>
      <w:pPr>
        <w:pStyle w:val="22"/>
        <w:keepNext w:val="0"/>
        <w:keepLines w:val="0"/>
        <w:pageBreakBefore w:val="0"/>
        <w:kinsoku/>
        <w:wordWrap/>
        <w:overflowPunct/>
        <w:topLinePunct w:val="0"/>
        <w:autoSpaceDE/>
        <w:autoSpaceDN/>
        <w:bidi w:val="0"/>
        <w:adjustRightInd/>
        <w:snapToGrid w:val="0"/>
        <w:spacing w:before="0" w:after="0" w:line="360" w:lineRule="auto"/>
        <w:textAlignment w:val="auto"/>
        <w:rPr>
          <w:rFonts w:hint="default" w:ascii="Times New Roman" w:hAnsi="Times New Roman" w:eastAsia="宋体" w:cs="Times New Roman"/>
          <w:color w:val="auto"/>
          <w:sz w:val="21"/>
          <w:szCs w:val="21"/>
          <w:highlight w:val="none"/>
          <w:u w:val="none" w:color="auto"/>
          <w:lang w:val="en-US" w:eastAsia="zh-CN"/>
        </w:rPr>
      </w:pPr>
      <w:bookmarkStart w:id="3" w:name="_Toc29055"/>
      <w:r>
        <w:rPr>
          <w:rFonts w:hint="default" w:ascii="Times New Roman" w:hAnsi="Times New Roman" w:eastAsia="宋体" w:cs="Times New Roman"/>
          <w:color w:val="auto"/>
          <w:sz w:val="21"/>
          <w:szCs w:val="21"/>
          <w:highlight w:val="none"/>
          <w:u w:val="none" w:color="auto"/>
          <w:lang w:val="en-US" w:eastAsia="zh-CN"/>
        </w:rPr>
        <w:t>附件1环评委托书</w:t>
      </w:r>
      <w:bookmarkEnd w:id="3"/>
    </w:p>
    <w:p>
      <w:pPr>
        <w:pStyle w:val="22"/>
        <w:keepNext w:val="0"/>
        <w:keepLines w:val="0"/>
        <w:pageBreakBefore w:val="0"/>
        <w:kinsoku/>
        <w:wordWrap/>
        <w:overflowPunct/>
        <w:topLinePunct w:val="0"/>
        <w:autoSpaceDE/>
        <w:autoSpaceDN/>
        <w:bidi w:val="0"/>
        <w:adjustRightInd/>
        <w:snapToGrid w:val="0"/>
        <w:spacing w:before="0" w:after="0" w:line="360" w:lineRule="auto"/>
        <w:textAlignment w:val="auto"/>
        <w:rPr>
          <w:rFonts w:hint="default" w:ascii="Times New Roman" w:hAnsi="Times New Roman" w:eastAsia="宋体" w:cs="Times New Roman"/>
          <w:color w:val="auto"/>
          <w:sz w:val="21"/>
          <w:szCs w:val="21"/>
          <w:highlight w:val="none"/>
          <w:u w:val="none" w:color="auto"/>
          <w:lang w:val="en-US" w:eastAsia="zh-CN"/>
        </w:rPr>
      </w:pPr>
      <w:bookmarkStart w:id="4" w:name="_Toc31845"/>
      <w:r>
        <w:rPr>
          <w:rFonts w:hint="default" w:ascii="Times New Roman" w:hAnsi="Times New Roman" w:eastAsia="宋体" w:cs="Times New Roman"/>
          <w:color w:val="auto"/>
          <w:sz w:val="21"/>
          <w:szCs w:val="21"/>
          <w:highlight w:val="none"/>
          <w:u w:val="none" w:color="auto"/>
          <w:lang w:val="en-US" w:eastAsia="zh-CN"/>
        </w:rPr>
        <w:t>附件2营业执照</w:t>
      </w:r>
      <w:bookmarkEnd w:id="4"/>
    </w:p>
    <w:p>
      <w:pPr>
        <w:pStyle w:val="22"/>
        <w:keepNext w:val="0"/>
        <w:keepLines w:val="0"/>
        <w:pageBreakBefore w:val="0"/>
        <w:kinsoku/>
        <w:wordWrap/>
        <w:overflowPunct/>
        <w:topLinePunct w:val="0"/>
        <w:autoSpaceDE/>
        <w:autoSpaceDN/>
        <w:bidi w:val="0"/>
        <w:adjustRightInd/>
        <w:snapToGrid w:val="0"/>
        <w:spacing w:before="0" w:after="0" w:line="360" w:lineRule="auto"/>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附件</w:t>
      </w:r>
      <w:r>
        <w:rPr>
          <w:rFonts w:hint="eastAsia"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lang w:val="en-US" w:eastAsia="zh-CN"/>
        </w:rPr>
        <w:t>厂房租赁合同</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single" w:color="auto"/>
          <w:lang w:val="en-US" w:eastAsia="zh-CN"/>
        </w:rPr>
      </w:pPr>
      <w:bookmarkStart w:id="5" w:name="_Toc10121"/>
      <w:r>
        <w:rPr>
          <w:rFonts w:hint="default" w:ascii="Times New Roman" w:hAnsi="Times New Roman" w:eastAsia="宋体" w:cs="Times New Roman"/>
          <w:snapToGrid w:val="0"/>
          <w:color w:val="auto"/>
          <w:sz w:val="21"/>
          <w:szCs w:val="21"/>
          <w:highlight w:val="none"/>
          <w:u w:val="single" w:color="auto"/>
        </w:rPr>
        <w:t>附件</w:t>
      </w:r>
      <w:r>
        <w:rPr>
          <w:rFonts w:hint="eastAsia" w:ascii="Times New Roman" w:hAnsi="Times New Roman" w:cs="Times New Roman"/>
          <w:snapToGrid w:val="0"/>
          <w:color w:val="auto"/>
          <w:sz w:val="21"/>
          <w:szCs w:val="21"/>
          <w:highlight w:val="none"/>
          <w:u w:val="single" w:color="auto"/>
          <w:lang w:val="en-US" w:eastAsia="zh-CN"/>
        </w:rPr>
        <w:t>4</w:t>
      </w:r>
      <w:r>
        <w:rPr>
          <w:rFonts w:hint="default" w:ascii="Times New Roman" w:hAnsi="Times New Roman" w:eastAsia="宋体" w:cs="Times New Roman"/>
          <w:snapToGrid w:val="0"/>
          <w:color w:val="auto"/>
          <w:sz w:val="21"/>
          <w:szCs w:val="21"/>
          <w:highlight w:val="none"/>
          <w:u w:val="single" w:color="auto"/>
        </w:rPr>
        <w:t xml:space="preserve"> </w:t>
      </w:r>
      <w:r>
        <w:rPr>
          <w:rFonts w:hint="eastAsia" w:ascii="Times New Roman" w:hAnsi="Times New Roman" w:cs="Times New Roman"/>
          <w:snapToGrid w:val="0"/>
          <w:color w:val="auto"/>
          <w:sz w:val="21"/>
          <w:szCs w:val="21"/>
          <w:highlight w:val="none"/>
          <w:u w:val="single" w:color="auto"/>
          <w:lang w:val="en-US" w:eastAsia="zh-CN"/>
        </w:rPr>
        <w:t>规划环评审查意见</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Times New Roman" w:hAnsi="Times New Roman" w:cs="Times New Roman"/>
          <w:snapToGrid w:val="0"/>
          <w:color w:val="auto"/>
          <w:sz w:val="21"/>
          <w:szCs w:val="21"/>
          <w:highlight w:val="none"/>
          <w:u w:val="single" w:color="auto"/>
          <w:lang w:val="en-US" w:eastAsia="zh-CN"/>
        </w:rPr>
      </w:pPr>
      <w:r>
        <w:rPr>
          <w:rFonts w:hint="default" w:ascii="Times New Roman" w:hAnsi="Times New Roman" w:eastAsia="宋体" w:cs="Times New Roman"/>
          <w:snapToGrid w:val="0"/>
          <w:color w:val="auto"/>
          <w:sz w:val="21"/>
          <w:szCs w:val="21"/>
          <w:highlight w:val="none"/>
          <w:u w:val="single" w:color="auto"/>
        </w:rPr>
        <w:t>附件</w:t>
      </w:r>
      <w:r>
        <w:rPr>
          <w:rFonts w:hint="eastAsia" w:ascii="Times New Roman" w:hAnsi="Times New Roman" w:cs="Times New Roman"/>
          <w:snapToGrid w:val="0"/>
          <w:color w:val="auto"/>
          <w:sz w:val="21"/>
          <w:szCs w:val="21"/>
          <w:highlight w:val="none"/>
          <w:u w:val="single" w:color="auto"/>
          <w:lang w:val="en-US" w:eastAsia="zh-CN"/>
        </w:rPr>
        <w:t>5</w:t>
      </w:r>
      <w:r>
        <w:rPr>
          <w:rFonts w:hint="default" w:ascii="Times New Roman" w:hAnsi="Times New Roman" w:eastAsia="宋体" w:cs="Times New Roman"/>
          <w:snapToGrid w:val="0"/>
          <w:color w:val="auto"/>
          <w:sz w:val="21"/>
          <w:szCs w:val="21"/>
          <w:highlight w:val="none"/>
          <w:u w:val="single" w:color="auto"/>
        </w:rPr>
        <w:t xml:space="preserve"> </w:t>
      </w:r>
      <w:r>
        <w:rPr>
          <w:rFonts w:hint="eastAsia" w:ascii="Times New Roman" w:hAnsi="Times New Roman" w:cs="Times New Roman"/>
          <w:snapToGrid w:val="0"/>
          <w:color w:val="auto"/>
          <w:sz w:val="21"/>
          <w:szCs w:val="21"/>
          <w:highlight w:val="none"/>
          <w:u w:val="single" w:color="auto"/>
          <w:lang w:val="en-US" w:eastAsia="zh-CN"/>
        </w:rPr>
        <w:t>环境质量现状引用监测报告（节选）</w:t>
      </w:r>
    </w:p>
    <w:p>
      <w:pPr>
        <w:keepNext w:val="0"/>
        <w:keepLines w:val="0"/>
        <w:pageBreakBefore w:val="0"/>
        <w:kinsoku/>
        <w:wordWrap/>
        <w:overflowPunct/>
        <w:topLinePunct w:val="0"/>
        <w:autoSpaceDE/>
        <w:autoSpaceDN/>
        <w:bidi w:val="0"/>
        <w:spacing w:line="360" w:lineRule="auto"/>
        <w:textAlignment w:val="auto"/>
        <w:rPr>
          <w:rFonts w:hint="default" w:eastAsia="宋体"/>
          <w:color w:val="auto"/>
          <w:sz w:val="21"/>
          <w:szCs w:val="21"/>
          <w:u w:val="single"/>
          <w:lang w:val="en-US" w:eastAsia="zh-CN"/>
        </w:rPr>
      </w:pPr>
      <w:r>
        <w:rPr>
          <w:rFonts w:hint="default"/>
          <w:color w:val="auto"/>
          <w:sz w:val="21"/>
          <w:szCs w:val="21"/>
          <w:u w:val="single"/>
        </w:rPr>
        <w:t>附件</w:t>
      </w:r>
      <w:r>
        <w:rPr>
          <w:rFonts w:hint="eastAsia"/>
          <w:color w:val="auto"/>
          <w:sz w:val="21"/>
          <w:szCs w:val="21"/>
          <w:u w:val="single"/>
          <w:lang w:val="en-US" w:eastAsia="zh-CN"/>
        </w:rPr>
        <w:t>6</w:t>
      </w:r>
      <w:r>
        <w:rPr>
          <w:rFonts w:hint="default"/>
          <w:color w:val="auto"/>
          <w:sz w:val="21"/>
          <w:szCs w:val="21"/>
          <w:u w:val="single"/>
        </w:rPr>
        <w:t xml:space="preserve"> </w:t>
      </w:r>
      <w:r>
        <w:rPr>
          <w:rFonts w:hint="eastAsia"/>
          <w:color w:val="auto"/>
          <w:sz w:val="21"/>
          <w:szCs w:val="21"/>
          <w:u w:val="single"/>
          <w:lang w:val="en-US" w:eastAsia="zh-CN"/>
        </w:rPr>
        <w:t>园区上会意见</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宋体" w:cs="Times New Roman"/>
          <w:snapToGrid w:val="0"/>
          <w:color w:val="auto"/>
          <w:sz w:val="21"/>
          <w:szCs w:val="21"/>
          <w:highlight w:val="none"/>
          <w:u w:val="single" w:color="auto"/>
          <w:lang w:val="en-US" w:eastAsia="zh-CN"/>
        </w:rPr>
      </w:pPr>
      <w:r>
        <w:rPr>
          <w:rFonts w:hint="eastAsia" w:ascii="Times New Roman" w:hAnsi="Times New Roman" w:cs="Times New Roman"/>
          <w:snapToGrid w:val="0"/>
          <w:color w:val="auto"/>
          <w:sz w:val="21"/>
          <w:szCs w:val="21"/>
          <w:highlight w:val="none"/>
          <w:u w:val="single" w:color="auto"/>
          <w:lang w:val="en-US" w:eastAsia="zh-CN"/>
        </w:rPr>
        <w:t>附件7项目备案文件</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宋体" w:cs="Times New Roman"/>
          <w:snapToGrid w:val="0"/>
          <w:color w:val="auto"/>
          <w:sz w:val="21"/>
          <w:szCs w:val="21"/>
          <w:highlight w:val="none"/>
          <w:u w:val="single" w:color="auto"/>
          <w:lang w:val="en-US"/>
        </w:rPr>
      </w:pPr>
      <w:r>
        <w:rPr>
          <w:rFonts w:hint="default" w:ascii="Times New Roman" w:hAnsi="Times New Roman" w:eastAsia="宋体" w:cs="Times New Roman"/>
          <w:snapToGrid w:val="0"/>
          <w:color w:val="auto"/>
          <w:sz w:val="21"/>
          <w:szCs w:val="21"/>
          <w:highlight w:val="none"/>
          <w:u w:val="single" w:color="auto"/>
        </w:rPr>
        <w:t>附件</w:t>
      </w:r>
      <w:r>
        <w:rPr>
          <w:rFonts w:hint="eastAsia" w:ascii="Times New Roman" w:hAnsi="Times New Roman" w:cs="Times New Roman"/>
          <w:snapToGrid w:val="0"/>
          <w:color w:val="auto"/>
          <w:sz w:val="21"/>
          <w:szCs w:val="21"/>
          <w:highlight w:val="none"/>
          <w:u w:val="single" w:color="auto"/>
          <w:lang w:val="en-US" w:eastAsia="zh-CN"/>
        </w:rPr>
        <w:t>8污水接纳处理协议</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single" w:color="auto"/>
          <w:lang w:val="en-US" w:eastAsia="zh-CN"/>
        </w:rPr>
      </w:pPr>
      <w:r>
        <w:rPr>
          <w:rFonts w:hint="default" w:ascii="Times New Roman" w:hAnsi="Times New Roman" w:eastAsia="宋体" w:cs="Times New Roman"/>
          <w:snapToGrid w:val="0"/>
          <w:color w:val="auto"/>
          <w:sz w:val="21"/>
          <w:szCs w:val="21"/>
          <w:highlight w:val="none"/>
          <w:u w:val="single" w:color="auto"/>
        </w:rPr>
        <w:t>附件</w:t>
      </w:r>
      <w:r>
        <w:rPr>
          <w:rFonts w:hint="eastAsia" w:ascii="Times New Roman" w:hAnsi="Times New Roman" w:cs="Times New Roman"/>
          <w:snapToGrid w:val="0"/>
          <w:color w:val="auto"/>
          <w:sz w:val="21"/>
          <w:szCs w:val="21"/>
          <w:highlight w:val="none"/>
          <w:u w:val="single" w:color="auto"/>
          <w:lang w:val="en-US" w:eastAsia="zh-CN"/>
        </w:rPr>
        <w:t>9</w:t>
      </w:r>
      <w:r>
        <w:rPr>
          <w:rFonts w:hint="default" w:ascii="Times New Roman" w:hAnsi="Times New Roman" w:eastAsia="宋体" w:cs="Times New Roman"/>
          <w:snapToGrid w:val="0"/>
          <w:color w:val="auto"/>
          <w:sz w:val="21"/>
          <w:szCs w:val="21"/>
          <w:highlight w:val="none"/>
          <w:u w:val="single" w:color="auto"/>
        </w:rPr>
        <w:t xml:space="preserve"> </w:t>
      </w:r>
      <w:r>
        <w:rPr>
          <w:rFonts w:hint="eastAsia" w:ascii="Times New Roman" w:hAnsi="Times New Roman" w:cs="Times New Roman"/>
          <w:snapToGrid w:val="0"/>
          <w:color w:val="auto"/>
          <w:sz w:val="21"/>
          <w:szCs w:val="21"/>
          <w:highlight w:val="none"/>
          <w:u w:val="single" w:color="auto"/>
          <w:lang w:val="en-US" w:eastAsia="zh-CN"/>
        </w:rPr>
        <w:t>专家意见及修改清单</w:t>
      </w:r>
    </w:p>
    <w:p>
      <w:pPr>
        <w:pStyle w:val="22"/>
        <w:keepNext w:val="0"/>
        <w:keepLines w:val="0"/>
        <w:pageBreakBefore w:val="0"/>
        <w:kinsoku/>
        <w:wordWrap/>
        <w:overflowPunct/>
        <w:topLinePunct w:val="0"/>
        <w:autoSpaceDE/>
        <w:autoSpaceDN/>
        <w:bidi w:val="0"/>
        <w:adjustRightInd/>
        <w:snapToGrid w:val="0"/>
        <w:spacing w:before="0" w:after="0" w:line="360" w:lineRule="auto"/>
        <w:textAlignment w:val="auto"/>
        <w:outlineLvl w:val="0"/>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附图</w:t>
      </w:r>
      <w:bookmarkEnd w:id="5"/>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附图1 项目地理位置图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 xml:space="preserve">附图2 </w:t>
      </w:r>
      <w:r>
        <w:rPr>
          <w:rFonts w:hint="default" w:ascii="Times New Roman" w:hAnsi="Times New Roman" w:eastAsia="宋体" w:cs="Times New Roman"/>
          <w:color w:val="auto"/>
          <w:sz w:val="21"/>
          <w:szCs w:val="21"/>
          <w:highlight w:val="none"/>
          <w:u w:val="none" w:color="auto"/>
          <w:lang w:val="en-US" w:eastAsia="zh-CN"/>
        </w:rPr>
        <w:t>项目</w:t>
      </w:r>
      <w:r>
        <w:rPr>
          <w:rFonts w:hint="default" w:ascii="Times New Roman" w:hAnsi="Times New Roman" w:eastAsia="宋体" w:cs="Times New Roman"/>
          <w:color w:val="auto"/>
          <w:sz w:val="21"/>
          <w:szCs w:val="21"/>
          <w:highlight w:val="none"/>
          <w:u w:val="none" w:color="auto"/>
        </w:rPr>
        <w:t>平面布置图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附图3 环境保护目标示意图</w:t>
      </w:r>
    </w:p>
    <w:p>
      <w:pPr>
        <w:pStyle w:val="3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eastAsia="宋体" w:cs="Times New Roman"/>
          <w:snapToGrid w:val="0"/>
          <w:color w:val="auto"/>
          <w:sz w:val="21"/>
          <w:szCs w:val="21"/>
          <w:highlight w:val="none"/>
          <w:u w:val="single" w:color="auto"/>
          <w:lang w:val="en-US" w:eastAsia="zh-CN"/>
        </w:rPr>
      </w:pPr>
      <w:r>
        <w:rPr>
          <w:rFonts w:hint="default" w:ascii="Times New Roman" w:hAnsi="Times New Roman" w:eastAsia="宋体" w:cs="Times New Roman"/>
          <w:snapToGrid w:val="0"/>
          <w:color w:val="auto"/>
          <w:sz w:val="21"/>
          <w:szCs w:val="21"/>
          <w:highlight w:val="none"/>
          <w:u w:val="single" w:color="auto"/>
        </w:rPr>
        <w:t>附图</w:t>
      </w:r>
      <w:r>
        <w:rPr>
          <w:rFonts w:hint="eastAsia" w:ascii="Times New Roman" w:hAnsi="Times New Roman" w:cs="Times New Roman"/>
          <w:snapToGrid w:val="0"/>
          <w:color w:val="auto"/>
          <w:sz w:val="21"/>
          <w:szCs w:val="21"/>
          <w:highlight w:val="none"/>
          <w:u w:val="single" w:color="auto"/>
          <w:lang w:val="en-US" w:eastAsia="zh-CN"/>
        </w:rPr>
        <w:t>4</w:t>
      </w:r>
      <w:r>
        <w:rPr>
          <w:rFonts w:hint="default" w:ascii="Times New Roman" w:hAnsi="Times New Roman" w:eastAsia="宋体" w:cs="Times New Roman"/>
          <w:snapToGrid w:val="0"/>
          <w:color w:val="auto"/>
          <w:sz w:val="21"/>
          <w:szCs w:val="21"/>
          <w:highlight w:val="none"/>
          <w:u w:val="single" w:color="auto"/>
        </w:rPr>
        <w:t xml:space="preserve"> </w:t>
      </w:r>
      <w:r>
        <w:rPr>
          <w:rFonts w:hint="eastAsia" w:ascii="Times New Roman" w:hAnsi="Times New Roman" w:cs="Times New Roman"/>
          <w:snapToGrid w:val="0"/>
          <w:color w:val="auto"/>
          <w:sz w:val="21"/>
          <w:szCs w:val="21"/>
          <w:highlight w:val="none"/>
          <w:u w:val="single" w:color="auto"/>
          <w:lang w:val="en-US" w:eastAsia="zh-CN"/>
        </w:rPr>
        <w:t>大气及地表水引用监测点位与本项目位置关系图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w:t>
      </w:r>
      <w:r>
        <w:rPr>
          <w:rFonts w:hint="eastAsia"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 xml:space="preserve"> </w:t>
      </w:r>
      <w:r>
        <w:rPr>
          <w:rFonts w:hint="default" w:ascii="Times New Roman" w:hAnsi="Times New Roman" w:eastAsia="宋体" w:cs="Times New Roman"/>
          <w:color w:val="auto"/>
          <w:sz w:val="21"/>
          <w:szCs w:val="21"/>
          <w:highlight w:val="none"/>
          <w:u w:val="none" w:color="auto"/>
          <w:lang w:val="en-US" w:eastAsia="zh-CN"/>
        </w:rPr>
        <w:t>土地利用规划图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w:t>
      </w:r>
      <w:r>
        <w:rPr>
          <w:rFonts w:hint="eastAsia"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rPr>
        <w:t xml:space="preserve"> </w:t>
      </w:r>
      <w:r>
        <w:rPr>
          <w:rFonts w:hint="default" w:ascii="Times New Roman" w:hAnsi="Times New Roman" w:eastAsia="宋体" w:cs="Times New Roman"/>
          <w:color w:val="auto"/>
          <w:sz w:val="21"/>
          <w:szCs w:val="21"/>
          <w:highlight w:val="none"/>
          <w:u w:val="none" w:color="auto"/>
          <w:lang w:val="en-US" w:eastAsia="zh-CN"/>
        </w:rPr>
        <w:t>产业布局规划图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w:t>
      </w:r>
      <w:r>
        <w:rPr>
          <w:rFonts w:hint="eastAsia" w:cs="Times New Roman"/>
          <w:color w:val="auto"/>
          <w:sz w:val="21"/>
          <w:szCs w:val="21"/>
          <w:highlight w:val="none"/>
          <w:u w:val="none" w:color="auto"/>
          <w:lang w:val="en-US" w:eastAsia="zh-CN"/>
        </w:rPr>
        <w:t>7</w:t>
      </w:r>
      <w:r>
        <w:rPr>
          <w:rFonts w:hint="default" w:ascii="Times New Roman" w:hAnsi="Times New Roman" w:eastAsia="宋体" w:cs="Times New Roman"/>
          <w:color w:val="auto"/>
          <w:sz w:val="21"/>
          <w:szCs w:val="21"/>
          <w:highlight w:val="none"/>
          <w:u w:val="none" w:color="auto"/>
        </w:rPr>
        <w:t xml:space="preserve"> 本项目与“三区三线”位置关系图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附图</w:t>
      </w:r>
      <w:r>
        <w:rPr>
          <w:rFonts w:hint="eastAsia"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 xml:space="preserve"> </w:t>
      </w:r>
      <w:r>
        <w:rPr>
          <w:rFonts w:hint="default" w:ascii="Times New Roman" w:hAnsi="Times New Roman" w:eastAsia="宋体" w:cs="Times New Roman"/>
          <w:color w:val="auto"/>
          <w:sz w:val="21"/>
          <w:szCs w:val="21"/>
          <w:highlight w:val="none"/>
          <w:u w:val="none" w:color="auto"/>
          <w:lang w:val="en-US" w:eastAsia="zh-CN"/>
        </w:rPr>
        <w:t>区域水系</w:t>
      </w:r>
      <w:r>
        <w:rPr>
          <w:rFonts w:hint="default" w:ascii="Times New Roman" w:hAnsi="Times New Roman" w:eastAsia="宋体" w:cs="Times New Roman"/>
          <w:color w:val="auto"/>
          <w:sz w:val="21"/>
          <w:szCs w:val="21"/>
          <w:highlight w:val="none"/>
          <w:u w:val="none" w:color="auto"/>
        </w:rPr>
        <w:t>图</w:t>
      </w:r>
    </w:p>
    <w:p>
      <w:pPr>
        <w:pStyle w:val="25"/>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1"/>
          <w:szCs w:val="21"/>
          <w:highlight w:val="none"/>
          <w:u w:val="none" w:color="auto"/>
        </w:rPr>
        <w:t>附图</w:t>
      </w:r>
      <w:r>
        <w:rPr>
          <w:rFonts w:hint="eastAsia" w:cs="Times New Roman"/>
          <w:color w:val="auto"/>
          <w:sz w:val="21"/>
          <w:szCs w:val="21"/>
          <w:highlight w:val="none"/>
          <w:u w:val="none" w:color="auto"/>
          <w:lang w:val="en-US" w:eastAsia="zh-CN"/>
        </w:rPr>
        <w:t>9</w:t>
      </w:r>
      <w:r>
        <w:rPr>
          <w:rFonts w:hint="default" w:ascii="Times New Roman" w:hAnsi="Times New Roman" w:eastAsia="宋体" w:cs="Times New Roman"/>
          <w:color w:val="auto"/>
          <w:sz w:val="21"/>
          <w:szCs w:val="21"/>
          <w:highlight w:val="none"/>
          <w:u w:val="none" w:color="auto"/>
          <w:lang w:val="en-US" w:eastAsia="zh-CN"/>
        </w:rPr>
        <w:t xml:space="preserve"> 现场照片</w:t>
      </w:r>
      <w:bookmarkStart w:id="25" w:name="_GoBack"/>
      <w:bookmarkEnd w:id="25"/>
    </w:p>
    <w:p>
      <w:pPr>
        <w:pStyle w:val="8"/>
        <w:bidi w:val="0"/>
        <w:rPr>
          <w:rFonts w:hint="default" w:ascii="Times New Roman" w:hAnsi="Times New Roman" w:eastAsia="宋体" w:cs="Times New Roman"/>
          <w:color w:val="auto"/>
          <w:highlight w:val="none"/>
          <w:u w:val="none" w:color="auto"/>
        </w:rPr>
      </w:pPr>
      <w:bookmarkStart w:id="6" w:name="_Toc12963"/>
      <w:r>
        <w:rPr>
          <w:rFonts w:hint="default" w:ascii="Times New Roman" w:hAnsi="Times New Roman" w:eastAsia="宋体" w:cs="Times New Roman"/>
          <w:color w:val="auto"/>
          <w:highlight w:val="none"/>
          <w:u w:val="none" w:color="auto"/>
        </w:rPr>
        <w:t>一、建设项目基本情况</w:t>
      </w:r>
      <w:bookmarkEnd w:id="6"/>
    </w:p>
    <w:tbl>
      <w:tblPr>
        <w:tblStyle w:val="42"/>
        <w:tblW w:w="49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2"/>
        <w:gridCol w:w="2499"/>
        <w:gridCol w:w="2204"/>
        <w:gridCol w:w="2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建设项目名称</w:t>
            </w:r>
          </w:p>
        </w:tc>
        <w:tc>
          <w:tcPr>
            <w:tcW w:w="4150" w:type="pct"/>
            <w:gridSpan w:val="3"/>
            <w:vAlign w:val="center"/>
          </w:tcPr>
          <w:p>
            <w:pPr>
              <w:adjustRightInd w:val="0"/>
              <w:snapToGrid w:val="0"/>
              <w:jc w:val="center"/>
              <w:rPr>
                <w:rFonts w:hint="default"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年破碎72000吨废塑料、废开关插座建设项目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项目代码</w:t>
            </w:r>
          </w:p>
        </w:tc>
        <w:tc>
          <w:tcPr>
            <w:tcW w:w="4150" w:type="pct"/>
            <w:gridSpan w:val="3"/>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2504-430600-04-01-927751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建设单位联系人</w:t>
            </w:r>
          </w:p>
        </w:tc>
        <w:tc>
          <w:tcPr>
            <w:tcW w:w="1413"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b w:val="0"/>
                <w:bCs w:val="0"/>
                <w:color w:val="auto"/>
                <w:sz w:val="24"/>
                <w:szCs w:val="24"/>
                <w:lang w:val="en-US" w:eastAsia="zh-CN"/>
              </w:rPr>
              <w:t>孟献忠</w:t>
            </w:r>
          </w:p>
        </w:tc>
        <w:tc>
          <w:tcPr>
            <w:tcW w:w="1246"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联系方式</w:t>
            </w:r>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b w:val="0"/>
                <w:bCs w:val="0"/>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建设地点</w:t>
            </w:r>
          </w:p>
        </w:tc>
        <w:tc>
          <w:tcPr>
            <w:tcW w:w="4150" w:type="pct"/>
            <w:gridSpan w:val="3"/>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bookmarkStart w:id="7" w:name="OLE_LINK1"/>
            <w:r>
              <w:rPr>
                <w:rFonts w:hint="eastAsia" w:ascii="Times New Roman" w:hAnsi="Times New Roman" w:eastAsia="宋体" w:cs="Times New Roman"/>
                <w:b w:val="0"/>
                <w:bCs w:val="0"/>
                <w:color w:val="auto"/>
                <w:sz w:val="24"/>
                <w:szCs w:val="24"/>
                <w:lang w:val="en-US" w:eastAsia="zh-CN"/>
              </w:rPr>
              <w:t>湖南省岳阳市汨罗市</w:t>
            </w:r>
            <w:bookmarkEnd w:id="7"/>
            <w:r>
              <w:rPr>
                <w:rFonts w:hint="default" w:ascii="Times New Roman" w:hAnsi="Times New Roman" w:eastAsia="宋体" w:cs="Times New Roman"/>
                <w:color w:val="auto"/>
                <w:highlight w:val="none"/>
                <w:u w:val="none" w:color="auto"/>
                <w:lang w:eastAsia="zh-CN"/>
              </w:rPr>
              <w:t>湖南汨罗高新技术产业开发区</w:t>
            </w:r>
            <w:r>
              <w:rPr>
                <w:rFonts w:hint="eastAsia" w:cs="Times New Roman"/>
                <w:b w:val="0"/>
                <w:bCs w:val="0"/>
                <w:color w:val="auto"/>
                <w:sz w:val="24"/>
                <w:szCs w:val="24"/>
                <w:lang w:val="en-US" w:eastAsia="zh-CN"/>
              </w:rPr>
              <w:t>新市片东片区湖南中塑新材料科技有限公司14#厂房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地理坐标</w:t>
            </w:r>
          </w:p>
        </w:tc>
        <w:tc>
          <w:tcPr>
            <w:tcW w:w="4150" w:type="pct"/>
            <w:gridSpan w:val="3"/>
            <w:vAlign w:val="center"/>
          </w:tcPr>
          <w:p>
            <w:pPr>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 113°10′</w:t>
            </w:r>
            <w:r>
              <w:rPr>
                <w:rFonts w:hint="eastAsia" w:cs="Times New Roman"/>
                <w:color w:val="auto"/>
                <w:highlight w:val="none"/>
                <w:u w:val="none" w:color="auto"/>
                <w:lang w:val="en-US" w:eastAsia="zh-CN"/>
              </w:rPr>
              <w:t>38.110</w:t>
            </w:r>
            <w:r>
              <w:rPr>
                <w:rFonts w:hint="default"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E， 28°45′</w:t>
            </w:r>
            <w:r>
              <w:rPr>
                <w:rFonts w:hint="eastAsia" w:cs="Times New Roman"/>
                <w:color w:val="auto"/>
                <w:highlight w:val="none"/>
                <w:u w:val="none" w:color="auto"/>
                <w:lang w:val="en-US" w:eastAsia="zh-CN"/>
              </w:rPr>
              <w:t>54.352</w:t>
            </w:r>
            <w:r>
              <w:rPr>
                <w:rFonts w:hint="default"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国民经济</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行业类别</w:t>
            </w:r>
          </w:p>
        </w:tc>
        <w:tc>
          <w:tcPr>
            <w:tcW w:w="1413"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C4210金属废料和碎屑加工处理</w:t>
            </w:r>
            <w:r>
              <w:rPr>
                <w:rFonts w:hint="default" w:ascii="Times New Roman" w:hAnsi="Times New Roman" w:eastAsia="宋体" w:cs="Times New Roman"/>
                <w:color w:val="auto"/>
                <w:highlight w:val="none"/>
                <w:u w:val="none" w:color="auto"/>
              </w:rPr>
              <w:t>C4220非金属废料和碎屑加工处理</w:t>
            </w:r>
          </w:p>
        </w:tc>
        <w:tc>
          <w:tcPr>
            <w:tcW w:w="1246" w:type="pct"/>
            <w:vAlign w:val="center"/>
          </w:tcPr>
          <w:p>
            <w:pPr>
              <w:adjustRightInd w:val="0"/>
              <w:snapToGrid w:val="0"/>
              <w:jc w:val="center"/>
              <w:rPr>
                <w:rFonts w:hint="default" w:ascii="Times New Roman" w:hAnsi="Times New Roman" w:eastAsia="宋体" w:cs="Times New Roman"/>
                <w:color w:val="auto"/>
                <w:highlight w:val="none"/>
                <w:u w:val="none" w:color="auto"/>
              </w:rPr>
            </w:pPr>
            <w:bookmarkStart w:id="8" w:name="_Hlk49843745"/>
            <w:r>
              <w:rPr>
                <w:rFonts w:hint="default" w:ascii="Times New Roman" w:hAnsi="Times New Roman" w:eastAsia="宋体" w:cs="Times New Roman"/>
                <w:color w:val="auto"/>
                <w:highlight w:val="none"/>
                <w:u w:val="none" w:color="auto"/>
              </w:rPr>
              <w:t>建设项目</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行业类别</w:t>
            </w:r>
            <w:bookmarkEnd w:id="8"/>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sz w:val="21"/>
                <w:szCs w:val="21"/>
                <w:highlight w:val="none"/>
                <w:u w:val="none" w:color="auto"/>
                <w:lang w:val="en-US" w:eastAsia="zh-CN"/>
              </w:rPr>
              <w:t>三十九、废弃资源综合利用业—85</w:t>
            </w:r>
            <w:r>
              <w:rPr>
                <w:rFonts w:hint="default" w:ascii="Times New Roman" w:hAnsi="Times New Roman" w:eastAsia="宋体" w:cs="Times New Roman"/>
                <w:color w:val="auto"/>
                <w:sz w:val="21"/>
                <w:szCs w:val="21"/>
                <w:highlight w:val="none"/>
                <w:u w:val="none" w:color="auto"/>
              </w:rPr>
              <w:t>金属废料和碎屑加工处理421；非金属废料和碎屑加工处理422（421和422均不含原料为危险废物的，均不含仅分拣、破碎的）</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废塑料、含水洗工艺的其他废料和碎屑加工处理（农业生产产生的废旧秧盘、薄膜破碎和清洗工艺的除外）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建设性质</w:t>
            </w:r>
          </w:p>
        </w:tc>
        <w:tc>
          <w:tcPr>
            <w:tcW w:w="1413" w:type="pct"/>
            <w:vAlign w:val="center"/>
          </w:tcPr>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新建（迁建）</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□改建</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□扩建</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□技术改造</w:t>
            </w:r>
          </w:p>
        </w:tc>
        <w:tc>
          <w:tcPr>
            <w:tcW w:w="1246"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建设项目</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申报情形</w:t>
            </w:r>
          </w:p>
        </w:tc>
        <w:tc>
          <w:tcPr>
            <w:tcW w:w="1490" w:type="pct"/>
            <w:vAlign w:val="center"/>
          </w:tcPr>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 xml:space="preserve">首次申报项目             </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□不予批准后再次申报项目</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□超五年重新审核项目     </w:t>
            </w:r>
          </w:p>
          <w:p>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项目审批（核准/</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备案）部门（选填）</w:t>
            </w:r>
          </w:p>
        </w:tc>
        <w:tc>
          <w:tcPr>
            <w:tcW w:w="1413"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湖南汨罗高新技术产业开发区管理委员会</w:t>
            </w:r>
          </w:p>
        </w:tc>
        <w:tc>
          <w:tcPr>
            <w:tcW w:w="1246"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项目审批（核准/</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备案）文号（选填）</w:t>
            </w:r>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汨高政审﹝2025﹞60号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总投资（万元）</w:t>
            </w:r>
          </w:p>
        </w:tc>
        <w:tc>
          <w:tcPr>
            <w:tcW w:w="1413" w:type="pct"/>
            <w:vAlign w:val="center"/>
          </w:tcPr>
          <w:p>
            <w:pPr>
              <w:adjustRightInd w:val="0"/>
              <w:snapToGrid w:val="0"/>
              <w:jc w:val="center"/>
              <w:rPr>
                <w:rFonts w:hint="default" w:ascii="Times New Roman" w:hAnsi="Times New Roman" w:eastAsia="宋体" w:cs="Times New Roman"/>
                <w:color w:val="auto"/>
                <w:highlight w:val="none"/>
                <w:u w:val="none" w:color="auto"/>
                <w:lang w:val="en-US"/>
              </w:rPr>
            </w:pPr>
            <w:r>
              <w:rPr>
                <w:rFonts w:hint="eastAsia" w:cs="Times New Roman"/>
                <w:color w:val="auto"/>
                <w:highlight w:val="none"/>
                <w:u w:val="none" w:color="auto"/>
                <w:lang w:val="en-US" w:eastAsia="zh-CN"/>
              </w:rPr>
              <w:t>4000</w:t>
            </w:r>
          </w:p>
        </w:tc>
        <w:tc>
          <w:tcPr>
            <w:tcW w:w="124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环保投资（万元）</w:t>
            </w:r>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环保投资占比（%）</w:t>
            </w:r>
          </w:p>
        </w:tc>
        <w:tc>
          <w:tcPr>
            <w:tcW w:w="1413"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0.66</w:t>
            </w:r>
          </w:p>
        </w:tc>
        <w:tc>
          <w:tcPr>
            <w:tcW w:w="124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施工工期</w:t>
            </w:r>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是否开工建设</w:t>
            </w:r>
          </w:p>
        </w:tc>
        <w:tc>
          <w:tcPr>
            <w:tcW w:w="1413" w:type="pct"/>
            <w:vAlign w:val="center"/>
          </w:tcPr>
          <w:p>
            <w:pPr>
              <w:adjustRightInd w:val="0"/>
              <w:snapToGrid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否</w:t>
            </w:r>
          </w:p>
          <w:p>
            <w:pPr>
              <w:adjustRightInd w:val="0"/>
              <w:snapToGrid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A3"/>
            </w:r>
            <w:r>
              <w:rPr>
                <w:rFonts w:hint="default" w:ascii="Times New Roman" w:hAnsi="Times New Roman" w:eastAsia="宋体" w:cs="Times New Roman"/>
                <w:color w:val="auto"/>
                <w:highlight w:val="none"/>
                <w:u w:val="none" w:color="auto"/>
              </w:rPr>
              <w:t xml:space="preserve">是：             </w:t>
            </w:r>
          </w:p>
        </w:tc>
        <w:tc>
          <w:tcPr>
            <w:tcW w:w="124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highlight w:val="none"/>
                <w:u w:val="none" w:color="auto"/>
              </w:rPr>
            </w:pPr>
            <w:r>
              <w:rPr>
                <w:rFonts w:hint="default" w:ascii="Times New Roman" w:hAnsi="Times New Roman" w:eastAsia="宋体" w:cs="Times New Roman"/>
                <w:color w:val="auto"/>
                <w:spacing w:val="-6"/>
                <w:highlight w:val="none"/>
                <w:u w:val="none" w:color="auto"/>
              </w:rPr>
              <w:t>用地（用海）</w:t>
            </w:r>
          </w:p>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6"/>
                <w:highlight w:val="none"/>
                <w:u w:val="none" w:color="auto"/>
              </w:rPr>
              <w:t>面积（m</w:t>
            </w:r>
            <w:r>
              <w:rPr>
                <w:rFonts w:hint="default" w:ascii="Times New Roman" w:hAnsi="Times New Roman" w:eastAsia="宋体" w:cs="Times New Roman"/>
                <w:color w:val="auto"/>
                <w:spacing w:val="-6"/>
                <w:highlight w:val="none"/>
                <w:u w:val="none" w:color="auto"/>
                <w:vertAlign w:val="superscript"/>
              </w:rPr>
              <w:t>2</w:t>
            </w:r>
            <w:r>
              <w:rPr>
                <w:rFonts w:hint="default" w:ascii="Times New Roman" w:hAnsi="Times New Roman" w:eastAsia="宋体" w:cs="Times New Roman"/>
                <w:color w:val="auto"/>
                <w:spacing w:val="-6"/>
                <w:highlight w:val="none"/>
                <w:u w:val="none" w:color="auto"/>
              </w:rPr>
              <w:t>）</w:t>
            </w:r>
          </w:p>
        </w:tc>
        <w:tc>
          <w:tcPr>
            <w:tcW w:w="1490" w:type="pct"/>
            <w:vAlign w:val="center"/>
          </w:tcPr>
          <w:p>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7260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专项评价设置情况</w:t>
            </w:r>
          </w:p>
        </w:tc>
        <w:tc>
          <w:tcPr>
            <w:tcW w:w="4150" w:type="pct"/>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根据《建设项目环境影响报告表编制技术指南（污染影响类）（试行）》，专项评价设置原则如下：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表1-1  专项评价设置原则表</w:t>
            </w:r>
          </w:p>
          <w:tbl>
            <w:tblPr>
              <w:tblStyle w:val="4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3017"/>
              <w:gridCol w:w="2217"/>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专项评价的类别</w:t>
                  </w:r>
                </w:p>
              </w:tc>
              <w:tc>
                <w:tcPr>
                  <w:tcW w:w="30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设置原则</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本项目情况</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是否设置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大气</w:t>
                  </w:r>
                </w:p>
              </w:tc>
              <w:tc>
                <w:tcPr>
                  <w:tcW w:w="3017" w:type="dxa"/>
                  <w:tcBorders>
                    <w:tl2br w:val="nil"/>
                    <w:tr2bl w:val="nil"/>
                  </w:tcBorders>
                  <w:vAlign w:val="center"/>
                </w:tcPr>
                <w:p>
                  <w:pPr>
                    <w:pStyle w:val="282"/>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bidi="ar-SA"/>
                    </w:rPr>
                    <w:t>排放废气含有毒有害污染物、二噁英、苯并[a]芘、氰化物、氯气且厂界外500米范围内有环境空气保护目标的建设项目</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本项目排放的废气污染物主要为颗粒物，不涉及有毒有害污染物等</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地表水</w:t>
                  </w:r>
                </w:p>
              </w:tc>
              <w:tc>
                <w:tcPr>
                  <w:tcW w:w="3017" w:type="dxa"/>
                  <w:tcBorders>
                    <w:tl2br w:val="nil"/>
                    <w:tr2bl w:val="nil"/>
                  </w:tcBorders>
                  <w:vAlign w:val="center"/>
                </w:tcPr>
                <w:p>
                  <w:pPr>
                    <w:pStyle w:val="282"/>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bidi="ar-SA"/>
                    </w:rPr>
                    <w:t>新增工业废水直排建设项目（槽罐车外送污水处理厂的除外）；新增废水直排的污水集中处理厂</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18"/>
                      <w:szCs w:val="18"/>
                      <w:highlight w:val="none"/>
                      <w:u w:val="single" w:color="auto"/>
                      <w:vertAlign w:val="baseline"/>
                      <w:lang w:val="en-US" w:eastAsia="zh-CN"/>
                    </w:rPr>
                    <w:t>本项目生活污水经化粪池处理后进入</w:t>
                  </w:r>
                  <w:r>
                    <w:rPr>
                      <w:rFonts w:hint="default" w:ascii="Times New Roman" w:hAnsi="Times New Roman" w:cs="Times New Roman"/>
                      <w:color w:val="auto"/>
                      <w:sz w:val="18"/>
                      <w:szCs w:val="18"/>
                      <w:u w:val="single" w:color="auto"/>
                      <w:vertAlign w:val="baseline"/>
                      <w:lang w:val="en-US" w:eastAsia="zh-CN" w:bidi="ar-SA"/>
                    </w:rPr>
                    <w:t>湖南汨罗高新技术产业开发区（循环园区）污水处理厂处理</w:t>
                  </w:r>
                  <w:r>
                    <w:rPr>
                      <w:rFonts w:hint="eastAsia" w:cs="Times New Roman"/>
                      <w:color w:val="auto"/>
                      <w:sz w:val="18"/>
                      <w:szCs w:val="18"/>
                      <w:u w:val="single" w:color="auto"/>
                      <w:vertAlign w:val="baseline"/>
                      <w:lang w:val="en-US" w:eastAsia="zh-CN" w:bidi="ar-SA"/>
                    </w:rPr>
                    <w:t>，生产废水经沉淀后有限回用，外排部分依托湖南中塑新材料科技有限公司污水处理设施处理达标后，最终排入汨罗高新区再生材料产业园污水处理厂</w:t>
                  </w:r>
                  <w:r>
                    <w:rPr>
                      <w:rFonts w:hint="default" w:ascii="Times New Roman" w:hAnsi="Times New Roman" w:eastAsia="宋体" w:cs="Times New Roman"/>
                      <w:color w:val="auto"/>
                      <w:sz w:val="18"/>
                      <w:szCs w:val="18"/>
                      <w:highlight w:val="none"/>
                      <w:u w:val="single" w:color="auto"/>
                    </w:rPr>
                    <w:t>，处理后的污水作为中水回用于再生材料产业园企业，不外排</w:t>
                  </w:r>
                  <w:r>
                    <w:rPr>
                      <w:rFonts w:hint="eastAsia" w:cs="Times New Roman"/>
                      <w:color w:val="auto"/>
                      <w:sz w:val="18"/>
                      <w:szCs w:val="18"/>
                      <w:u w:val="single" w:color="auto"/>
                      <w:vertAlign w:val="baseline"/>
                      <w:lang w:val="en-US" w:eastAsia="zh-CN" w:bidi="ar-SA"/>
                    </w:rPr>
                    <w:t>。</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环境风险</w:t>
                  </w:r>
                </w:p>
              </w:tc>
              <w:tc>
                <w:tcPr>
                  <w:tcW w:w="3017" w:type="dxa"/>
                  <w:tcBorders>
                    <w:tl2br w:val="nil"/>
                    <w:tr2bl w:val="nil"/>
                  </w:tcBorders>
                  <w:vAlign w:val="center"/>
                </w:tcPr>
                <w:p>
                  <w:pPr>
                    <w:pStyle w:val="282"/>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21"/>
                      <w:szCs w:val="20"/>
                      <w:u w:val="none"/>
                      <w:lang w:val="en-US" w:eastAsia="zh-CN" w:bidi="ar-SA"/>
                    </w:rPr>
                  </w:pPr>
                  <w:r>
                    <w:rPr>
                      <w:rFonts w:hint="default" w:ascii="Times New Roman" w:hAnsi="Times New Roman" w:cs="Times New Roman"/>
                      <w:color w:val="auto"/>
                      <w:u w:val="none"/>
                      <w:lang w:val="en-US" w:eastAsia="zh-CN" w:bidi="ar-SA"/>
                    </w:rPr>
                    <w:t>有毒有害和易燃易爆危险物质存储量超过临界量的建设项目</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本项目危险物质存储量未超过临界量。</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生态</w:t>
                  </w:r>
                </w:p>
              </w:tc>
              <w:tc>
                <w:tcPr>
                  <w:tcW w:w="3017" w:type="dxa"/>
                  <w:tcBorders>
                    <w:tl2br w:val="nil"/>
                    <w:tr2bl w:val="nil"/>
                  </w:tcBorders>
                  <w:vAlign w:val="center"/>
                </w:tcPr>
                <w:p>
                  <w:pPr>
                    <w:pStyle w:val="282"/>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bidi="ar-SA"/>
                    </w:rPr>
                    <w:t>取水口下游500米范围内有重要水生生物的自然产卵场、索饵场、越冬场和洄游通道的新增河道取水的污染类建设项目</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default" w:ascii="Times New Roman" w:hAnsi="Times New Roman" w:eastAsia="宋体" w:cs="Times New Roman"/>
                      <w:bCs/>
                      <w:color w:val="auto"/>
                      <w:sz w:val="18"/>
                      <w:szCs w:val="18"/>
                      <w:highlight w:val="none"/>
                      <w:u w:val="single" w:color="auto"/>
                    </w:rPr>
                    <w:t>生活用水使用自来水，生产用水使用湖南汨罗循环经济产业园再生材料产业园污水处理厂处理后的中水</w:t>
                  </w:r>
                  <w:r>
                    <w:rPr>
                      <w:rFonts w:hint="eastAsia" w:cs="Times New Roman"/>
                      <w:color w:val="auto"/>
                      <w:kern w:val="0"/>
                      <w:sz w:val="21"/>
                      <w:szCs w:val="21"/>
                      <w:highlight w:val="none"/>
                      <w:u w:val="single" w:color="auto"/>
                      <w:vertAlign w:val="baseline"/>
                      <w:lang w:val="en-US" w:eastAsia="zh-CN"/>
                    </w:rPr>
                    <w:t>。</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海洋</w:t>
                  </w:r>
                </w:p>
              </w:tc>
              <w:tc>
                <w:tcPr>
                  <w:tcW w:w="3017" w:type="dxa"/>
                  <w:tcBorders>
                    <w:tl2br w:val="nil"/>
                    <w:tr2bl w:val="nil"/>
                  </w:tcBorders>
                  <w:vAlign w:val="center"/>
                </w:tcPr>
                <w:p>
                  <w:pPr>
                    <w:pStyle w:val="282"/>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bidi="ar-SA"/>
                    </w:rPr>
                    <w:t>直接向海排放污染物的海洋工程建设项目</w:t>
                  </w:r>
                </w:p>
              </w:tc>
              <w:tc>
                <w:tcPr>
                  <w:tcW w:w="2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本项目不属于海洋工程建设项目。</w:t>
                  </w:r>
                </w:p>
              </w:tc>
              <w:tc>
                <w:tcPr>
                  <w:tcW w:w="6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否</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综上所述，本项目无需开展专项评价。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highlight w:val="none"/>
                <w:u w:val="none" w:color="auto"/>
              </w:rPr>
              <w:t>规划情况</w:t>
            </w:r>
          </w:p>
        </w:tc>
        <w:tc>
          <w:tcPr>
            <w:tcW w:w="4150" w:type="pct"/>
            <w:gridSpan w:val="3"/>
            <w:vAlign w:val="center"/>
          </w:tcPr>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（1）所属园区规划名称：《汨罗高新技术产业开发区控制性详细规划》(2022-2035年)、《湖南汨罗高新技术产业开发区产业发展规划（2022-2027）》</w:t>
            </w:r>
          </w:p>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（2）审批机关：</w:t>
            </w:r>
            <w:r>
              <w:rPr>
                <w:rFonts w:hint="eastAsia" w:cs="Times New Roman"/>
                <w:color w:val="auto"/>
                <w:kern w:val="0"/>
                <w:sz w:val="24"/>
                <w:szCs w:val="24"/>
                <w:highlight w:val="none"/>
                <w:u w:val="none" w:color="auto"/>
                <w:lang w:val="en-US" w:eastAsia="zh-CN"/>
              </w:rPr>
              <w:t>湖南省发展和改革委员会、</w:t>
            </w:r>
            <w:r>
              <w:rPr>
                <w:rFonts w:hint="default" w:ascii="Times New Roman" w:hAnsi="Times New Roman" w:eastAsia="宋体" w:cs="Times New Roman"/>
                <w:color w:val="auto"/>
                <w:kern w:val="0"/>
                <w:sz w:val="24"/>
                <w:szCs w:val="24"/>
                <w:highlight w:val="none"/>
                <w:u w:val="none" w:color="auto"/>
                <w:lang w:val="en-US" w:eastAsia="zh-CN"/>
              </w:rPr>
              <w:t>汨罗市人民政府</w:t>
            </w:r>
          </w:p>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val="en-US" w:eastAsia="zh-CN"/>
              </w:rPr>
              <w:t>（3）审批文件：</w:t>
            </w:r>
            <w:r>
              <w:rPr>
                <w:rFonts w:hint="eastAsia" w:cs="Times New Roman"/>
                <w:color w:val="auto"/>
                <w:kern w:val="0"/>
                <w:sz w:val="24"/>
                <w:szCs w:val="24"/>
                <w:highlight w:val="none"/>
                <w:u w:val="none" w:color="auto"/>
                <w:lang w:val="en-US" w:eastAsia="zh-CN"/>
              </w:rPr>
              <w:t>《湖南省发展和改革委员会关于株洲经济开发区等9家园区调区扩区的复函》（湘发改</w:t>
            </w:r>
            <w:r>
              <w:rPr>
                <w:rFonts w:hint="default" w:ascii="Times New Roman" w:hAnsi="Times New Roman" w:eastAsia="宋体" w:cs="Times New Roman"/>
                <w:color w:val="auto"/>
                <w:kern w:val="0"/>
                <w:sz w:val="24"/>
                <w:szCs w:val="24"/>
                <w:highlight w:val="none"/>
                <w:u w:val="none" w:color="auto"/>
                <w:lang w:val="en-US" w:eastAsia="zh-CN"/>
              </w:rPr>
              <w:t>函[2024]</w:t>
            </w:r>
            <w:r>
              <w:rPr>
                <w:rFonts w:hint="eastAsia" w:cs="Times New Roman"/>
                <w:color w:val="auto"/>
                <w:kern w:val="0"/>
                <w:sz w:val="24"/>
                <w:szCs w:val="24"/>
                <w:highlight w:val="none"/>
                <w:u w:val="none" w:color="auto"/>
                <w:lang w:val="en-US" w:eastAsia="zh-CN"/>
              </w:rPr>
              <w:t>73</w:t>
            </w:r>
            <w:r>
              <w:rPr>
                <w:rFonts w:hint="default" w:ascii="Times New Roman" w:hAnsi="Times New Roman" w:eastAsia="宋体" w:cs="Times New Roman"/>
                <w:color w:val="auto"/>
                <w:kern w:val="0"/>
                <w:sz w:val="24"/>
                <w:szCs w:val="24"/>
                <w:highlight w:val="none"/>
                <w:u w:val="none" w:color="auto"/>
                <w:lang w:val="en-US" w:eastAsia="zh-CN"/>
              </w:rPr>
              <w:t>号</w:t>
            </w:r>
            <w:r>
              <w:rPr>
                <w:rFonts w:hint="eastAsia"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、《汨罗市人民政府关于湖南汨罗高新技术产业开发区产业发展规划（2022-2027）的批复》</w:t>
            </w:r>
            <w:r>
              <w:rPr>
                <w:rFonts w:hint="eastAsia"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汨政函[2023]90号</w:t>
            </w:r>
            <w:r>
              <w:rPr>
                <w:rFonts w:hint="eastAsia" w:cs="Times New Roman"/>
                <w:color w:val="auto"/>
                <w:kern w:val="0"/>
                <w:sz w:val="24"/>
                <w:szCs w:val="24"/>
                <w:highlight w:val="none"/>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规划环境影响</w:t>
            </w:r>
          </w:p>
          <w:p>
            <w:pPr>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highlight w:val="none"/>
                <w:u w:val="none" w:color="auto"/>
              </w:rPr>
              <w:t>评价情况</w:t>
            </w:r>
          </w:p>
        </w:tc>
        <w:tc>
          <w:tcPr>
            <w:tcW w:w="4150" w:type="pct"/>
            <w:gridSpan w:val="3"/>
            <w:vAlign w:val="center"/>
          </w:tcPr>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（1）规划环境影响评价名称：《汨罗高新技术产业开发区扩区规划环境影响报告书》</w:t>
            </w:r>
          </w:p>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（2）审查机关：湖南省生态环境厅</w:t>
            </w:r>
          </w:p>
          <w:p>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val="en-US" w:eastAsia="zh-CN"/>
              </w:rPr>
              <w:t>（3）审查文件：《湖南省生态环境厅关于&lt;汨罗高新技术产业开发区扩区规划环境影响报告书&gt;审查意见的函》</w:t>
            </w:r>
            <w:r>
              <w:rPr>
                <w:rFonts w:hint="eastAsia"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湘环评函〔2024〕41号</w:t>
            </w:r>
            <w:r>
              <w:rPr>
                <w:rFonts w:hint="eastAsia" w:cs="Times New Roman"/>
                <w:color w:val="auto"/>
                <w:kern w:val="0"/>
                <w:sz w:val="24"/>
                <w:szCs w:val="24"/>
                <w:highlight w:val="none"/>
                <w:u w:val="none" w:color="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规划及规划环境</w:t>
            </w:r>
          </w:p>
          <w:p>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影响评价符合性分析</w:t>
            </w:r>
          </w:p>
        </w:tc>
        <w:tc>
          <w:tcPr>
            <w:tcW w:w="4150" w:type="pct"/>
            <w:gridSpan w:val="3"/>
            <w:vAlign w:val="center"/>
          </w:tcPr>
          <w:p>
            <w:pPr>
              <w:pStyle w:val="16"/>
              <w:spacing w:line="360" w:lineRule="auto"/>
              <w:ind w:firstLine="480"/>
              <w:rPr>
                <w:rFonts w:hint="default" w:ascii="Times New Roman" w:hAnsi="Times New Roman" w:eastAsia="宋体"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1、本项目与园区规划符合性分析</w:t>
            </w:r>
          </w:p>
          <w:p>
            <w:pPr>
              <w:pStyle w:val="16"/>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（1）与园区用地规划相符性分析</w:t>
            </w:r>
          </w:p>
          <w:p>
            <w:pPr>
              <w:pStyle w:val="16"/>
              <w:spacing w:line="360" w:lineRule="auto"/>
              <w:ind w:firstLine="48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val="en-US" w:eastAsia="zh-CN"/>
              </w:rPr>
              <w:t>根据《湖南省发展和改革委员会、湖南省自然资源厅关于发布湖南省升级及以上产业园区边界面积及四至范围目录的通知》（湘发改园区［2022］601号）及《湖南省自然资源厅关于汨罗高新技术产业开发区扩区用地审核意见的函》（2023.11.21），湖南汨罗高新技术产业开发区扩区后，汨罗高新区规划总面积1543.67公顷。规划总范围包括：湖南汨罗循环经济产业园（新市片）西片区东至莲花路（规划路），南至车站大道（规划路），西至武广高铁，北至汨罗江大道路，规划面积为573.52公顷；湖南汨罗循环经济产业园（新市片）东片区东至湄江河，南至车站大道（规划路）以南600米，西至G107国道，北至汨新大道，规划面积为459.39公顷；湖南工程机械配套产业园（弼时片）东至原G107国道，南至三角塘路以南300米，西至万家丽北路（规划路），北至新G107路，规划面积为510.76公顷。</w:t>
            </w:r>
          </w:p>
          <w:p>
            <w:pPr>
              <w:pStyle w:val="16"/>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本项目位于</w:t>
            </w:r>
            <w:r>
              <w:rPr>
                <w:rFonts w:hint="eastAsia" w:ascii="Times New Roman" w:hAnsi="Times New Roman" w:eastAsia="宋体" w:cs="Times New Roman"/>
                <w:b w:val="0"/>
                <w:bCs w:val="0"/>
                <w:color w:val="auto"/>
                <w:sz w:val="24"/>
                <w:szCs w:val="24"/>
                <w:lang w:val="en-US" w:eastAsia="zh-CN"/>
              </w:rPr>
              <w:t>湖南省岳阳市汨罗市湖南汨罗高新技术产业开发区</w:t>
            </w:r>
            <w:r>
              <w:rPr>
                <w:rFonts w:hint="eastAsia" w:cs="Times New Roman"/>
                <w:b w:val="0"/>
                <w:bCs w:val="0"/>
                <w:color w:val="auto"/>
                <w:sz w:val="24"/>
                <w:szCs w:val="24"/>
                <w:lang w:val="en-US" w:eastAsia="zh-CN"/>
              </w:rPr>
              <w:t>新市片东片区湖南中塑新材料科技有限公司14#厂房，租用现有厂房进行建设（见附件3），属于</w:t>
            </w:r>
            <w:r>
              <w:rPr>
                <w:rFonts w:hint="default" w:ascii="Times New Roman" w:hAnsi="Times New Roman" w:eastAsia="宋体" w:cs="Times New Roman"/>
                <w:color w:val="auto"/>
                <w:sz w:val="24"/>
                <w:szCs w:val="24"/>
                <w:highlight w:val="none"/>
                <w:u w:val="none" w:color="auto"/>
                <w:lang w:val="en-US" w:eastAsia="zh-CN"/>
              </w:rPr>
              <w:t>湖南汨罗循环经济产业园（新市片）东片区</w:t>
            </w:r>
            <w:r>
              <w:rPr>
                <w:rFonts w:hint="eastAsia" w:cs="Times New Roman"/>
                <w:color w:val="auto"/>
                <w:sz w:val="24"/>
                <w:szCs w:val="24"/>
                <w:highlight w:val="none"/>
                <w:u w:val="none" w:color="auto"/>
                <w:lang w:val="en-US" w:eastAsia="zh-CN"/>
              </w:rPr>
              <w:t>，根据</w:t>
            </w:r>
            <w:bookmarkStart w:id="9" w:name="OLE_LINK3"/>
            <w:r>
              <w:rPr>
                <w:rFonts w:hint="default" w:ascii="Times New Roman" w:hAnsi="Times New Roman" w:cs="Times New Roman"/>
                <w:color w:val="auto"/>
                <w:sz w:val="24"/>
                <w:szCs w:val="24"/>
                <w:u w:val="none"/>
              </w:rPr>
              <w:t>《汨罗高新技术产业开发区控制性详细规划》（2022-2035年）中的土地利用规划图（</w:t>
            </w:r>
            <w:r>
              <w:rPr>
                <w:rFonts w:hint="default" w:ascii="Times New Roman" w:hAnsi="Times New Roman" w:cs="Times New Roman"/>
                <w:color w:val="auto"/>
                <w:sz w:val="24"/>
                <w:szCs w:val="24"/>
                <w:u w:val="none"/>
                <w:lang w:eastAsia="zh-CN"/>
              </w:rPr>
              <w:t>见</w:t>
            </w:r>
            <w:r>
              <w:rPr>
                <w:rFonts w:hint="default" w:ascii="Times New Roman" w:hAnsi="Times New Roman" w:cs="Times New Roman"/>
                <w:color w:val="auto"/>
                <w:sz w:val="24"/>
                <w:szCs w:val="24"/>
                <w:u w:val="none"/>
              </w:rPr>
              <w:t>附图</w:t>
            </w:r>
            <w:r>
              <w:rPr>
                <w:rFonts w:hint="eastAsia" w:cs="Times New Roman"/>
                <w:color w:val="auto"/>
                <w:sz w:val="24"/>
                <w:szCs w:val="24"/>
                <w:u w:val="none"/>
                <w:lang w:val="en-US" w:eastAsia="zh-CN"/>
              </w:rPr>
              <w:t>4</w:t>
            </w:r>
            <w:r>
              <w:rPr>
                <w:rFonts w:hint="default" w:ascii="Times New Roman" w:hAnsi="Times New Roman" w:cs="Times New Roman"/>
                <w:color w:val="auto"/>
                <w:sz w:val="24"/>
                <w:szCs w:val="24"/>
                <w:u w:val="none"/>
              </w:rPr>
              <w:t>），</w:t>
            </w:r>
            <w:r>
              <w:rPr>
                <w:rFonts w:hint="eastAsia" w:cs="Times New Roman"/>
                <w:color w:val="auto"/>
                <w:sz w:val="24"/>
                <w:szCs w:val="24"/>
                <w:u w:val="none"/>
                <w:lang w:val="en-US" w:eastAsia="zh-CN"/>
              </w:rPr>
              <w:t>本项目所在地规划为二类工业用地</w:t>
            </w:r>
            <w:bookmarkEnd w:id="9"/>
            <w:r>
              <w:rPr>
                <w:rFonts w:hint="eastAsia" w:cs="Times New Roman"/>
                <w:color w:val="auto"/>
                <w:sz w:val="24"/>
                <w:szCs w:val="24"/>
                <w:u w:val="none"/>
                <w:lang w:val="en-US" w:eastAsia="zh-CN"/>
              </w:rPr>
              <w:t>，因此，本项目符合园区用地规划。</w:t>
            </w:r>
          </w:p>
          <w:p>
            <w:pPr>
              <w:pStyle w:val="16"/>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eastAsia="zh-CN"/>
              </w:rPr>
              <w:t>（</w:t>
            </w:r>
            <w:r>
              <w:rPr>
                <w:rFonts w:hint="eastAsia" w:cs="Times New Roman"/>
                <w:color w:val="auto"/>
                <w:sz w:val="24"/>
                <w:szCs w:val="24"/>
                <w:highlight w:val="none"/>
                <w:u w:val="none" w:color="auto"/>
                <w:lang w:val="en-US" w:eastAsia="zh-CN"/>
              </w:rPr>
              <w:t>2</w:t>
            </w:r>
            <w:r>
              <w:rPr>
                <w:rFonts w:hint="eastAsia" w:cs="Times New Roman"/>
                <w:color w:val="auto"/>
                <w:sz w:val="24"/>
                <w:szCs w:val="24"/>
                <w:highlight w:val="none"/>
                <w:u w:val="none" w:color="auto"/>
                <w:lang w:eastAsia="zh-CN"/>
              </w:rPr>
              <w:t>）</w:t>
            </w:r>
            <w:r>
              <w:rPr>
                <w:rFonts w:hint="eastAsia" w:cs="Times New Roman"/>
                <w:color w:val="auto"/>
                <w:sz w:val="24"/>
                <w:szCs w:val="24"/>
                <w:highlight w:val="none"/>
                <w:u w:val="none" w:color="auto"/>
                <w:lang w:val="en-US" w:eastAsia="zh-CN"/>
              </w:rPr>
              <w:t>与园区产业政策相符性分析</w:t>
            </w:r>
          </w:p>
          <w:p>
            <w:pPr>
              <w:pStyle w:val="16"/>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cs="Times New Roman"/>
                <w:i w:val="0"/>
                <w:iCs w:val="0"/>
                <w:color w:val="auto"/>
                <w:sz w:val="24"/>
                <w:szCs w:val="24"/>
                <w:u w:val="none"/>
                <w:lang w:val="en-US" w:eastAsia="zh-CN"/>
              </w:rPr>
              <w:t>根据《湖南汨罗高新技术产业开发区产业发展规划（2022-2027）》及其批复（汨政函[2023]90号），汨罗高新技术产业开发区将通过打造“一园一主一特”和新兴产业，即新市片（湖南汨罗循环经济产业园）以“废弃资源综合利用产业”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层次分明、科学合理的产业定位组合，以绿色循环经济推动该地区的可持续高质量增长。</w:t>
            </w:r>
          </w:p>
          <w:p>
            <w:pPr>
              <w:pStyle w:val="16"/>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废弃资源综合利用产业依托汨罗循环经济产业园，以现有再生铜、再生铝、不锈钢、稀贵金属、再生塑料等废弃资源综合利用产业基础，以绿色发展理念为指导，秉承尊重自然、高效集约、融合发展的基本原则，按照“固链、补链、强链”的发展思路，以产业高端化、智能化、生态化为目标，提高产品附加值，通过盘活存量、做大增量，构建的以再生铜、再生铝、不锈钢、高分子材料为主体再生资源“全产业链”，通过引进和培育龙头企业，发挥引领作用，带动上下游配套企业协同发展。通过不断优化和完善园区基础设施，创造良好的招商环境；以创新驱动发展，做强、做优汨罗再生金属及稀贵金属冶炼和压延产业、再生塑料、碳基材料、先进储能材料回收及综合利用产业。</w:t>
            </w:r>
          </w:p>
          <w:p>
            <w:pPr>
              <w:pStyle w:val="16"/>
              <w:tabs>
                <w:tab w:val="left" w:pos="2847"/>
              </w:tabs>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本项目位于</w:t>
            </w:r>
            <w:r>
              <w:rPr>
                <w:rFonts w:hint="default" w:ascii="Times New Roman" w:hAnsi="Times New Roman" w:eastAsia="宋体" w:cs="Times New Roman"/>
                <w:color w:val="auto"/>
                <w:sz w:val="24"/>
                <w:szCs w:val="24"/>
                <w:highlight w:val="none"/>
                <w:u w:val="none" w:color="auto"/>
                <w:lang w:val="en-US" w:eastAsia="zh-CN"/>
              </w:rPr>
              <w:t>湖南汨罗循环经济产业园（新市片）东片区</w:t>
            </w:r>
            <w:r>
              <w:rPr>
                <w:rFonts w:hint="eastAsia" w:cs="Times New Roman"/>
                <w:color w:val="auto"/>
                <w:sz w:val="24"/>
                <w:szCs w:val="24"/>
                <w:highlight w:val="none"/>
                <w:u w:val="none" w:color="auto"/>
                <w:lang w:val="en-US" w:eastAsia="zh-CN"/>
              </w:rPr>
              <w:t>，利用废塑料、废开关插座，通过破碎、清洗、分选，生产塑料碎屑、废铜、废铁、废铝，属于废弃资源综合利用业，符合园区产业发展定位。</w:t>
            </w:r>
          </w:p>
          <w:p>
            <w:pPr>
              <w:pStyle w:val="16"/>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综上所述，项目与园区规划相符。</w:t>
            </w:r>
          </w:p>
          <w:p>
            <w:pPr>
              <w:pStyle w:val="16"/>
              <w:spacing w:line="360" w:lineRule="auto"/>
              <w:ind w:firstLine="480"/>
              <w:rPr>
                <w:rFonts w:hint="default" w:ascii="Times New Roman" w:hAnsi="Times New Roman" w:eastAsia="宋体" w:cs="Times New Roman"/>
                <w:b/>
                <w:bCs/>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2、本项目与园区行业环境准入负面清单符合性分析</w:t>
            </w:r>
          </w:p>
          <w:p>
            <w:pPr>
              <w:pStyle w:val="16"/>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根据《汨罗高新技术产业开发区扩区规划环境影响报告书》中的“9.3产业园环境准入”相关内容，本项目位于汨罗高新技术产业开发区新市片区</w:t>
            </w:r>
            <w:r>
              <w:rPr>
                <w:rFonts w:hint="eastAsia" w:cs="Times New Roman"/>
                <w:color w:val="auto"/>
                <w:sz w:val="24"/>
                <w:szCs w:val="24"/>
                <w:highlight w:val="none"/>
                <w:u w:val="none" w:color="auto"/>
                <w:lang w:val="en-US" w:eastAsia="zh-CN"/>
              </w:rPr>
              <w:t>东</w:t>
            </w:r>
            <w:r>
              <w:rPr>
                <w:rFonts w:hint="default" w:ascii="Times New Roman" w:hAnsi="Times New Roman" w:eastAsia="宋体" w:cs="Times New Roman"/>
                <w:color w:val="auto"/>
                <w:sz w:val="24"/>
                <w:szCs w:val="24"/>
                <w:highlight w:val="none"/>
                <w:u w:val="none" w:color="auto"/>
              </w:rPr>
              <w:t>片区，项目与园区环境准入行业清单和环境准入工艺和产品负面清单符合性分析如下。</w:t>
            </w:r>
          </w:p>
          <w:p>
            <w:pPr>
              <w:keepNext w:val="0"/>
              <w:keepLines w:val="0"/>
              <w:suppressLineNumbers w:val="0"/>
              <w:autoSpaceDE w:val="0"/>
              <w:autoSpaceDN w:val="0"/>
              <w:adjustRightInd w:val="0"/>
              <w:snapToGrid w:val="0"/>
              <w:spacing w:before="0" w:beforeAutospacing="0" w:after="0" w:afterAutospacing="0"/>
              <w:ind w:left="0" w:leftChars="0" w:right="0" w:firstLine="0" w:firstLineChars="0"/>
              <w:jc w:val="center"/>
              <w:rPr>
                <w:rFonts w:hint="default" w:ascii="Times New Roman" w:hAnsi="Times New Roman" w:cs="Times New Roman"/>
                <w:b/>
                <w:bCs w:val="0"/>
                <w:color w:val="auto"/>
                <w:kern w:val="0"/>
                <w:sz w:val="21"/>
                <w:szCs w:val="21"/>
                <w:u w:val="none"/>
                <w:lang w:val="en-US" w:eastAsia="zh-CN"/>
              </w:rPr>
            </w:pPr>
            <w:r>
              <w:rPr>
                <w:rFonts w:hint="default" w:ascii="Times New Roman" w:hAnsi="Times New Roman" w:cs="Times New Roman"/>
                <w:b/>
                <w:bCs w:val="0"/>
                <w:color w:val="auto"/>
                <w:kern w:val="0"/>
                <w:sz w:val="21"/>
                <w:szCs w:val="21"/>
                <w:u w:val="none"/>
                <w:lang w:val="en-US" w:eastAsia="zh-CN"/>
              </w:rPr>
              <w:t>表1-</w:t>
            </w:r>
            <w:r>
              <w:rPr>
                <w:rFonts w:hint="eastAsia" w:cs="Times New Roman"/>
                <w:b/>
                <w:bCs w:val="0"/>
                <w:color w:val="auto"/>
                <w:kern w:val="0"/>
                <w:sz w:val="21"/>
                <w:szCs w:val="21"/>
                <w:u w:val="none"/>
                <w:lang w:val="en-US" w:eastAsia="zh-CN"/>
              </w:rPr>
              <w:t>2</w:t>
            </w:r>
            <w:r>
              <w:rPr>
                <w:rFonts w:hint="default" w:ascii="Times New Roman" w:hAnsi="Times New Roman" w:cs="Times New Roman"/>
                <w:b/>
                <w:bCs w:val="0"/>
                <w:color w:val="auto"/>
                <w:kern w:val="0"/>
                <w:sz w:val="21"/>
                <w:szCs w:val="21"/>
                <w:u w:val="none"/>
                <w:lang w:val="en-US" w:eastAsia="zh-CN"/>
              </w:rPr>
              <w:t xml:space="preserve"> 项目与园区环境准入行业清单和环境准入工艺和产品负面清单符合性一览表</w:t>
            </w:r>
          </w:p>
          <w:tbl>
            <w:tblPr>
              <w:tblStyle w:val="43"/>
              <w:tblW w:w="711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84"/>
              <w:gridCol w:w="3066"/>
              <w:gridCol w:w="248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片区</w:t>
                  </w:r>
                </w:p>
              </w:tc>
              <w:tc>
                <w:tcPr>
                  <w:tcW w:w="8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类别</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行业</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本项目情况</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114" w:type="dxa"/>
                  <w:gridSpan w:val="4"/>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highlight w:val="none"/>
                      <w:u w:val="single" w:color="auto"/>
                      <w:vertAlign w:val="baseline"/>
                      <w:lang w:val="en-US" w:eastAsia="zh-CN"/>
                    </w:rPr>
                  </w:pPr>
                  <w:r>
                    <w:rPr>
                      <w:rFonts w:hint="default" w:ascii="Times New Roman" w:hAnsi="Times New Roman" w:cs="Times New Roman"/>
                      <w:b/>
                      <w:bCs/>
                      <w:color w:val="auto"/>
                      <w:szCs w:val="20"/>
                      <w:u w:val="single" w:color="auto"/>
                      <w:lang w:val="en-US" w:eastAsia="zh-CN"/>
                    </w:rPr>
                    <w:t>园区环境准入行业清单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新市片东片区</w:t>
                  </w:r>
                </w:p>
              </w:tc>
              <w:tc>
                <w:tcPr>
                  <w:tcW w:w="8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推荐类</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以发展废弃资源综合利用业、先进储能材料业为主，重点发展</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①废弃资源综合利用业：C42 废弃资源综合利用业，C3211 铜冶炼（再生铜），C3216 铝冶炼（再生铝），C325 有色金属压延加工，C292 塑料制品业，C3091石墨及碳素制品制（不涉及“两高”项目的）；</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②先进储能材料业：C421 金属废料和碎屑加工处理，C3091 石墨及碳素制品制造（不涉及“两高”项目的）。</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本项目为</w:t>
                  </w:r>
                  <w:r>
                    <w:rPr>
                      <w:rFonts w:hint="eastAsia" w:cs="Times New Roman"/>
                      <w:color w:val="auto"/>
                      <w:sz w:val="21"/>
                      <w:szCs w:val="21"/>
                      <w:highlight w:val="none"/>
                      <w:u w:val="single" w:color="auto"/>
                      <w:lang w:val="en-US" w:eastAsia="zh-CN"/>
                    </w:rPr>
                    <w:t>废弃资源综合利用业，属于C4210金属废料和碎屑加工处理</w:t>
                  </w:r>
                  <w:r>
                    <w:rPr>
                      <w:rFonts w:hint="default" w:ascii="Times New Roman" w:hAnsi="Times New Roman" w:eastAsia="宋体" w:cs="Times New Roman"/>
                      <w:color w:val="auto"/>
                      <w:sz w:val="21"/>
                      <w:szCs w:val="21"/>
                      <w:highlight w:val="none"/>
                      <w:u w:val="single" w:color="auto"/>
                    </w:rPr>
                    <w:t>C4220非金属废料和碎屑加工处理</w:t>
                  </w:r>
                  <w:r>
                    <w:rPr>
                      <w:rFonts w:hint="eastAsia" w:cs="Times New Roman"/>
                      <w:color w:val="auto"/>
                      <w:sz w:val="21"/>
                      <w:szCs w:val="21"/>
                      <w:highlight w:val="none"/>
                      <w:u w:val="single" w:color="auto"/>
                      <w:lang w:eastAsia="zh-CN"/>
                    </w:rPr>
                    <w:t>，</w:t>
                  </w:r>
                  <w:r>
                    <w:rPr>
                      <w:rFonts w:hint="eastAsia" w:cs="Times New Roman"/>
                      <w:color w:val="auto"/>
                      <w:sz w:val="21"/>
                      <w:szCs w:val="21"/>
                      <w:highlight w:val="none"/>
                      <w:u w:val="single" w:color="auto"/>
                      <w:lang w:val="en-US" w:eastAsia="zh-CN"/>
                    </w:rPr>
                    <w:t>属于推荐类项目。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限制类</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①《产业结构调整指导目录（2024 年本）》中限制类。</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②《湖南省“两高”项目管理目录》中项目。</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③规划居住用地周边限制涉及恶臭气体的项目入驻。</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本项目不属于《产业结构调整指导目录（2024年本）》中限制类项目，不属于两高项目，不属于大气环境重点排污单位。周边无规划居住用地。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禁止类</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①园区本次未作为化工园区（片区）进行规划，不得新引进国、省相关规定要求须强制入化工园区发展的项目。</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②不能满足《废塑料综合利用行业规范条件》、《废塑料回收与再生利用污染控制技术规范（试行）》、《铝行业规范条件》、《铜冶炼行业规范条件》、《废钢铁加工行业准入条件》、《废铜铝加工利用行业规范条件》要求的项目。</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③禁止以气型污染为主的新项目、涉及重大危险源的新项目紧邻规划居住用地</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布局。</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④禁止以医疗废物为原料生产塑料制品的项目。</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⑤禁止涉及原矿冶炼的有色金属项目。</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 xml:space="preserve">⑥《产业结构调整指导目录（2024 年本）》中淘汰类. </w:t>
                  </w:r>
                </w:p>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⑦国家命令淘法和禁止发展的高能耗、高物耗、污染重，不符合产业政策的建设项目。</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本项目不属于化工行业，符合</w:t>
                  </w:r>
                  <w:r>
                    <w:rPr>
                      <w:rFonts w:hint="default" w:ascii="Times New Roman" w:hAnsi="Times New Roman" w:eastAsia="宋体" w:cs="Times New Roman"/>
                      <w:color w:val="auto"/>
                      <w:sz w:val="21"/>
                      <w:szCs w:val="21"/>
                      <w:highlight w:val="none"/>
                      <w:u w:val="single" w:color="auto"/>
                      <w:vertAlign w:val="baseline"/>
                    </w:rPr>
                    <w:t>《废塑料综合利用行业规范条件》、《废塑料回收与再生利用污染控制技术规范（试行）》</w:t>
                  </w:r>
                  <w:r>
                    <w:rPr>
                      <w:rFonts w:hint="eastAsia" w:cs="Times New Roman"/>
                      <w:color w:val="auto"/>
                      <w:sz w:val="21"/>
                      <w:szCs w:val="21"/>
                      <w:highlight w:val="none"/>
                      <w:u w:val="single" w:color="auto"/>
                      <w:vertAlign w:val="baseline"/>
                      <w:lang w:val="en-US" w:eastAsia="zh-CN"/>
                    </w:rPr>
                    <w:t>要求，本项目破碎产生的粉尘有效处理后不会对周围环境造成较大影响，本项目不涉及重大危险源，原料不使用医疗废物，不属于</w:t>
                  </w:r>
                  <w:r>
                    <w:rPr>
                      <w:rFonts w:hint="default" w:ascii="Times New Roman" w:hAnsi="Times New Roman" w:eastAsia="宋体" w:cs="Times New Roman"/>
                      <w:color w:val="auto"/>
                      <w:sz w:val="21"/>
                      <w:szCs w:val="21"/>
                      <w:highlight w:val="none"/>
                      <w:u w:val="single" w:color="auto"/>
                      <w:vertAlign w:val="baseline"/>
                    </w:rPr>
                    <w:t>《产业结构调整指导目录（2024 年本）》中淘汰类</w:t>
                  </w:r>
                  <w:r>
                    <w:rPr>
                      <w:rFonts w:hint="eastAsia" w:cs="Times New Roman"/>
                      <w:color w:val="auto"/>
                      <w:sz w:val="21"/>
                      <w:szCs w:val="21"/>
                      <w:highlight w:val="none"/>
                      <w:u w:val="single" w:color="auto"/>
                      <w:vertAlign w:val="baseline"/>
                      <w:lang w:eastAsia="zh-CN"/>
                    </w:rPr>
                    <w:t>，</w:t>
                  </w:r>
                  <w:r>
                    <w:rPr>
                      <w:rFonts w:hint="eastAsia" w:cs="Times New Roman"/>
                      <w:color w:val="auto"/>
                      <w:sz w:val="21"/>
                      <w:szCs w:val="21"/>
                      <w:highlight w:val="none"/>
                      <w:u w:val="single" w:color="auto"/>
                      <w:vertAlign w:val="baseline"/>
                      <w:lang w:val="en-US" w:eastAsia="zh-CN"/>
                    </w:rPr>
                    <w:t>不属于</w:t>
                  </w:r>
                  <w:r>
                    <w:rPr>
                      <w:rFonts w:hint="default" w:ascii="Times New Roman" w:hAnsi="Times New Roman" w:eastAsia="宋体" w:cs="Times New Roman"/>
                      <w:color w:val="auto"/>
                      <w:sz w:val="21"/>
                      <w:szCs w:val="21"/>
                      <w:highlight w:val="none"/>
                      <w:u w:val="single" w:color="auto"/>
                      <w:vertAlign w:val="baseline"/>
                    </w:rPr>
                    <w:t>高能耗、高物耗、污染重</w:t>
                  </w:r>
                  <w:r>
                    <w:rPr>
                      <w:rFonts w:hint="eastAsia" w:cs="Times New Roman"/>
                      <w:color w:val="auto"/>
                      <w:sz w:val="21"/>
                      <w:szCs w:val="21"/>
                      <w:highlight w:val="none"/>
                      <w:u w:val="single" w:color="auto"/>
                      <w:vertAlign w:val="baseline"/>
                      <w:lang w:val="en-US" w:eastAsia="zh-CN"/>
                    </w:rPr>
                    <w:t>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7114" w:type="dxa"/>
                  <w:gridSpan w:val="4"/>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环境准入工艺和产品负面清单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新市片废气资源综合利用产业</w:t>
                  </w:r>
                </w:p>
              </w:tc>
              <w:tc>
                <w:tcPr>
                  <w:tcW w:w="884"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限制类</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直径600毫米以下或2万吨/年以下的超高功率石墨电极生产线</w:t>
                  </w:r>
                </w:p>
              </w:tc>
              <w:tc>
                <w:tcPr>
                  <w:tcW w:w="248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本项目不涉及</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8万吨/年以下预焙阳极（炭块）、2万吨/年以下普通阴极炭块、4万吨/年以下炭电极生产线</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单系列10万啊规模以下PS转炉吹炼工艺的铜冶炼项目</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新建、扩建电解铝项目（产能置换项目除外）</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单系列5万吨/年规模以下铅冶炼、再生铅项目</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10 万吨/年以下的独立铝用炭素项目</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禁止类</w:t>
                  </w: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采用明火高温加热方式生产油品的釜式蒸馏装置</w:t>
                  </w:r>
                </w:p>
              </w:tc>
              <w:tc>
                <w:tcPr>
                  <w:tcW w:w="248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本项目不涉及</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废旧橡胶和塑料土法炼油工艺</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采用马弗炉、马槽炉、横罐、小竖罐等进行焙烧、简易冷凝设施进行收尘等落后方式炼锌或生产氧化锌工艺装备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160kA 以下预焙阳极铝电解槽</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鼓风炉、电炉、反射炉（再生铜非直接燃煤反射炉除外）炼铜工艺及设备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烟气制酸干法净化和热浓酸洗涤技术</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采用地坑炉、坩埚炉、赫氏炉等落后方式炼锑</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利用坩埚炉熔炼再生铝合金、再生铅的工艺及设备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再生有色金属生产中采用直接燃煤的反射炉项目</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铜线杆（黑杆）生产工艺</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无烟气治理措施的再生铜焚烧工艺及设备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50 吨以下传统固定式反射炉再生铜生产工艺及设备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15 吨以下再生铝用熔炼炉</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以医疗废物为原料制造塑料制品</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本项目不以医疗废物为原料</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铜线杆（黑杆）</w:t>
                  </w:r>
                </w:p>
              </w:tc>
              <w:tc>
                <w:tcPr>
                  <w:tcW w:w="248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本项目不涉及</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以焦炭为燃料的有色金属熔炼炉</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一次性发泡塑料餐具、一次性塑料棉签；含塑料微珠的日化用品；厚度低于 0.025 毫米的超薄型塑料袋；厚度低于 0.01 毫米的聚乙烯农用地膜</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有色金属行业用一段式固定煤气发生炉</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PET 再生瓶片类企业：新建企业年废塑料处理能力低于30000吨，综合新水消耗高于1.5吨/吨废塑料</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 xml:space="preserve">废塑料破碎、清洗、分选类企业：新建企业年废塑料处理能力低于 30000 吨，综合新水消耗高于 </w:t>
                  </w:r>
                  <w:r>
                    <w:rPr>
                      <w:rFonts w:hint="eastAsia" w:cs="Times New Roman"/>
                      <w:color w:val="auto"/>
                      <w:sz w:val="21"/>
                      <w:szCs w:val="21"/>
                      <w:highlight w:val="none"/>
                      <w:u w:val="single" w:color="auto"/>
                      <w:vertAlign w:val="baseline"/>
                      <w:lang w:val="en-US" w:eastAsia="zh-CN"/>
                    </w:rPr>
                    <w:t>1.5</w:t>
                  </w:r>
                  <w:r>
                    <w:rPr>
                      <w:rFonts w:hint="default" w:ascii="Times New Roman" w:hAnsi="Times New Roman" w:eastAsia="宋体" w:cs="Times New Roman"/>
                      <w:color w:val="auto"/>
                      <w:sz w:val="21"/>
                      <w:szCs w:val="21"/>
                      <w:highlight w:val="none"/>
                      <w:u w:val="single" w:color="auto"/>
                      <w:vertAlign w:val="baseline"/>
                    </w:rPr>
                    <w:t>吨/吨废塑料</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rPr>
                    <w:t>本项目涉及废塑料破碎、清洗、分选，</w:t>
                  </w:r>
                  <w:r>
                    <w:rPr>
                      <w:rFonts w:hint="eastAsia" w:cs="Times New Roman"/>
                      <w:color w:val="auto"/>
                      <w:sz w:val="21"/>
                      <w:szCs w:val="21"/>
                      <w:highlight w:val="none"/>
                      <w:u w:val="single" w:color="auto"/>
                      <w:vertAlign w:val="baseline"/>
                      <w:lang w:val="en-US" w:eastAsia="zh-CN"/>
                    </w:rPr>
                    <w:t>破碎72000吨废塑料、废开关插座，综合新水消耗量为10654.6t/a，0.15</w:t>
                  </w:r>
                  <w:r>
                    <w:rPr>
                      <w:rFonts w:hint="default" w:ascii="Times New Roman" w:hAnsi="Times New Roman" w:eastAsia="宋体" w:cs="Times New Roman"/>
                      <w:color w:val="auto"/>
                      <w:sz w:val="21"/>
                      <w:szCs w:val="21"/>
                      <w:highlight w:val="none"/>
                      <w:u w:val="single" w:color="auto"/>
                      <w:vertAlign w:val="baseline"/>
                    </w:rPr>
                    <w:t>吨/吨废塑料</w:t>
                  </w:r>
                  <w:r>
                    <w:rPr>
                      <w:rFonts w:hint="default" w:ascii="Times New Roman" w:hAnsi="Times New Roman" w:eastAsia="宋体" w:cs="Times New Roman"/>
                      <w:color w:val="auto"/>
                      <w:sz w:val="21"/>
                      <w:szCs w:val="21"/>
                      <w:highlight w:val="none"/>
                      <w:u w:val="single" w:color="auto"/>
                    </w:rPr>
                    <w:t>。</w:t>
                  </w:r>
                  <w:r>
                    <w:rPr>
                      <w:rStyle w:val="55"/>
                      <w:rFonts w:hint="default" w:ascii="Times New Roman" w:hAnsi="Times New Roman" w:eastAsia="宋体" w:cs="Times New Roman"/>
                      <w:color w:val="auto"/>
                      <w:sz w:val="21"/>
                      <w:szCs w:val="21"/>
                      <w:highlight w:val="none"/>
                      <w:u w:val="single" w:color="auto"/>
                    </w:rPr>
                    <w:t>符合</w:t>
                  </w:r>
                  <w:r>
                    <w:rPr>
                      <w:rFonts w:hint="default" w:ascii="Times New Roman" w:hAnsi="Times New Roman" w:eastAsia="宋体" w:cs="Times New Roman"/>
                      <w:color w:val="auto"/>
                      <w:sz w:val="21"/>
                      <w:szCs w:val="21"/>
                      <w:highlight w:val="none"/>
                      <w:u w:val="single" w:color="auto"/>
                    </w:rPr>
                    <w:t>废塑料破碎、清洗、分选类企业的综合新水消耗低于1.5吨/吨废塑料要求。</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塑料再生造粒类企业：新建企业年废塑料处理能力低于 5000 吨</w:t>
                  </w:r>
                </w:p>
              </w:tc>
              <w:tc>
                <w:tcPr>
                  <w:tcW w:w="2483"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本项目不涉及造粒</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禁止利用直接燃煤反射炉和 4 吨以下其他反射炉生产再生铝，禁止采用坩埚炉熔炼再生铝合金</w:t>
                  </w:r>
                </w:p>
              </w:tc>
              <w:tc>
                <w:tcPr>
                  <w:tcW w:w="2483" w:type="dxa"/>
                  <w:vMerge w:val="restart"/>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本项目不涉及</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rPr>
                    <w:t>利用含铜二次资源的铜冶炼企业禁止采用化学法以及无烟气治理设施的焚烧工艺和装备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rPr>
                    <w:t>禁止使用直接燃煤的反射炉熔炼含铜二次资源</w:t>
                  </w:r>
                  <w:r>
                    <w:rPr>
                      <w:rFonts w:hint="eastAsia" w:cs="Times New Roman"/>
                      <w:color w:val="auto"/>
                      <w:sz w:val="21"/>
                      <w:szCs w:val="21"/>
                      <w:highlight w:val="none"/>
                      <w:u w:val="single" w:color="auto"/>
                      <w:vertAlign w:val="baseline"/>
                      <w:lang w:eastAsia="zh-CN"/>
                    </w:rPr>
                    <w:t>。</w:t>
                  </w:r>
                  <w:r>
                    <w:rPr>
                      <w:rFonts w:hint="eastAsia" w:cs="Times New Roman"/>
                      <w:color w:val="auto"/>
                      <w:sz w:val="21"/>
                      <w:szCs w:val="21"/>
                      <w:highlight w:val="none"/>
                      <w:u w:val="single" w:color="auto"/>
                      <w:vertAlign w:val="baseline"/>
                      <w:lang w:val="en-US" w:eastAsia="zh-CN"/>
                    </w:rPr>
                    <w:t>禁止使用无烟气治理措施的冶炼工艺及设备。</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single" w:color="auto"/>
                      <w:vertAlign w:val="baseline"/>
                      <w:lang w:eastAsia="zh-CN"/>
                    </w:rPr>
                  </w:pPr>
                  <w:r>
                    <w:rPr>
                      <w:rFonts w:hint="default" w:ascii="Times New Roman" w:hAnsi="Times New Roman" w:eastAsia="宋体" w:cs="Times New Roman"/>
                      <w:color w:val="auto"/>
                      <w:sz w:val="21"/>
                      <w:szCs w:val="21"/>
                      <w:highlight w:val="none"/>
                      <w:u w:val="single" w:color="auto"/>
                      <w:vertAlign w:val="baseline"/>
                    </w:rPr>
                    <w:t>禁止新建燃煤自备锅炉</w:t>
                  </w:r>
                  <w:r>
                    <w:rPr>
                      <w:rFonts w:hint="eastAsia" w:cs="Times New Roman"/>
                      <w:color w:val="auto"/>
                      <w:sz w:val="21"/>
                      <w:szCs w:val="21"/>
                      <w:highlight w:val="none"/>
                      <w:u w:val="single" w:color="auto"/>
                      <w:vertAlign w:val="baseline"/>
                      <w:lang w:eastAsia="zh-CN"/>
                    </w:rPr>
                    <w:t>。</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681"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884"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c>
                <w:tcPr>
                  <w:tcW w:w="306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vertAlign w:val="baseline"/>
                    </w:rPr>
                    <w:t>禁止使用原矿进行有色金属冶炼活动</w:t>
                  </w:r>
                </w:p>
              </w:tc>
              <w:tc>
                <w:tcPr>
                  <w:tcW w:w="2483" w:type="dxa"/>
                  <w:vMerge w:val="continue"/>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single" w:color="auto"/>
                      <w:vertAlign w:val="baseline"/>
                    </w:rPr>
                  </w:pPr>
                </w:p>
              </w:tc>
            </w:tr>
          </w:tbl>
          <w:p>
            <w:pPr>
              <w:pStyle w:val="16"/>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综上所述，本项目属于园区环境准入行业清单中的推荐类项目，不属于园区环境准入工艺和产品负面清单中的限制类或淘汰类，符合</w:t>
            </w:r>
            <w:r>
              <w:rPr>
                <w:rFonts w:hint="default" w:ascii="Times New Roman" w:hAnsi="Times New Roman" w:cs="Times New Roman"/>
                <w:b w:val="0"/>
                <w:bCs/>
                <w:color w:val="auto"/>
                <w:kern w:val="0"/>
                <w:sz w:val="24"/>
                <w:szCs w:val="24"/>
                <w:u w:val="none"/>
                <w:lang w:val="en-US" w:eastAsia="zh-CN"/>
              </w:rPr>
              <w:t>《汨罗高新技术产业开发区扩区规划环境影响报告书》中的园区环境准入要求。</w:t>
            </w:r>
          </w:p>
          <w:p>
            <w:pPr>
              <w:pStyle w:val="16"/>
              <w:spacing w:line="360" w:lineRule="auto"/>
              <w:ind w:firstLine="48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3、本项目与《汨罗高新技术产业开发区扩区规划环境影响报告书》审查意见(湘环评[2024]41 号)的符合性分析</w:t>
            </w:r>
          </w:p>
          <w:p>
            <w:pPr>
              <w:pStyle w:val="16"/>
              <w:keepNext w:val="0"/>
              <w:keepLines w:val="0"/>
              <w:pageBreakBefore w:val="0"/>
              <w:widowControl w:val="0"/>
              <w:kinsoku/>
              <w:wordWrap/>
              <w:overflowPunct/>
              <w:topLinePunct w:val="0"/>
              <w:autoSpaceDE/>
              <w:autoSpaceDN/>
              <w:bidi w:val="0"/>
              <w:adjustRightInd/>
              <w:snapToGrid/>
              <w:spacing w:line="360" w:lineRule="auto"/>
              <w:ind w:firstLine="421" w:firstLineChars="200"/>
              <w:jc w:val="center"/>
              <w:textAlignment w:val="auto"/>
              <w:rPr>
                <w:rFonts w:hint="default" w:ascii="Times New Roman" w:hAnsi="Times New Roman" w:eastAsia="宋体" w:cs="Times New Roman"/>
                <w:color w:val="auto"/>
                <w:sz w:val="24"/>
                <w:szCs w:val="24"/>
                <w:highlight w:val="none"/>
                <w:u w:val="none" w:color="auto"/>
                <w:lang w:val="en-US"/>
              </w:rPr>
            </w:pPr>
            <w:r>
              <w:rPr>
                <w:rFonts w:hint="default" w:ascii="Times New Roman" w:hAnsi="Times New Roman" w:cs="Times New Roman"/>
                <w:b/>
                <w:bCs w:val="0"/>
                <w:color w:val="auto"/>
                <w:kern w:val="0"/>
                <w:sz w:val="21"/>
                <w:szCs w:val="21"/>
                <w:u w:val="none"/>
                <w:lang w:val="en-US" w:eastAsia="zh-CN"/>
              </w:rPr>
              <w:t>表1-</w:t>
            </w:r>
            <w:r>
              <w:rPr>
                <w:rFonts w:hint="eastAsia" w:cs="Times New Roman"/>
                <w:b/>
                <w:bCs w:val="0"/>
                <w:color w:val="auto"/>
                <w:kern w:val="0"/>
                <w:sz w:val="21"/>
                <w:szCs w:val="21"/>
                <w:u w:val="none"/>
                <w:lang w:val="en-US" w:eastAsia="zh-CN"/>
              </w:rPr>
              <w:t>3 与园区规划环评审查意见的符合性分析</w:t>
            </w:r>
          </w:p>
          <w:tbl>
            <w:tblPr>
              <w:tblStyle w:val="43"/>
              <w:tblW w:w="712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391"/>
              <w:gridCol w:w="4217"/>
              <w:gridCol w:w="1900"/>
              <w:gridCol w:w="61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rPr>
                    <w:t>序号</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rPr>
                    <w:t>湘环评函[2024]41 号要求</w:t>
                  </w:r>
                </w:p>
              </w:tc>
              <w:tc>
                <w:tcPr>
                  <w:tcW w:w="1900"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rPr>
                    <w:t>项目实施情况</w:t>
                  </w:r>
                </w:p>
              </w:tc>
              <w:tc>
                <w:tcPr>
                  <w:tcW w:w="616"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一）做好功能布局，严格执行准入要求。园区应从环境相容性的角度优化区域功能布局，将空间管控要求融入园区规划实施全过程，以减小工业开发对城市居住及社会服务功能的影响。新市片西片区(区块一)部分区域现状已与集中居住区交错布局，该区域不再新引入以气型污染为主的、涉及重大风险源的工业项目，紧邻集中居住区的工业用地，后续应优化产业调整，逐步转为按一类工业用地规划布局，其现状已存在的二类工业企业不得新增污染物排放；新市片东片区(区块二)沿G107国道、老街路侧存在连片居住用地，建议毗邻居住用地的区域不作为三类工业用地规划，该区域已存在的工业企业不得新增污染物排放。弼时片区(区块三)中北部保障性住房仅限于园区企业员工倒班宿舍使用；建议该片区东北部和西南部规划的居住用地调整为一类工业用地。产业布局方面应落实《报告书》提出的调整建议，产业引进应落实园区生态分区环境管控要求，执行《报告书》提出的产业定位和产业生态环境准入清单。</w:t>
                  </w:r>
                </w:p>
              </w:tc>
              <w:tc>
                <w:tcPr>
                  <w:tcW w:w="190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本项目位于湖南汨罗高新技术产业开发区新市片东片区，项目所在地为二类用地，</w:t>
                  </w:r>
                  <w:r>
                    <w:rPr>
                      <w:rFonts w:hint="default" w:ascii="Times New Roman" w:hAnsi="Times New Roman" w:cs="Times New Roman"/>
                      <w:color w:val="auto"/>
                      <w:sz w:val="21"/>
                      <w:szCs w:val="24"/>
                      <w:u w:val="none"/>
                      <w:lang w:val="en-US" w:eastAsia="zh-CN"/>
                    </w:rPr>
                    <w:t>周边无紧邻集中居住区，根据前文产业政策分析，本项目符合园区的产业发展定位。</w:t>
                  </w:r>
                </w:p>
              </w:tc>
              <w:tc>
                <w:tcPr>
                  <w:tcW w:w="6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二)落实管控措施，加强园区污染治理。园区应切实抓好污水处理设施及配套管网的建设和运维，做好雨污分流、污污分流，确保园区各片区生产生活污水应收尽收。做好新市片区循环园污水处理厂、重金属污水处理厂、弼时片区污水处理设施及管网的建设与完善，确保污水处理设施及管网与项目建设同步规划、同步建设、同步投入运营；落实关于水污染防治、排水方案优化、环保基础设施建设运行等方面的规定要求。园区应落实国、省关于重点行业建设项目主要污染物排放区域削减的相关要求，着重从本园区现有企业深度治理、提质改造方面深挖减排潜力，重点控制相关特征污染物的无组织排放，加大VOCs及恶臭、异味治理排放的整治力度，对重点排放企业予以严格监管，确保其处理设施稳妥、持续有效运行，严格落实大气污染防治特护期及重污染天气应急响应的相关减排要求。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推动入园企业按规定要求开展清洁生产审核，减少污染物的排放量。园区应落实第三方环境治理工作相关政策要求，强化对园区重点产排污企业的监管与服务。</w:t>
                  </w:r>
                </w:p>
              </w:tc>
              <w:tc>
                <w:tcPr>
                  <w:tcW w:w="190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本项目排水实行雨污分流，生活污水经化粪池处理后排入</w:t>
                  </w:r>
                  <w:r>
                    <w:rPr>
                      <w:rFonts w:hint="default" w:ascii="Times New Roman" w:hAnsi="Times New Roman" w:cs="Times New Roman"/>
                      <w:color w:val="auto"/>
                      <w:sz w:val="21"/>
                      <w:szCs w:val="24"/>
                      <w:u w:val="none"/>
                      <w:lang w:val="en-US" w:eastAsia="zh-CN"/>
                    </w:rPr>
                    <w:t>湖南汨罗高新技术产业开发区（循环园区）污水处理厂处理；</w:t>
                  </w:r>
                  <w:r>
                    <w:rPr>
                      <w:rFonts w:hint="default" w:ascii="Times New Roman" w:hAnsi="Times New Roman" w:cs="Times New Roman"/>
                      <w:color w:val="auto"/>
                      <w:sz w:val="21"/>
                      <w:szCs w:val="24"/>
                      <w:u w:val="single"/>
                      <w:lang w:val="en-US" w:eastAsia="zh-CN"/>
                    </w:rPr>
                    <w:t>生产废水经沉淀后进入湖南中塑新材料科技有限公司处理达标后，排入湖南汨罗循环经济产业园再生材料产业园污水处理厂深度处理</w:t>
                  </w:r>
                  <w:r>
                    <w:rPr>
                      <w:rFonts w:hint="eastAsia" w:cs="Times New Roman"/>
                      <w:color w:val="auto"/>
                      <w:sz w:val="21"/>
                      <w:szCs w:val="24"/>
                      <w:u w:val="none"/>
                      <w:lang w:val="en-US" w:eastAsia="zh-CN"/>
                    </w:rPr>
                    <w:t>。项目采用湿法破碎，车间采取降尘措施后，不会对周围环境造成较大影响。项目工业固废和生活垃圾分类</w:t>
                  </w:r>
                  <w:r>
                    <w:rPr>
                      <w:rFonts w:hint="default" w:ascii="Times New Roman" w:hAnsi="Times New Roman" w:cs="Times New Roman"/>
                      <w:color w:val="auto"/>
                      <w:sz w:val="21"/>
                      <w:szCs w:val="24"/>
                      <w:u w:val="none"/>
                      <w:lang w:val="en-US" w:eastAsia="zh-CN"/>
                    </w:rPr>
                    <w:t>收集、转运、综合利用和无害化处理，危险废物委托有资质的单位处置。项目严格落实排污许可制度和污染物排放总量控制，在运行期申请排污许可证，严格控制污染物排放总量，积极配合园区及生态环境主管部门的监管，符合要求。</w:t>
                  </w:r>
                </w:p>
              </w:tc>
              <w:tc>
                <w:tcPr>
                  <w:tcW w:w="6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3</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三）完善监测体系，监控环境质量变化状况。结合园区规划的功能分区、产业布局、重点企业分布、特征污染物的排放种类和状况、环境敏感目标分布等，建立健全各环境要素的监控体系。园区应加强对涉重金属排放企业、园区污水处理厂的监督性监测，并覆盖相关特征排放因子，严防企业废水废气偷排漏排或污染治理措施不正常运行。督促土壤污染重点监管单位按规定进行土壤污染状况监测及地下水监测。</w:t>
                  </w:r>
                </w:p>
              </w:tc>
              <w:tc>
                <w:tcPr>
                  <w:tcW w:w="1900"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val="en-US" w:eastAsia="zh-CN"/>
                    </w:rPr>
                    <w:t>本项目已制定环境监测计划，运营期将按计划进行环境监测</w:t>
                  </w:r>
                  <w:r>
                    <w:rPr>
                      <w:rFonts w:hint="eastAsia" w:cs="Times New Roman"/>
                      <w:color w:val="auto"/>
                      <w:sz w:val="21"/>
                      <w:szCs w:val="24"/>
                      <w:u w:val="none"/>
                      <w:lang w:val="en-US" w:eastAsia="zh-CN"/>
                    </w:rPr>
                    <w:t>。</w:t>
                  </w:r>
                </w:p>
              </w:tc>
              <w:tc>
                <w:tcPr>
                  <w:tcW w:w="616"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4</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四）强化风险管控，严防园区环境事故。建立健全园区环境风险管理工作长效机制，加强园区环境风险防控、预警和应急体系建设，全面提升园区环境风险防控和环境事故应急处置能力，确保区域环境安全。完善涉重金属废水排放企业事故应急池、围堰等环境风险防范设施，完善环境风险应急体系管控要求。加强对园区污水管网的日常监管、巡管，杜绝污水管网的泄漏。重点做好涉重、涉危险化学品企业的环境风险防控。</w:t>
                  </w:r>
                </w:p>
              </w:tc>
              <w:tc>
                <w:tcPr>
                  <w:tcW w:w="1900"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本项目落实环境风险防控措施，</w:t>
                  </w:r>
                  <w:r>
                    <w:rPr>
                      <w:rFonts w:hint="eastAsia" w:cs="Times New Roman"/>
                      <w:color w:val="auto"/>
                      <w:sz w:val="21"/>
                      <w:szCs w:val="24"/>
                      <w:u w:val="none"/>
                      <w:lang w:val="en-US" w:eastAsia="zh-CN"/>
                    </w:rPr>
                    <w:t>根据《湖南省突发环境事件应急预案管理办法（修订版）》（湘环发〔2024〕49号）相关要求完善环境风险应急预案相关手续</w:t>
                  </w:r>
                  <w:r>
                    <w:rPr>
                      <w:rFonts w:hint="default" w:ascii="Times New Roman" w:hAnsi="Times New Roman" w:cs="Times New Roman"/>
                      <w:color w:val="auto"/>
                      <w:sz w:val="21"/>
                      <w:szCs w:val="24"/>
                      <w:u w:val="none"/>
                      <w:lang w:eastAsia="zh-CN"/>
                    </w:rPr>
                    <w:t>，加强对污水管网的日常监督、</w:t>
                  </w:r>
                  <w:r>
                    <w:rPr>
                      <w:rFonts w:hint="default" w:ascii="Times New Roman" w:hAnsi="Times New Roman" w:cs="Times New Roman"/>
                      <w:color w:val="auto"/>
                      <w:sz w:val="21"/>
                      <w:szCs w:val="24"/>
                      <w:u w:val="none"/>
                      <w:lang w:val="en-US" w:eastAsia="zh-CN"/>
                    </w:rPr>
                    <w:t>巡管，杜绝污水管网的泄漏。</w:t>
                  </w:r>
                </w:p>
              </w:tc>
              <w:tc>
                <w:tcPr>
                  <w:tcW w:w="616"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5</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五）做好周边控规，落实搬迁安置计划。园区管委会与地方政府应共同做好控规，杜绝在规划的工业用地上新增环境敏感目标，确保园区开发过程中的居民搬迁到位，园区不再新设拆迁安置区，搬迁以货币安置为主。对于具体项目环评设置防护距离和提出搬迁要求的，要确保予以落实，未落实的，园区应确保相关新建项目不得投产。</w:t>
                  </w:r>
                </w:p>
              </w:tc>
              <w:tc>
                <w:tcPr>
                  <w:tcW w:w="1900"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本项目不涉及搬迁安置。</w:t>
                  </w:r>
                </w:p>
              </w:tc>
              <w:tc>
                <w:tcPr>
                  <w:tcW w:w="616"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391" w:type="dxa"/>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6</w:t>
                  </w:r>
                </w:p>
              </w:tc>
              <w:tc>
                <w:tcPr>
                  <w:tcW w:w="4217"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kern w:val="0"/>
                      <w:sz w:val="21"/>
                      <w:szCs w:val="24"/>
                      <w:u w:val="none"/>
                      <w:lang w:val="en-US" w:eastAsia="zh-CN" w:bidi="ar-SA"/>
                    </w:rPr>
                  </w:pPr>
                  <w:r>
                    <w:rPr>
                      <w:rFonts w:hint="default" w:ascii="Times New Roman" w:hAnsi="Times New Roman" w:eastAsia="宋体" w:cs="Times New Roman"/>
                      <w:color w:val="auto"/>
                      <w:sz w:val="21"/>
                      <w:szCs w:val="24"/>
                      <w:u w:val="none"/>
                      <w:lang w:val="en-US" w:eastAsia="zh-CN"/>
                    </w:rPr>
                    <w:t>（六）做好园区建设期生态保护。尽可能保留自然水体，施工期对土石方开挖、堆存及回填要实施围挡、护坡等措施，裸露地及时恢复植被，杜绝施工建设对地表水体的污染。</w:t>
                  </w:r>
                </w:p>
              </w:tc>
              <w:tc>
                <w:tcPr>
                  <w:tcW w:w="1900"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本项目租赁现有厂房进行建设，不新增占地，不进行土石方开挖施工。</w:t>
                  </w:r>
                </w:p>
              </w:tc>
              <w:tc>
                <w:tcPr>
                  <w:tcW w:w="616" w:type="dxa"/>
                  <w:vAlign w:val="center"/>
                </w:tcPr>
                <w:p>
                  <w:pPr>
                    <w:pStyle w:val="101"/>
                    <w:keepNext w:val="0"/>
                    <w:keepLines w:val="0"/>
                    <w:widowControl/>
                    <w:suppressLineNumbers w:val="0"/>
                    <w:spacing w:before="0" w:beforeLines="0" w:beforeAutospacing="0" w:after="0" w:afterLines="0" w:afterAutospacing="0"/>
                    <w:ind w:left="0" w:leftChars="0" w:right="0" w:rightChars="0"/>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cs="Times New Roman"/>
                      <w:color w:val="auto"/>
                      <w:sz w:val="21"/>
                      <w:szCs w:val="24"/>
                      <w:u w:val="none"/>
                      <w:lang w:eastAsia="zh-CN"/>
                    </w:rPr>
                    <w:t>符合</w:t>
                  </w:r>
                </w:p>
              </w:tc>
            </w:tr>
          </w:tbl>
          <w:p>
            <w:pPr>
              <w:pStyle w:val="16"/>
              <w:spacing w:line="360" w:lineRule="auto"/>
              <w:ind w:firstLine="480"/>
              <w:rPr>
                <w:rFonts w:hint="default" w:ascii="Times New Roman" w:hAnsi="Times New Roman" w:eastAsia="宋体" w:cs="Times New Roman"/>
                <w:color w:val="auto"/>
                <w:kern w:val="0"/>
                <w:highlight w:val="none"/>
                <w:u w:val="none" w:color="auto"/>
              </w:rPr>
            </w:pPr>
            <w:r>
              <w:rPr>
                <w:rFonts w:hint="eastAsia" w:cs="Times New Roman"/>
                <w:color w:val="auto"/>
                <w:sz w:val="24"/>
                <w:szCs w:val="24"/>
                <w:highlight w:val="none"/>
                <w:u w:val="none" w:color="auto"/>
                <w:lang w:val="en-US" w:eastAsia="zh-CN"/>
              </w:rPr>
              <w:t>综上所述，本项目与《汨罗高新技术产业开发区扩区规划环境影响报告书》审查意见相符。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其他符合性分析</w:t>
            </w:r>
          </w:p>
        </w:tc>
        <w:tc>
          <w:tcPr>
            <w:tcW w:w="4150" w:type="pct"/>
            <w:gridSpan w:val="3"/>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1、产业政策符合性分析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eastAsia" w:cs="Times New Roman"/>
                <w:b w:val="0"/>
                <w:bCs w:val="0"/>
                <w:color w:val="auto"/>
                <w:kern w:val="0"/>
                <w:highlight w:val="none"/>
                <w:u w:val="none" w:color="auto"/>
                <w:lang w:val="en-US" w:eastAsia="zh-CN"/>
              </w:rPr>
              <w:t>根据《产业结构调整指导目录》（2024年本），本项目属于</w:t>
            </w:r>
            <w:r>
              <w:rPr>
                <w:rFonts w:hint="default" w:ascii="Times New Roman" w:hAnsi="Times New Roman" w:eastAsia="宋体" w:cs="Times New Roman"/>
                <w:color w:val="auto"/>
                <w:kern w:val="0"/>
                <w:highlight w:val="none"/>
                <w:u w:val="none" w:color="auto"/>
              </w:rPr>
              <w:t>“第一项鼓励类-四十</w:t>
            </w:r>
            <w:r>
              <w:rPr>
                <w:rFonts w:hint="default" w:ascii="Times New Roman" w:hAnsi="Times New Roman" w:eastAsia="宋体" w:cs="Times New Roman"/>
                <w:color w:val="auto"/>
                <w:kern w:val="0"/>
                <w:highlight w:val="none"/>
                <w:u w:val="none" w:color="auto"/>
                <w:lang w:val="en-US" w:eastAsia="zh-CN"/>
              </w:rPr>
              <w:t>二</w:t>
            </w:r>
            <w:r>
              <w:rPr>
                <w:rFonts w:hint="default" w:ascii="Times New Roman" w:hAnsi="Times New Roman" w:eastAsia="宋体" w:cs="Times New Roman"/>
                <w:color w:val="auto"/>
                <w:kern w:val="0"/>
                <w:highlight w:val="none"/>
                <w:u w:val="none" w:color="auto"/>
              </w:rPr>
              <w:t>、环境保护与资源节约综合利用-</w:t>
            </w:r>
            <w:r>
              <w:rPr>
                <w:rFonts w:hint="default" w:ascii="Times New Roman" w:hAnsi="Times New Roman" w:eastAsia="宋体" w:cs="Times New Roman"/>
                <w:color w:val="auto"/>
                <w:kern w:val="0"/>
                <w:highlight w:val="none"/>
                <w:u w:val="none" w:color="auto"/>
                <w:lang w:val="en-US" w:eastAsia="zh-CN"/>
              </w:rPr>
              <w:t>8</w:t>
            </w:r>
            <w:r>
              <w:rPr>
                <w:rFonts w:hint="default" w:ascii="Times New Roman" w:hAnsi="Times New Roman" w:eastAsia="宋体" w:cs="Times New Roman"/>
                <w:color w:val="auto"/>
                <w:kern w:val="0"/>
                <w:highlight w:val="none"/>
                <w:u w:val="none" w:color="auto"/>
              </w:rPr>
              <w:t>、废弃物循环利用</w:t>
            </w:r>
            <w:r>
              <w:rPr>
                <w:rFonts w:hint="default" w:ascii="Times New Roman" w:hAnsi="Times New Roman" w:eastAsia="宋体" w:cs="Times New Roman"/>
                <w:color w:val="auto"/>
                <w:kern w:val="0"/>
                <w:highlight w:val="none"/>
                <w:u w:val="none" w:color="auto"/>
                <w:lang w:eastAsia="zh-CN"/>
              </w:rPr>
              <w:t>：</w:t>
            </w:r>
            <w:r>
              <w:rPr>
                <w:rFonts w:hint="default" w:ascii="Times New Roman" w:hAnsi="Times New Roman" w:eastAsia="宋体" w:cs="Times New Roman"/>
                <w:color w:val="auto"/>
                <w:kern w:val="0"/>
                <w:highlight w:val="none"/>
                <w:u w:val="none" w:color="auto"/>
              </w:rPr>
              <w:t>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属于鼓励类项目。</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此外项目生产中拟使用的原材料、设备、生产工艺均不属于</w:t>
            </w:r>
            <w:bookmarkStart w:id="10" w:name="OLE_LINK4"/>
            <w:r>
              <w:rPr>
                <w:rFonts w:hint="default" w:ascii="Times New Roman" w:hAnsi="Times New Roman" w:eastAsia="宋体" w:cs="Times New Roman"/>
                <w:color w:val="auto"/>
                <w:kern w:val="0"/>
                <w:highlight w:val="none"/>
                <w:u w:val="none" w:color="auto"/>
              </w:rPr>
              <w:t>《产业结构调整指导目录》(20</w:t>
            </w:r>
            <w:r>
              <w:rPr>
                <w:rFonts w:hint="default" w:ascii="Times New Roman" w:hAnsi="Times New Roman" w:eastAsia="宋体" w:cs="Times New Roman"/>
                <w:color w:val="auto"/>
                <w:kern w:val="0"/>
                <w:highlight w:val="none"/>
                <w:u w:val="none" w:color="auto"/>
                <w:lang w:val="en-US" w:eastAsia="zh-CN"/>
              </w:rPr>
              <w:t>24</w:t>
            </w:r>
            <w:r>
              <w:rPr>
                <w:rFonts w:hint="default" w:ascii="Times New Roman" w:hAnsi="Times New Roman" w:eastAsia="宋体" w:cs="Times New Roman"/>
                <w:color w:val="auto"/>
                <w:kern w:val="0"/>
                <w:highlight w:val="none"/>
                <w:u w:val="none" w:color="auto"/>
              </w:rPr>
              <w:t>年本)中限制类及淘汰类项目，也不存在《部分工业行业淘汰落后生产工艺装备和产品指导目录》（2010年本）</w:t>
            </w:r>
            <w:bookmarkEnd w:id="10"/>
            <w:r>
              <w:rPr>
                <w:rFonts w:hint="default" w:ascii="Times New Roman" w:hAnsi="Times New Roman" w:eastAsia="宋体" w:cs="Times New Roman"/>
                <w:color w:val="auto"/>
                <w:kern w:val="0"/>
                <w:highlight w:val="none"/>
                <w:u w:val="none" w:color="auto"/>
              </w:rPr>
              <w:t>（工产业〔2010〕第122号）所列的工艺装备和产品。</w:t>
            </w:r>
          </w:p>
          <w:p>
            <w:pPr>
              <w:autoSpaceDE w:val="0"/>
              <w:autoSpaceDN w:val="0"/>
              <w:adjustRightInd w:val="0"/>
              <w:snapToGrid w:val="0"/>
              <w:spacing w:line="500" w:lineRule="exact"/>
              <w:rPr>
                <w:rFonts w:hint="default" w:ascii="Times New Roman" w:hAnsi="Times New Roman" w:eastAsia="宋体" w:cs="Times New Roman"/>
                <w:b/>
                <w:bCs/>
                <w:color w:val="auto"/>
                <w:kern w:val="0"/>
                <w:highlight w:val="none"/>
                <w:u w:val="single" w:color="auto"/>
              </w:rPr>
            </w:pPr>
            <w:r>
              <w:rPr>
                <w:rFonts w:hint="eastAsia" w:cs="Times New Roman"/>
                <w:b/>
                <w:bCs/>
                <w:color w:val="auto"/>
                <w:kern w:val="0"/>
                <w:highlight w:val="none"/>
                <w:u w:val="none" w:color="auto"/>
                <w:lang w:val="en-US" w:eastAsia="zh-CN"/>
              </w:rPr>
              <w:t>2</w:t>
            </w:r>
            <w:r>
              <w:rPr>
                <w:rFonts w:hint="default" w:ascii="Times New Roman" w:hAnsi="Times New Roman" w:eastAsia="宋体" w:cs="Times New Roman"/>
                <w:b/>
                <w:bCs/>
                <w:color w:val="auto"/>
                <w:kern w:val="0"/>
                <w:highlight w:val="none"/>
                <w:u w:val="none" w:color="auto"/>
              </w:rPr>
              <w:t>、</w:t>
            </w:r>
            <w:r>
              <w:rPr>
                <w:rFonts w:hint="eastAsia" w:cs="Times New Roman"/>
                <w:b/>
                <w:bCs/>
                <w:color w:val="auto"/>
                <w:kern w:val="0"/>
                <w:highlight w:val="none"/>
                <w:u w:val="single" w:color="auto"/>
                <w:lang w:val="en-US" w:eastAsia="zh-CN"/>
              </w:rPr>
              <w:t>生态环境分区管控</w:t>
            </w:r>
            <w:r>
              <w:rPr>
                <w:rFonts w:hint="default" w:ascii="Times New Roman" w:hAnsi="Times New Roman" w:eastAsia="宋体" w:cs="Times New Roman"/>
                <w:b/>
                <w:bCs/>
                <w:color w:val="auto"/>
                <w:kern w:val="0"/>
                <w:highlight w:val="none"/>
                <w:u w:val="single" w:color="auto"/>
              </w:rPr>
              <w:t>符合性分析</w:t>
            </w:r>
          </w:p>
          <w:p>
            <w:pPr>
              <w:autoSpaceDE w:val="0"/>
              <w:autoSpaceDN w:val="0"/>
              <w:adjustRightInd w:val="0"/>
              <w:snapToGrid w:val="0"/>
              <w:spacing w:line="500" w:lineRule="exact"/>
              <w:ind w:firstLine="480" w:firstLineChars="200"/>
              <w:rPr>
                <w:rFonts w:hint="default" w:ascii="Times New Roman" w:hAnsi="Times New Roman" w:eastAsia="宋体" w:cs="Times New Roman"/>
                <w:color w:val="auto"/>
                <w:kern w:val="0"/>
                <w:highlight w:val="none"/>
                <w:u w:val="single" w:color="auto"/>
              </w:rPr>
            </w:pPr>
            <w:r>
              <w:rPr>
                <w:rFonts w:hint="default" w:ascii="Times New Roman" w:hAnsi="Times New Roman" w:eastAsia="宋体" w:cs="Times New Roman"/>
                <w:color w:val="auto"/>
                <w:kern w:val="0"/>
                <w:highlight w:val="none"/>
                <w:u w:val="single" w:color="auto"/>
              </w:rPr>
              <w:t>本项目所处区域为汨罗高新技术产业开发区，属于省级工业园区，对照《湖南省生态环境分区管控总体管控要求暨省级以上产业园区生态环境准入清单》（湘环函〔2024〕26号）要求分析项目符合性，项目与其中的汨罗高新技术产业开发区的生态环境准入清单符合性分析详见下表。</w:t>
            </w: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kern w:val="0"/>
                <w:sz w:val="21"/>
                <w:szCs w:val="21"/>
                <w:highlight w:val="none"/>
                <w:u w:val="single" w:color="auto"/>
              </w:rPr>
              <w:t>表1-</w:t>
            </w:r>
            <w:r>
              <w:rPr>
                <w:rFonts w:hint="eastAsia" w:cs="Times New Roman"/>
                <w:b/>
                <w:bCs/>
                <w:color w:val="auto"/>
                <w:kern w:val="0"/>
                <w:sz w:val="21"/>
                <w:szCs w:val="21"/>
                <w:highlight w:val="none"/>
                <w:u w:val="single" w:color="auto"/>
                <w:lang w:val="en-US" w:eastAsia="zh-CN"/>
              </w:rPr>
              <w:t xml:space="preserve">4 </w:t>
            </w:r>
            <w:r>
              <w:rPr>
                <w:rFonts w:hint="default" w:ascii="Times New Roman" w:hAnsi="Times New Roman" w:eastAsia="宋体" w:cs="Times New Roman"/>
                <w:b/>
                <w:bCs/>
                <w:color w:val="auto"/>
                <w:sz w:val="21"/>
                <w:szCs w:val="21"/>
                <w:u w:val="single" w:color="auto"/>
                <w:lang w:val="en-US" w:eastAsia="zh-CN"/>
              </w:rPr>
              <w:t>本项目与汨罗高新技术产业开发区生态环境准入清单符合性分析表</w:t>
            </w:r>
          </w:p>
          <w:tbl>
            <w:tblPr>
              <w:tblStyle w:val="43"/>
              <w:tblW w:w="712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900"/>
              <w:gridCol w:w="1583"/>
              <w:gridCol w:w="645"/>
              <w:gridCol w:w="1022"/>
              <w:gridCol w:w="759"/>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单元名称</w:t>
                  </w:r>
                </w:p>
              </w:tc>
              <w:tc>
                <w:tcPr>
                  <w:tcW w:w="1900"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单元分类</w:t>
                  </w:r>
                </w:p>
              </w:tc>
              <w:tc>
                <w:tcPr>
                  <w:tcW w:w="2228" w:type="dxa"/>
                  <w:gridSpan w:val="2"/>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区域主体功能定位</w:t>
                  </w:r>
                </w:p>
              </w:tc>
              <w:tc>
                <w:tcPr>
                  <w:tcW w:w="1781" w:type="dxa"/>
                  <w:gridSpan w:val="2"/>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主要环境问题</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汨罗高新技术产业开发区</w:t>
                  </w:r>
                </w:p>
              </w:tc>
              <w:tc>
                <w:tcPr>
                  <w:tcW w:w="1900"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重点管控单元ZH43068120003</w:t>
                  </w:r>
                </w:p>
              </w:tc>
              <w:tc>
                <w:tcPr>
                  <w:tcW w:w="2228" w:type="dxa"/>
                  <w:gridSpan w:val="2"/>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right="0" w:firstLine="0"/>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弼时镇：城市化地区；</w:t>
                  </w:r>
                </w:p>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新市镇：农产品主产区。</w:t>
                  </w:r>
                </w:p>
              </w:tc>
              <w:tc>
                <w:tcPr>
                  <w:tcW w:w="1781" w:type="dxa"/>
                  <w:gridSpan w:val="2"/>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区块一、区块二（新市片区）紧邻湿地科普宣教与文化展示区。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主导产业</w:t>
                  </w:r>
                </w:p>
              </w:tc>
              <w:tc>
                <w:tcPr>
                  <w:tcW w:w="5909" w:type="dxa"/>
                  <w:gridSpan w:val="5"/>
                  <w:vAlign w:val="center"/>
                </w:tcPr>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六部委公告2018年第4号：再生资源、电子信息、机械；</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湘环评函[2019]8号：以再生资源回收利用、有色金属精深加工、先进制造产业为主导，辅以发展安防建材、新材料、电子信息三大特色产业；</w:t>
                  </w:r>
                </w:p>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jc w:val="both"/>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湘发改地区[2021]394号：主导产业： 有色金属冶炼和压延加工；特色产业：再生资源综合利用、高分子材料、电子信息及其产业链延伸产业。</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1215"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管控类别</w:t>
                  </w:r>
                </w:p>
              </w:tc>
              <w:tc>
                <w:tcPr>
                  <w:tcW w:w="3483"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管控要求</w:t>
                  </w:r>
                </w:p>
              </w:tc>
              <w:tc>
                <w:tcPr>
                  <w:tcW w:w="166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本项目情况</w:t>
                  </w:r>
                </w:p>
              </w:tc>
              <w:tc>
                <w:tcPr>
                  <w:tcW w:w="759"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是否符合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空间布局约束</w:t>
                  </w:r>
                </w:p>
              </w:tc>
              <w:tc>
                <w:tcPr>
                  <w:tcW w:w="3483" w:type="dxa"/>
                  <w:gridSpan w:val="2"/>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（1.1）高新区不得引进国家命令淘汰和禁止发展的高能耗、高物耗、污染重，不符合产业政策的建设项目。</w:t>
                  </w:r>
                </w:p>
                <w:p>
                  <w:pPr>
                    <w:pStyle w:val="101"/>
                    <w:keepNext w:val="0"/>
                    <w:keepLines w:val="0"/>
                    <w:pageBreakBefore w:val="0"/>
                    <w:widowControl/>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（1.2）区块一、区块二（新市片区）再生资源回收利用行业禁止引进不能满足最新行业规定和准入要求的项目。</w:t>
                  </w:r>
                </w:p>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jc w:val="both"/>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（1.3）区块三（弼时片区）禁止引进排水涉重金属及持久性有机物的企业，禁止引进电镀、线路板制造等企业，严格限制引进排水量大的企业。</w:t>
                  </w:r>
                </w:p>
              </w:tc>
              <w:tc>
                <w:tcPr>
                  <w:tcW w:w="166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本项目不属于国家淘汰和禁止发展的高能耗、高物耗、污染重项目，符合产业政策。本项目位于园区区块二，属于</w:t>
                  </w:r>
                  <w:r>
                    <w:rPr>
                      <w:rFonts w:hint="eastAsia" w:cs="Times New Roman"/>
                      <w:color w:val="auto"/>
                      <w:sz w:val="21"/>
                      <w:szCs w:val="21"/>
                      <w:highlight w:val="none"/>
                      <w:u w:val="single" w:color="auto"/>
                      <w:lang w:val="en-US" w:eastAsia="zh-CN"/>
                    </w:rPr>
                    <w:t>废弃资源综合利用业，满足最新行业规定和准入要求。</w:t>
                  </w:r>
                </w:p>
              </w:tc>
              <w:tc>
                <w:tcPr>
                  <w:tcW w:w="759"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污染物排放管控</w:t>
                  </w:r>
                </w:p>
              </w:tc>
              <w:tc>
                <w:tcPr>
                  <w:tcW w:w="3483" w:type="dxa"/>
                  <w:gridSpan w:val="2"/>
                  <w:vAlign w:val="center"/>
                </w:tcPr>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（2.1）废水</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2.1.1）区块一、区块二（新市片区）规划范围内企业一般工业废水、生活污水、重金属污水处理厂尾水、高新区PCB污水处理厂尾水排入湖南汨罗高新技术产业开发区污水处理厂进行处理，处理后废水排入汨罗江。再生塑料产业企业生产废水经预处理后汇入高新区污水处理及中水回用工程处理后全部回用于企业生产。雨水以排洪渠、小溪沟等水体作为最终受纳水体。</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（2.1.2）区块三（弼时片区）排水实施雨污分流，生活污水和工业废水经厂内预处理达到相关标准后进入</w:t>
                  </w:r>
                  <w:r>
                    <w:rPr>
                      <w:rFonts w:hint="default" w:ascii="Times New Roman" w:hAnsi="Times New Roman" w:cs="Times New Roman"/>
                      <w:color w:val="auto"/>
                      <w:sz w:val="21"/>
                      <w:szCs w:val="21"/>
                      <w:u w:val="single" w:color="auto"/>
                      <w:lang w:eastAsia="zh-CN"/>
                    </w:rPr>
                    <w:t>湖南汨罗高新技术产业开发区（循环园区）污水处理厂</w:t>
                  </w:r>
                  <w:r>
                    <w:rPr>
                      <w:rFonts w:hint="default" w:ascii="Times New Roman" w:hAnsi="Times New Roman" w:cs="Times New Roman"/>
                      <w:color w:val="auto"/>
                      <w:sz w:val="21"/>
                      <w:szCs w:val="21"/>
                      <w:u w:val="single" w:color="auto"/>
                    </w:rPr>
                    <w:t>处理，达标后排入白沙河。雨水以排洪渠、小溪沟等水体作为最终受纳水体。</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2.2）废气：加强高新区大气污染防控措施，通过产业控制、清洁能源推广等减少气型污染物源头排放量。加强企业管理，对有工艺废气产污节点的企业，须配置废气收集与处理装置，确保达标排放。采取有效措施减少工艺废气的无组织排放，入园企业各生产装置排放的废气须经处理达到相应的排放标准。</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（2.3）固体废弃物</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（2.3.1）做好高新区工业固体废物和生活垃圾的分类收集、转运、综合利用和无害化处理，建立统一的固废收集、贮存、运输、综合利用和安全处置的管理体系。</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（2.3.2）推行清洁生产、减少固体废物产生量；加强固体废物的资源化进程，提高固体废物的综合利用率。</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2.3.3）规范固体废物处理措施，对工业企业产生固体废物特别是危险固废应按国家有关规定综合利用或妥善处置。主管部门以及当地环保部门对进驻的企业进行严格控制，对产生危险废物的企业进行重点监控，危险废物的堆存应严格执行相关标准，收集后交由有资质单位或危险废物处置中心处置。</w:t>
                  </w:r>
                </w:p>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jc w:val="both"/>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rPr>
                    <w:t>（2.4）高新区内相关行业污染物排放满足《湖南省生态环中境厅关于执行污染物特别排放限值（第一批）的公告》中的要求。</w:t>
                  </w:r>
                </w:p>
              </w:tc>
              <w:tc>
                <w:tcPr>
                  <w:tcW w:w="166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本项目位于园区区块二，生活污水经化粪池处理后进入湖南汨罗高新技术产业开发区（循环园区）污水处理厂，生产废水经沉淀后有限回用，外排部分依托湖南中塑新材料科技有限公司污水处理设施处理达标后，最终排入汨罗高新区再生材料产业园污水处理厂，处理后的污水作为中水回用于再生材料产业园企业，不外排。项目采用湿法破碎，车间降尘，产生的颗粒物较少，能够达标排放。项目工业固体废物与生活垃圾分类收集转运和处置，固体废物能得到合理处置，危险废物委托有资质单位处置，不会造成二次污染。</w:t>
                  </w:r>
                  <w:r>
                    <w:rPr>
                      <w:rFonts w:hint="default" w:ascii="Times New Roman" w:hAnsi="Times New Roman" w:cs="Times New Roman"/>
                      <w:color w:val="auto"/>
                      <w:sz w:val="21"/>
                      <w:szCs w:val="21"/>
                      <w:u w:val="single" w:color="auto"/>
                      <w:lang w:val="en-US" w:eastAsia="zh-CN"/>
                    </w:rPr>
                    <w:t>项目污染物排放均满足相关标准和要求。</w:t>
                  </w:r>
                </w:p>
              </w:tc>
              <w:tc>
                <w:tcPr>
                  <w:tcW w:w="759"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环境风险防控</w:t>
                  </w:r>
                </w:p>
              </w:tc>
              <w:tc>
                <w:tcPr>
                  <w:tcW w:w="3483" w:type="dxa"/>
                  <w:gridSpan w:val="2"/>
                  <w:vAlign w:val="center"/>
                </w:tcPr>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（3.1）高新区各区块须建立健全环境风险防控体系，严格落实汨罗高新技术产业开发区最新的突发环境事件应急预案的相关要求，严防突发环境事件发生，提高应急处置能力。</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3.2）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（3.3）建设用地土壤风险防控</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（3.3.1）有效管控建设用地土壤污染风险。开展重点行业企业用地调查和典型行业周边土壤环境调查，进一步摸清污染地块底数和污染成因。</w:t>
                  </w:r>
                </w:p>
                <w:p>
                  <w:pPr>
                    <w:pStyle w:val="253"/>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rPr>
                    <w:t>（3.3.2）对纳入建设用地土壤污染风险管控和修复名录内的地块，移出名录前，不得核发建设工程规划许可证。对列入优先监管清单的地块，开展土壤污染调查和风险评估，按要求采取风险防控措施。</w:t>
                  </w:r>
                </w:p>
              </w:tc>
              <w:tc>
                <w:tcPr>
                  <w:tcW w:w="166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本项目落实环境风险防控措施，根据《湖南省突发环境事件应急预案管理办法（修订版）》（湘环发〔2024〕49号）相关要求完善环境风险应急预案相关手续，租赁标准厂房，无土壤污染途径，不会造成土壤污染。</w:t>
                  </w:r>
                </w:p>
              </w:tc>
              <w:tc>
                <w:tcPr>
                  <w:tcW w:w="759"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是</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1215" w:type="dxa"/>
                  <w:vAlign w:val="center"/>
                </w:tcPr>
                <w:p>
                  <w:pPr>
                    <w:pStyle w:val="101"/>
                    <w:keepNext w:val="0"/>
                    <w:keepLines w:val="0"/>
                    <w:pageBreakBefore w:val="0"/>
                    <w:widowControl/>
                    <w:suppressLineNumbers w:val="0"/>
                    <w:kinsoku/>
                    <w:wordWrap/>
                    <w:overflowPunct/>
                    <w:topLinePunct w:val="0"/>
                    <w:bidi w:val="0"/>
                    <w:spacing w:before="0" w:beforeAutospacing="0" w:after="0" w:afterAutospacing="0"/>
                    <w:ind w:left="0" w:leftChars="0" w:right="0" w:rightChars="0" w:firstLine="0"/>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资源开发效率要求</w:t>
                  </w:r>
                </w:p>
              </w:tc>
              <w:tc>
                <w:tcPr>
                  <w:tcW w:w="3483" w:type="dxa"/>
                  <w:gridSpan w:val="2"/>
                  <w:vAlign w:val="center"/>
                </w:tcPr>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（4.1）能源</w:t>
                  </w:r>
                  <w:r>
                    <w:rPr>
                      <w:rFonts w:hint="default" w:ascii="Times New Roman" w:hAnsi="Times New Roman" w:cs="Times New Roman"/>
                      <w:color w:val="auto"/>
                      <w:sz w:val="21"/>
                      <w:szCs w:val="21"/>
                      <w:u w:val="single" w:color="auto"/>
                      <w:lang w:eastAsia="zh-CN"/>
                    </w:rPr>
                    <w:t>：</w:t>
                  </w:r>
                  <w:r>
                    <w:rPr>
                      <w:rFonts w:hint="default" w:ascii="Times New Roman" w:hAnsi="Times New Roman" w:cs="Times New Roman"/>
                      <w:color w:val="auto"/>
                      <w:sz w:val="21"/>
                      <w:szCs w:val="21"/>
                      <w:u w:val="single" w:color="auto"/>
                      <w:lang w:val="en-US" w:eastAsia="zh-CN"/>
                    </w:rPr>
                    <w:t>区域内主要消耗的能源种类包括电、天然气，无煤炭消费。2025年区域年综合能耗消费量预测当量值为429400吨标煤，区域单位GDP能耗预测值为0.1399吨标煤/万元，区域“十四五”时期能源消耗增量控制在186900吨标煤。</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（4.2）水资源</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（4.2.1）强化生产用水管理，大力推广高效冷却、循环用水等节水工艺和技术，支持企业开展节水技术改造。</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（4.2.2）积极推行水循环梯级利用，推动现有企业和高新区开展绿色高质量转型升级和循环化改造，促进企业间串联用水、分质用水，一水多用和循环利用。</w:t>
                  </w:r>
                </w:p>
                <w:p>
                  <w:pPr>
                    <w:pStyle w:val="253"/>
                    <w:keepNext w:val="0"/>
                    <w:keepLines w:val="0"/>
                    <w:pageBreakBefore w:val="0"/>
                    <w:suppressLineNumbers w:val="0"/>
                    <w:kinsoku/>
                    <w:wordWrap/>
                    <w:overflowPunct/>
                    <w:topLinePunct w:val="0"/>
                    <w:bidi w:val="0"/>
                    <w:spacing w:before="0" w:beforeAutospacing="0" w:after="0" w:afterAutospacing="0"/>
                    <w:ind w:left="0" w:right="0" w:firstLine="0"/>
                    <w:jc w:val="left"/>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（4.2.3）2025年，园区指标应符合相应行政区域的管控要求，汨罗市用水总量3.14亿立方米，万元地区生产总值用水量比2020年下降23.18%，万元工业增加值用水量比2020年下降14.06%。</w:t>
                  </w:r>
                </w:p>
                <w:p>
                  <w:pPr>
                    <w:pStyle w:val="253"/>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left"/>
                    <w:textAlignment w:val="auto"/>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cs="Times New Roman"/>
                      <w:color w:val="auto"/>
                      <w:sz w:val="21"/>
                      <w:szCs w:val="21"/>
                      <w:u w:val="single" w:color="auto"/>
                    </w:rPr>
                    <w:t>（4.3）土地资源</w:t>
                  </w:r>
                  <w:r>
                    <w:rPr>
                      <w:rFonts w:hint="default" w:ascii="Times New Roman" w:hAnsi="Times New Roman" w:cs="Times New Roman"/>
                      <w:color w:val="auto"/>
                      <w:sz w:val="21"/>
                      <w:szCs w:val="21"/>
                      <w:u w:val="single" w:color="auto"/>
                      <w:lang w:eastAsia="zh-CN"/>
                    </w:rPr>
                    <w:t>：</w:t>
                  </w:r>
                  <w:r>
                    <w:rPr>
                      <w:rFonts w:hint="default" w:ascii="Times New Roman" w:hAnsi="Times New Roman" w:cs="Times New Roman"/>
                      <w:color w:val="auto"/>
                      <w:sz w:val="21"/>
                      <w:szCs w:val="21"/>
                      <w:u w:val="single" w:color="auto"/>
                    </w:rPr>
                    <w:t>在详细规划编制、用地预审与选址、用地报批、土地出让、规划许可、竣工验收等环节，全面推行工业项目建设用地引导指标和工业项目供地负面清单管理。</w:t>
                  </w:r>
                  <w:r>
                    <w:rPr>
                      <w:rFonts w:hint="default" w:ascii="Times New Roman" w:hAnsi="Times New Roman" w:cs="Times New Roman"/>
                      <w:color w:val="auto"/>
                      <w:sz w:val="21"/>
                      <w:szCs w:val="21"/>
                      <w:u w:val="single" w:color="auto"/>
                      <w:lang w:val="en-US" w:eastAsia="zh-CN"/>
                    </w:rPr>
                    <w:t>省级园区工业用地固定资产投入强度达到260万元/亩，工业用地地均税收达到13万元/亩</w:t>
                  </w:r>
                  <w:r>
                    <w:rPr>
                      <w:rFonts w:hint="default" w:ascii="Times New Roman" w:hAnsi="Times New Roman" w:cs="Times New Roman"/>
                      <w:color w:val="auto"/>
                      <w:sz w:val="21"/>
                      <w:szCs w:val="21"/>
                      <w:u w:val="single" w:color="auto"/>
                    </w:rPr>
                    <w:t>。</w:t>
                  </w:r>
                </w:p>
              </w:tc>
              <w:tc>
                <w:tcPr>
                  <w:tcW w:w="1667"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rPr>
                  </w:pPr>
                  <w:r>
                    <w:rPr>
                      <w:rFonts w:hint="default" w:ascii="Times New Roman" w:hAnsi="Times New Roman" w:cs="Times New Roman"/>
                      <w:color w:val="auto"/>
                      <w:sz w:val="21"/>
                      <w:szCs w:val="21"/>
                      <w:u w:val="single" w:color="auto"/>
                      <w:lang w:val="en-US" w:eastAsia="zh-CN"/>
                    </w:rPr>
                    <w:t>本项目主要能源为电、水，消耗量较少。用地为工业用地，符合规划。</w:t>
                  </w:r>
                </w:p>
              </w:tc>
              <w:tc>
                <w:tcPr>
                  <w:tcW w:w="759" w:type="dxa"/>
                  <w:vAlign w:val="center"/>
                </w:tcPr>
                <w:p>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eastAsia="zh-CN"/>
                    </w:rPr>
                  </w:pPr>
                  <w:r>
                    <w:rPr>
                      <w:rFonts w:hint="eastAsia" w:cs="Times New Roman"/>
                      <w:b w:val="0"/>
                      <w:bCs w:val="0"/>
                      <w:color w:val="auto"/>
                      <w:kern w:val="0"/>
                      <w:sz w:val="21"/>
                      <w:szCs w:val="21"/>
                      <w:highlight w:val="none"/>
                      <w:u w:val="single" w:color="auto"/>
                      <w:vertAlign w:val="baseline"/>
                      <w:lang w:eastAsia="zh-CN"/>
                    </w:rPr>
                    <w:t>是</w:t>
                  </w:r>
                </w:p>
              </w:tc>
            </w:tr>
          </w:tbl>
          <w:p>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jc w:val="both"/>
              <w:textAlignment w:val="auto"/>
              <w:rPr>
                <w:rFonts w:hint="eastAsia" w:cs="Times New Roman"/>
                <w:b w:val="0"/>
                <w:bCs w:val="0"/>
                <w:color w:val="auto"/>
                <w:kern w:val="0"/>
                <w:sz w:val="24"/>
                <w:szCs w:val="24"/>
                <w:highlight w:val="none"/>
                <w:u w:val="single" w:color="auto"/>
                <w:lang w:val="en-US" w:eastAsia="zh-CN"/>
              </w:rPr>
            </w:pPr>
            <w:r>
              <w:rPr>
                <w:rFonts w:hint="eastAsia" w:cs="Times New Roman"/>
                <w:b w:val="0"/>
                <w:bCs w:val="0"/>
                <w:color w:val="auto"/>
                <w:kern w:val="0"/>
                <w:sz w:val="24"/>
                <w:szCs w:val="24"/>
                <w:highlight w:val="none"/>
                <w:u w:val="single" w:color="auto"/>
                <w:lang w:val="en-US" w:eastAsia="zh-CN"/>
              </w:rPr>
              <w:t>根据上表分析，本项目满足《湖南省生态环境分区管控总体管控要求暨省级以上产业园区生态环境准入清单》相关要求。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Times New Roman"/>
                <w:b w:val="0"/>
                <w:bCs w:val="0"/>
                <w:color w:val="auto"/>
                <w:kern w:val="0"/>
                <w:sz w:val="24"/>
                <w:szCs w:val="24"/>
                <w:highlight w:val="none"/>
                <w:u w:val="none" w:color="auto"/>
                <w:lang w:val="en-US" w:eastAsia="zh-CN"/>
              </w:rPr>
            </w:pPr>
            <w:r>
              <w:rPr>
                <w:rFonts w:hint="eastAsia" w:cs="Times New Roman"/>
                <w:b w:val="0"/>
                <w:bCs w:val="0"/>
                <w:color w:val="auto"/>
                <w:kern w:val="0"/>
                <w:sz w:val="24"/>
                <w:szCs w:val="24"/>
                <w:highlight w:val="none"/>
                <w:u w:val="none" w:color="auto"/>
                <w:lang w:val="en-US" w:eastAsia="zh-CN"/>
              </w:rPr>
              <w:t>综上所述，本项目在选址地实施建设符合“三线一单”的相关管控要求。</w:t>
            </w:r>
          </w:p>
          <w:p>
            <w:pPr>
              <w:autoSpaceDE w:val="0"/>
              <w:autoSpaceDN w:val="0"/>
              <w:adjustRightInd w:val="0"/>
              <w:snapToGrid w:val="0"/>
              <w:spacing w:line="360" w:lineRule="auto"/>
              <w:ind w:firstLine="481" w:firstLineChars="200"/>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3、与《湖南省“两高”项目管理名录》符合性分析</w:t>
            </w:r>
          </w:p>
          <w:p>
            <w:pPr>
              <w:autoSpaceDE w:val="0"/>
              <w:autoSpaceDN w:val="0"/>
              <w:adjustRightInd w:val="0"/>
              <w:snapToGrid w:val="0"/>
              <w:spacing w:line="360" w:lineRule="auto"/>
              <w:ind w:firstLine="480" w:firstLineChars="200"/>
              <w:rPr>
                <w:rFonts w:hint="eastAsia" w:cs="Times New Roman"/>
                <w:b/>
                <w:bCs/>
                <w:color w:val="auto"/>
                <w:kern w:val="0"/>
                <w:highlight w:val="none"/>
                <w:u w:val="none" w:color="auto"/>
                <w:lang w:val="en-US" w:eastAsia="zh-CN"/>
              </w:rPr>
            </w:pPr>
            <w:r>
              <w:rPr>
                <w:rFonts w:hint="default" w:ascii="Times New Roman" w:hAnsi="Times New Roman" w:cs="Times New Roman"/>
                <w:color w:val="auto"/>
                <w:szCs w:val="20"/>
                <w:lang w:val="en-US" w:eastAsia="zh-CN"/>
              </w:rPr>
              <w:t>根据《国民经济分类管理名录》（GB/T4757-2017）（2019年修订版），本项目废弃资源综合利用业，结合《关于加强高耗能、高排放建设项目生态环境源头防控指导意见》（环环评[2021]45号）和《湖南省“两高”项目管理目录》，本项目不属于“高耗能、高排放”类项目</w:t>
            </w:r>
            <w:r>
              <w:rPr>
                <w:rFonts w:hint="eastAsia" w:cs="Times New Roman"/>
                <w:color w:val="auto"/>
                <w:szCs w:val="20"/>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cs="Times New Roman"/>
                <w:b w:val="0"/>
                <w:bCs w:val="0"/>
                <w:color w:val="auto"/>
                <w:kern w:val="0"/>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rPr>
              <w:t>表1-</w:t>
            </w:r>
            <w:r>
              <w:rPr>
                <w:rFonts w:hint="eastAsia" w:cs="Times New Roman"/>
                <w:b/>
                <w:bCs/>
                <w:color w:val="auto"/>
                <w:kern w:val="0"/>
                <w:sz w:val="21"/>
                <w:szCs w:val="21"/>
                <w:highlight w:val="none"/>
                <w:u w:val="none" w:color="auto"/>
                <w:lang w:val="en-US" w:eastAsia="zh-CN"/>
              </w:rPr>
              <w:t>5 湖南省“两高”项目管理目录</w:t>
            </w:r>
          </w:p>
          <w:tbl>
            <w:tblPr>
              <w:tblStyle w:val="43"/>
              <w:tblW w:w="712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716"/>
              <w:gridCol w:w="2100"/>
              <w:gridCol w:w="2317"/>
              <w:gridCol w:w="152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序号</w:t>
                  </w:r>
                </w:p>
              </w:tc>
              <w:tc>
                <w:tcPr>
                  <w:tcW w:w="71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行业</w:t>
                  </w:r>
                </w:p>
              </w:tc>
              <w:tc>
                <w:tcPr>
                  <w:tcW w:w="21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主要内容</w:t>
                  </w:r>
                </w:p>
              </w:tc>
              <w:tc>
                <w:tcPr>
                  <w:tcW w:w="231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设计主要产品及工序</w:t>
                  </w:r>
                </w:p>
              </w:tc>
              <w:tc>
                <w:tcPr>
                  <w:tcW w:w="152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w:t>
                  </w:r>
                </w:p>
              </w:tc>
              <w:tc>
                <w:tcPr>
                  <w:tcW w:w="7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石化</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原油加工及石油制品制造（2511）</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炼油、乙烯</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化工</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无机酸制造（2611）、无机碱制造（2612）、无机盐制造（2613）</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烧碱、纯碱、工业硫酸、黄磷、合成氨、尿素、磷铵、电石、聚氯乙烯、聚丙烯、精对苯二甲酸、对二甲苯、苯乙烯、乙酸乙烯酯、二苯基甲烷二异氰酸酯、1,4-丁二醇</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煤化工</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煤制合成气生产（2522）、煤制液体燃料生产（2523）</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一氧化碳、氢气、甲烷及其他煤制合成气；甲醇、二甲醚、乙二醇、汽油、柴油和航空燃料及其他煤制液体燃料</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焦化</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炼焦（2521）</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焦炭、石油焦（焦炭类）、沥青焦、其他原料生产焦炭、机焦、型焦、土焦、半焦炭、针状焦、其他工艺生产焦炭、矿物油焦</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钢铁</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炼铁（3110）、炼钢（3120）、铁合金（3140）</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炼钢用高炉生铁、直接还原铁、熔融还原铁、非合金钢粗钢、低合金钢粗钢、合金钢粗钢、铁合金、电解金属锰</w:t>
                  </w:r>
                </w:p>
              </w:tc>
              <w:tc>
                <w:tcPr>
                  <w:tcW w:w="152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不包括以含重金属固体废弃物为原料（≥85%）进行锰资源综合回收项目。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6</w:t>
                  </w:r>
                </w:p>
              </w:tc>
              <w:tc>
                <w:tcPr>
                  <w:tcW w:w="71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建材</w:t>
                  </w:r>
                </w:p>
              </w:tc>
              <w:tc>
                <w:tcPr>
                  <w:tcW w:w="210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水泥制造（3011）、石灰和石膏制造（3012）、粘土砖瓦及建筑砌块制造（3031）、平板玻璃制造（3041）、建筑陶瓷制品制造（3071）</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石灰、建筑陶瓷、耐火材料、烧结砖瓦</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不包括资源利用项目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716"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210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水泥熟料、平板玻璃</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7</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有色</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铜冶炼（3211）、铅锌冶炼（3212）、锑冶炼（3215）、铝冶炼（3216）、硅冶炼（3218）</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铜、铅锌、锑、铝、硅冶炼</w:t>
                  </w:r>
                </w:p>
              </w:tc>
              <w:tc>
                <w:tcPr>
                  <w:tcW w:w="152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不包括再生有色资源冶炼项目。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w:t>
                  </w:r>
                </w:p>
              </w:tc>
              <w:tc>
                <w:tcPr>
                  <w:tcW w:w="716"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煤电</w:t>
                  </w:r>
                </w:p>
              </w:tc>
              <w:tc>
                <w:tcPr>
                  <w:tcW w:w="2100"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火力发电（4411）、热电联产（4412）</w:t>
                  </w:r>
                </w:p>
              </w:tc>
              <w:tc>
                <w:tcPr>
                  <w:tcW w:w="2317" w:type="dxa"/>
                  <w:vAlign w:val="center"/>
                </w:tcPr>
                <w:p>
                  <w:pPr>
                    <w:pStyle w:val="282"/>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燃煤发电、燃煤热电联产</w:t>
                  </w:r>
                </w:p>
              </w:tc>
              <w:tc>
                <w:tcPr>
                  <w:tcW w:w="15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w:t>
                  </w:r>
                </w:p>
              </w:tc>
              <w:tc>
                <w:tcPr>
                  <w:tcW w:w="6659"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default" w:ascii="Times New Roman" w:hAnsi="Times New Roman" w:cs="Times New Roman"/>
                      <w:color w:val="auto"/>
                      <w:sz w:val="21"/>
                      <w:szCs w:val="21"/>
                      <w:vertAlign w:val="baseline"/>
                      <w:lang w:val="en-US" w:eastAsia="zh-CN" w:bidi="ar-SA"/>
                    </w:rPr>
                    <w:t>涉煤及煤制品、石油焦、渣油、重油等高污染燃料使用工业炉窑、锅炉的项目</w:t>
                  </w:r>
                </w:p>
              </w:tc>
            </w:tr>
          </w:tbl>
          <w:p>
            <w:pPr>
              <w:autoSpaceDE w:val="0"/>
              <w:autoSpaceDN w:val="0"/>
              <w:adjustRightInd w:val="0"/>
              <w:snapToGrid w:val="0"/>
              <w:spacing w:line="360" w:lineRule="auto"/>
              <w:ind w:firstLine="481"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3、</w:t>
            </w:r>
            <w:r>
              <w:rPr>
                <w:rFonts w:hint="default" w:ascii="Times New Roman" w:hAnsi="Times New Roman" w:eastAsia="宋体" w:cs="Times New Roman"/>
                <w:b/>
                <w:bCs/>
                <w:color w:val="auto"/>
                <w:kern w:val="0"/>
                <w:highlight w:val="none"/>
                <w:u w:val="none" w:color="auto"/>
              </w:rPr>
              <w:t>与</w:t>
            </w:r>
            <w:r>
              <w:rPr>
                <w:rFonts w:hint="eastAsia" w:cs="Times New Roman"/>
                <w:b/>
                <w:bCs/>
                <w:color w:val="auto"/>
                <w:kern w:val="0"/>
                <w:highlight w:val="none"/>
                <w:u w:val="none" w:color="auto"/>
                <w:lang w:eastAsia="zh-CN"/>
              </w:rPr>
              <w:t>《</w:t>
            </w:r>
            <w:r>
              <w:rPr>
                <w:rFonts w:hint="eastAsia" w:cs="Times New Roman"/>
                <w:b/>
                <w:bCs/>
                <w:color w:val="auto"/>
                <w:kern w:val="0"/>
                <w:highlight w:val="none"/>
                <w:u w:val="none" w:color="auto"/>
                <w:lang w:val="en-US" w:eastAsia="zh-CN"/>
              </w:rPr>
              <w:t>废塑料污染控制技术规范</w:t>
            </w:r>
            <w:r>
              <w:rPr>
                <w:rFonts w:hint="default" w:ascii="Times New Roman" w:hAnsi="Times New Roman" w:eastAsia="宋体" w:cs="Times New Roman"/>
                <w:b/>
                <w:bCs/>
                <w:color w:val="auto"/>
                <w:kern w:val="0"/>
                <w:highlight w:val="none"/>
                <w:u w:val="none" w:color="auto"/>
              </w:rPr>
              <w:t>》</w:t>
            </w:r>
            <w:r>
              <w:rPr>
                <w:rFonts w:hint="eastAsia" w:cs="Times New Roman"/>
                <w:b/>
                <w:bCs/>
                <w:color w:val="auto"/>
                <w:kern w:val="0"/>
                <w:highlight w:val="none"/>
                <w:u w:val="none" w:color="auto"/>
                <w:lang w:eastAsia="zh-CN"/>
              </w:rPr>
              <w:t>（</w:t>
            </w:r>
            <w:r>
              <w:rPr>
                <w:rFonts w:hint="eastAsia" w:cs="Times New Roman"/>
                <w:b/>
                <w:bCs/>
                <w:color w:val="auto"/>
                <w:kern w:val="0"/>
                <w:highlight w:val="none"/>
                <w:u w:val="none" w:color="auto"/>
                <w:lang w:val="en-US" w:eastAsia="zh-CN"/>
              </w:rPr>
              <w:t>HJ364-2022</w:t>
            </w:r>
            <w:r>
              <w:rPr>
                <w:rFonts w:hint="eastAsia" w:cs="Times New Roman"/>
                <w:b/>
                <w:bCs/>
                <w:color w:val="auto"/>
                <w:kern w:val="0"/>
                <w:highlight w:val="none"/>
                <w:u w:val="none" w:color="auto"/>
                <w:lang w:eastAsia="zh-CN"/>
              </w:rPr>
              <w:t>）</w:t>
            </w:r>
            <w:r>
              <w:rPr>
                <w:rFonts w:hint="default" w:ascii="Times New Roman" w:hAnsi="Times New Roman" w:eastAsia="宋体" w:cs="Times New Roman"/>
                <w:b/>
                <w:bCs/>
                <w:color w:val="auto"/>
                <w:kern w:val="0"/>
                <w:highlight w:val="none"/>
                <w:u w:val="none" w:color="auto"/>
              </w:rPr>
              <w:t>的</w:t>
            </w:r>
            <w:r>
              <w:rPr>
                <w:rFonts w:hint="eastAsia" w:cs="Times New Roman"/>
                <w:b/>
                <w:bCs/>
                <w:color w:val="auto"/>
                <w:kern w:val="0"/>
                <w:highlight w:val="none"/>
                <w:u w:val="none" w:color="auto"/>
                <w:lang w:val="en-US" w:eastAsia="zh-CN"/>
              </w:rPr>
              <w:t>符合性</w:t>
            </w:r>
            <w:r>
              <w:rPr>
                <w:rFonts w:hint="default" w:ascii="Times New Roman" w:hAnsi="Times New Roman" w:eastAsia="宋体" w:cs="Times New Roman"/>
                <w:b/>
                <w:bCs/>
                <w:color w:val="auto"/>
                <w:kern w:val="0"/>
                <w:highlight w:val="none"/>
                <w:u w:val="none" w:color="auto"/>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rPr>
              <w:t>表1-</w:t>
            </w:r>
            <w:r>
              <w:rPr>
                <w:rFonts w:hint="eastAsia" w:cs="Times New Roman"/>
                <w:b/>
                <w:bCs/>
                <w:color w:val="auto"/>
                <w:kern w:val="0"/>
                <w:sz w:val="21"/>
                <w:szCs w:val="21"/>
                <w:highlight w:val="none"/>
                <w:u w:val="none" w:color="auto"/>
                <w:lang w:val="en-US" w:eastAsia="zh-CN"/>
              </w:rPr>
              <w:t>6 本项目与《废塑料污染控制技术规范》的符合性分析</w:t>
            </w:r>
          </w:p>
          <w:tbl>
            <w:tblPr>
              <w:tblStyle w:val="43"/>
              <w:tblW w:w="712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3480"/>
              <w:gridCol w:w="2445"/>
              <w:gridCol w:w="76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序号</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规范要求</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项目情况</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涉及废塑料的产生、收集、运输、贮存、利用、处置的单位和其他生产经营者，应根据产生的污染物采取防扬散、防流失、防渗漏或者其他防止污染环境的措施，并执行国家和地方相关排放标准。</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本项目利用废塑料、废开关插座为原料，原料堆存与厂房内，不会扬散、泄露及渗漏。</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bidi="ar-SA"/>
                    </w:rPr>
                    <w:t>废塑料的产生、收集、贮存、预处理和再生利用企业应单独划分贮存场地，不同种类的废塑料宜分开贮存，贮存场地应具有防雨、防</w:t>
                  </w:r>
                  <w:r>
                    <w:rPr>
                      <w:rFonts w:hint="eastAsia" w:cs="Times New Roman"/>
                      <w:b w:val="0"/>
                      <w:bCs w:val="0"/>
                      <w:color w:val="auto"/>
                      <w:kern w:val="0"/>
                      <w:sz w:val="21"/>
                      <w:szCs w:val="21"/>
                      <w:highlight w:val="none"/>
                      <w:u w:val="none" w:color="auto"/>
                      <w:vertAlign w:val="baseline"/>
                      <w:lang w:val="en-US" w:eastAsia="zh-CN"/>
                    </w:rPr>
                    <w:t>扬散、防渗漏等措施，并按GB15562.2的要求设置标识。</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不同种类的废塑料在存放区分区存放，且存放场地满足</w:t>
                  </w:r>
                  <w:r>
                    <w:rPr>
                      <w:rFonts w:hint="eastAsia" w:cs="Times New Roman"/>
                      <w:b w:val="0"/>
                      <w:bCs w:val="0"/>
                      <w:color w:val="auto"/>
                      <w:kern w:val="0"/>
                      <w:sz w:val="21"/>
                      <w:szCs w:val="21"/>
                      <w:highlight w:val="none"/>
                      <w:u w:val="none" w:color="auto"/>
                      <w:vertAlign w:val="baseline"/>
                      <w:lang w:val="en-US" w:eastAsia="zh-CN" w:bidi="ar-SA"/>
                    </w:rPr>
                    <w:t>防雨、防</w:t>
                  </w:r>
                  <w:r>
                    <w:rPr>
                      <w:rFonts w:hint="eastAsia" w:cs="Times New Roman"/>
                      <w:b w:val="0"/>
                      <w:bCs w:val="0"/>
                      <w:color w:val="auto"/>
                      <w:kern w:val="0"/>
                      <w:sz w:val="21"/>
                      <w:szCs w:val="21"/>
                      <w:highlight w:val="none"/>
                      <w:u w:val="none" w:color="auto"/>
                      <w:vertAlign w:val="baseline"/>
                      <w:lang w:val="en-US" w:eastAsia="zh-CN"/>
                    </w:rPr>
                    <w:t>扬散、防渗漏要求，并按GB15562.2的要求设置标识。</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3</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废塑料的收集、再生利用和处置企业，应建立废塑料管理台账，内容包括废塑料的来源、种类、数量、去向等，相关台账应保存至少3年。</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本项目营运期将建立废塑料管理台账。</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4</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属于危险废物的废塑料，按照危险废物进行管理和利用处置。</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本项目不涉及危险废物废塑料</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5</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应采用预分选工艺，将废塑料与其他废物分开，提高下游自动化分选的效率。</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本项目破碎前进行分拣，将其他废物分拣出，避免进入后续处理。</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6</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废塑料的破碎方法可分为干法破碎和湿法破碎。使用干法破碎时，应配备相应的防尘、防噪声设备。使用湿法破碎时，应有配套的污水收集和处理设施。</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本项目破碎采取湿法破碎，设置沉淀池对废水进行处理。</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7</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宜采用节水的自动化清洗技术，宜采用无磷清洗剂或其他绿色清洗剂，不得使用有毒有害的清洗剂。</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本项目清洗为清水清洗，不使用有毒有害清洗剂</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8</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应根据废塑料再生利用过程产生的废水中污染物种类和浓度，配备相应的废水收集和处理设施，处理后的废水宜进行循环使用，排放的废水应根据出水受纳水体功能要求或纳管要求，执行国家和地方相关排放标准，重点控制的污染物指标包括化学需氧量、悬浮物、pH值、色度、石油类、可吸附有机卤化物等。</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single" w:color="auto"/>
                      <w:vertAlign w:val="baseline"/>
                      <w:lang w:val="en-US" w:eastAsia="zh-CN"/>
                    </w:rPr>
                    <w:t>本项目产生的生产废水经沉淀后进入湖南中塑新材料科技有限公司处理达标后，排入湖南汨罗循环经济产业园再生材料产业园污水处理厂深度处理，处理后的污水作为中水回用于再生材料产业园企业。</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3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w:t>
                  </w:r>
                </w:p>
              </w:tc>
              <w:tc>
                <w:tcPr>
                  <w:tcW w:w="34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废塑料中的金属、橡胶、纤维、渣土、油脂等夹杂物，以及废塑料再生利用过程中产生的不可利用废物应建立台账，不得擅自丢弃、倾倒、焚烧与填埋，属于危险废物的应交由有相关资质单位进行利用处置。</w:t>
                  </w:r>
                </w:p>
              </w:tc>
              <w:tc>
                <w:tcPr>
                  <w:tcW w:w="24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本项目分拣出的橡胶等杂物，收集后外售。</w:t>
                  </w:r>
                </w:p>
              </w:tc>
              <w:tc>
                <w:tcPr>
                  <w:tcW w:w="76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s="Times New Roman"/>
                <w:b w:val="0"/>
                <w:bCs w:val="0"/>
                <w:color w:val="auto"/>
                <w:kern w:val="0"/>
                <w:sz w:val="24"/>
                <w:szCs w:val="24"/>
                <w:highlight w:val="none"/>
                <w:u w:val="none" w:color="auto"/>
                <w:lang w:val="en-US" w:eastAsia="zh-CN"/>
              </w:rPr>
            </w:pPr>
            <w:r>
              <w:rPr>
                <w:rFonts w:hint="eastAsia" w:cs="Times New Roman"/>
                <w:b w:val="0"/>
                <w:bCs w:val="0"/>
                <w:color w:val="auto"/>
                <w:kern w:val="0"/>
                <w:sz w:val="24"/>
                <w:szCs w:val="24"/>
                <w:highlight w:val="none"/>
                <w:u w:val="none" w:color="auto"/>
                <w:lang w:val="en-US" w:eastAsia="zh-CN"/>
              </w:rPr>
              <w:t>综上所述，本项目与《废塑料污染控制技术规范》（HJ364-2022）要求相符。</w:t>
            </w:r>
          </w:p>
          <w:p>
            <w:pPr>
              <w:autoSpaceDE w:val="0"/>
              <w:autoSpaceDN w:val="0"/>
              <w:adjustRightInd w:val="0"/>
              <w:snapToGrid w:val="0"/>
              <w:spacing w:line="360" w:lineRule="auto"/>
              <w:ind w:firstLine="481"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4、</w:t>
            </w:r>
            <w:r>
              <w:rPr>
                <w:rFonts w:hint="default" w:ascii="Times New Roman" w:hAnsi="Times New Roman" w:eastAsia="宋体" w:cs="Times New Roman"/>
                <w:b/>
                <w:bCs/>
                <w:color w:val="auto"/>
                <w:kern w:val="0"/>
                <w:highlight w:val="none"/>
                <w:u w:val="none" w:color="auto"/>
              </w:rPr>
              <w:t>与《</w:t>
            </w:r>
            <w:bookmarkStart w:id="11" w:name="OLE_LINK2"/>
            <w:r>
              <w:rPr>
                <w:rFonts w:hint="default" w:ascii="Times New Roman" w:hAnsi="Times New Roman" w:eastAsia="宋体" w:cs="Times New Roman"/>
                <w:b/>
                <w:bCs/>
                <w:color w:val="auto"/>
                <w:kern w:val="0"/>
                <w:highlight w:val="none"/>
                <w:u w:val="none" w:color="auto"/>
              </w:rPr>
              <w:t>废塑料加工利用污染防治管理规定</w:t>
            </w:r>
            <w:bookmarkEnd w:id="11"/>
            <w:r>
              <w:rPr>
                <w:rFonts w:hint="default" w:ascii="Times New Roman" w:hAnsi="Times New Roman" w:eastAsia="宋体" w:cs="Times New Roman"/>
                <w:b/>
                <w:bCs/>
                <w:color w:val="auto"/>
                <w:kern w:val="0"/>
                <w:highlight w:val="none"/>
                <w:u w:val="none" w:color="auto"/>
              </w:rPr>
              <w:t>》的</w:t>
            </w:r>
            <w:r>
              <w:rPr>
                <w:rFonts w:hint="eastAsia" w:cs="Times New Roman"/>
                <w:b/>
                <w:bCs/>
                <w:color w:val="auto"/>
                <w:kern w:val="0"/>
                <w:highlight w:val="none"/>
                <w:u w:val="none" w:color="auto"/>
                <w:lang w:val="en-US" w:eastAsia="zh-CN"/>
              </w:rPr>
              <w:t>符合性</w:t>
            </w:r>
            <w:r>
              <w:rPr>
                <w:rFonts w:hint="default" w:ascii="Times New Roman" w:hAnsi="Times New Roman" w:eastAsia="宋体" w:cs="Times New Roman"/>
                <w:b/>
                <w:bCs/>
                <w:color w:val="auto"/>
                <w:kern w:val="0"/>
                <w:highlight w:val="none"/>
                <w:u w:val="none" w:color="auto"/>
              </w:rPr>
              <w:t>分析</w:t>
            </w:r>
          </w:p>
          <w:p>
            <w:pPr>
              <w:pStyle w:val="25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表1-</w:t>
            </w:r>
            <w:r>
              <w:rPr>
                <w:rFonts w:hint="eastAsia" w:cs="Times New Roman"/>
                <w:color w:val="auto"/>
                <w:sz w:val="21"/>
                <w:szCs w:val="21"/>
                <w:highlight w:val="none"/>
                <w:u w:val="none" w:color="auto"/>
                <w:lang w:val="en-US" w:eastAsia="zh-CN"/>
              </w:rPr>
              <w:t>7</w:t>
            </w:r>
            <w:r>
              <w:rPr>
                <w:rFonts w:hint="default" w:ascii="Times New Roman" w:hAnsi="Times New Roman" w:eastAsia="宋体" w:cs="Times New Roman"/>
                <w:color w:val="auto"/>
                <w:sz w:val="21"/>
                <w:szCs w:val="21"/>
                <w:highlight w:val="none"/>
                <w:u w:val="none" w:color="auto"/>
              </w:rPr>
              <w:t xml:space="preserve"> 项目建设与《废塑料加工利用污染防治管理规定》的相符性分析</w:t>
            </w:r>
          </w:p>
          <w:tbl>
            <w:tblPr>
              <w:tblStyle w:val="4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5"/>
              <w:gridCol w:w="3154"/>
              <w:gridCol w:w="2359"/>
              <w:gridCol w:w="8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222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废塑料加工利用污染防治管理规定</w:t>
                  </w:r>
                </w:p>
              </w:tc>
              <w:tc>
                <w:tcPr>
                  <w:tcW w:w="166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项目情况</w:t>
                  </w:r>
                </w:p>
              </w:tc>
              <w:tc>
                <w:tcPr>
                  <w:tcW w:w="56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22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废塑料加工利用必须符合国家相关产业政策规定及《废塑料回收与再生利用污染控制技术规范》，防止二次污染。</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166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bidi="ar"/>
                    </w:rPr>
                    <w:t>本项目符合产业政策及《废塑料污染控制技术规范》</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本项目位于工业园区，本项目</w:t>
                  </w:r>
                  <w:r>
                    <w:rPr>
                      <w:rFonts w:hint="eastAsia" w:cs="Times New Roman"/>
                      <w:color w:val="auto"/>
                      <w:sz w:val="21"/>
                      <w:szCs w:val="21"/>
                      <w:highlight w:val="none"/>
                      <w:u w:val="none" w:color="auto"/>
                      <w:lang w:val="en-US" w:eastAsia="zh-CN"/>
                    </w:rPr>
                    <w:t>仅对废塑料进行破碎、清洗、分选，不涉及塑料制品制造，本项目原料不涉及危险废物废塑料。</w:t>
                  </w:r>
                </w:p>
              </w:tc>
              <w:tc>
                <w:tcPr>
                  <w:tcW w:w="56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2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废塑料加工利用单位应当以环境无害化方式处理废塑料加工利用过程产生的残余垃圾、滤网；禁止交不符合环保要求的单位或个人处置。</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禁止露天焚烧废塑料及加工利用过程产生的残余垃圾、滤网。</w:t>
                  </w:r>
                </w:p>
              </w:tc>
              <w:tc>
                <w:tcPr>
                  <w:tcW w:w="166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本项目</w:t>
                  </w:r>
                  <w:r>
                    <w:rPr>
                      <w:rFonts w:hint="eastAsia" w:cs="Times New Roman"/>
                      <w:color w:val="auto"/>
                      <w:sz w:val="21"/>
                      <w:szCs w:val="21"/>
                      <w:highlight w:val="none"/>
                      <w:u w:val="none" w:color="auto"/>
                      <w:lang w:val="en-US" w:eastAsia="zh-CN"/>
                    </w:rPr>
                    <w:t>分拣出的杂物收集后外售，危险废物交由有资质的单位处置。</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222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进口废塑料加工利用企业应当符合《固体废物进口管理办法》以及环境保护部关于进口可用作原料的固体废物和废塑料环境保护管理相关规定。</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禁止进口未经清洗的使用过的废塑料。</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禁止将进口的废塑料全部或者部分转让给进口许可证载明的利用企业以外的单位或者个人，包括将进口废塑料委托给其他企业代为清洗。</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进口废塑料分拣或加工利用过程产生的残余废塑料应当进行无害化利用或者处置；禁止将上述残余废塑料未经清洗处理直接出售。</w:t>
                  </w:r>
                </w:p>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进口废纸加工利用企业应当对进口废纸中的废塑料进行无害化利用或者处置；禁止将进口废纸中的废塑料，未经清洗处理直接出售。</w:t>
                  </w:r>
                </w:p>
              </w:tc>
              <w:tc>
                <w:tcPr>
                  <w:tcW w:w="166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本项目</w:t>
                  </w:r>
                  <w:r>
                    <w:rPr>
                      <w:rFonts w:hint="default" w:ascii="Times New Roman" w:hAnsi="Times New Roman" w:eastAsia="宋体" w:cs="Times New Roman"/>
                      <w:color w:val="auto"/>
                      <w:sz w:val="21"/>
                      <w:szCs w:val="21"/>
                      <w:highlight w:val="none"/>
                      <w:u w:val="none" w:color="auto"/>
                      <w:lang w:val="en-US" w:eastAsia="zh-CN"/>
                    </w:rPr>
                    <w:t>不涉及进口塑料</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222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进口废塑料加工利用企业发现属于国家禁止进口类或者不符合环境保护控制标准的进口废塑料，应当立即向口岸海关、检验检疫部门和所在地环保部门报告并配合做好相关处理工作。</w:t>
                  </w:r>
                </w:p>
              </w:tc>
              <w:tc>
                <w:tcPr>
                  <w:tcW w:w="1663"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w:t>
                  </w:r>
                  <w:r>
                    <w:rPr>
                      <w:rFonts w:hint="default" w:ascii="Times New Roman" w:hAnsi="Times New Roman" w:eastAsia="宋体" w:cs="Times New Roman"/>
                      <w:color w:val="auto"/>
                      <w:sz w:val="21"/>
                      <w:szCs w:val="21"/>
                      <w:highlight w:val="none"/>
                      <w:u w:val="none" w:color="auto"/>
                      <w:lang w:val="en-US" w:eastAsia="zh-CN"/>
                    </w:rPr>
                    <w:t>不涉及进口塑料</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符合</w:t>
                  </w:r>
                </w:p>
              </w:tc>
            </w:tr>
          </w:tbl>
          <w:p>
            <w:pPr>
              <w:autoSpaceDE w:val="0"/>
              <w:autoSpaceDN w:val="0"/>
              <w:adjustRightInd w:val="0"/>
              <w:snapToGrid w:val="0"/>
              <w:spacing w:line="500" w:lineRule="exact"/>
              <w:ind w:firstLine="481" w:firstLineChars="200"/>
              <w:jc w:val="left"/>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5</w:t>
            </w:r>
            <w:r>
              <w:rPr>
                <w:rFonts w:hint="eastAsia" w:cs="Times New Roman"/>
                <w:b/>
                <w:bCs/>
                <w:color w:val="auto"/>
                <w:kern w:val="0"/>
                <w:highlight w:val="none"/>
                <w:u w:val="none" w:color="auto"/>
                <w:lang w:eastAsia="zh-CN"/>
              </w:rPr>
              <w:t>、</w:t>
            </w:r>
            <w:r>
              <w:rPr>
                <w:rFonts w:hint="default" w:ascii="Times New Roman" w:hAnsi="Times New Roman" w:eastAsia="宋体" w:cs="Times New Roman"/>
                <w:b/>
                <w:bCs/>
                <w:color w:val="auto"/>
                <w:kern w:val="0"/>
                <w:highlight w:val="none"/>
                <w:u w:val="none" w:color="auto"/>
              </w:rPr>
              <w:t>与《废塑料综合利用行业规范条件》的符合性分析</w:t>
            </w:r>
          </w:p>
          <w:p>
            <w:pPr>
              <w:autoSpaceDE w:val="0"/>
              <w:autoSpaceDN w:val="0"/>
              <w:adjustRightInd w:val="0"/>
              <w:snapToGrid w:val="0"/>
              <w:spacing w:line="500" w:lineRule="exact"/>
              <w:ind w:firstLine="480" w:firstLineChars="200"/>
              <w:jc w:val="left"/>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本项目与《废塑料综合利用行业规范条件》的符合性分析见下表。</w:t>
            </w:r>
          </w:p>
          <w:p>
            <w:pPr>
              <w:pStyle w:val="25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表1-</w:t>
            </w:r>
            <w:r>
              <w:rPr>
                <w:rFonts w:hint="eastAsia"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 xml:space="preserve"> 《废塑料综合利用行业规范条件》的相符性分析</w:t>
            </w:r>
          </w:p>
          <w:tbl>
            <w:tblPr>
              <w:tblStyle w:val="4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47"/>
              <w:gridCol w:w="3335"/>
              <w:gridCol w:w="2749"/>
              <w:gridCol w:w="6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tblHeader/>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w:t>
                  </w:r>
                </w:p>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号</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《废塑料综合利用行业规范条件》要求</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项目情况</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是否符</w:t>
                  </w:r>
                </w:p>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一、企业的设立和布局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废塑料综合利用企业所涉及的热塑性废塑料原料，不包括受到危险化学品、农药等污染的废弃塑料包装物、废弃一次性医疗用塑料制品等塑料类危险废物，以及氟塑料等特种工程塑料。</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项目不接收含有毒有害物质的废塑料，如沾染危险化学品、农药等废塑料包装物，以及输液器、针头、血袋等一次性废弃医疗用塑料制品等。</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新建及改造、扩建废塑料加工企业应符合国家产业政策及所在地区土地利用总体规划、城乡建设规划、环境保护、污染防治规划。企业建设应有规范化设计要求，采用节能环保技术及生产装备。</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本项目为新建企业，位于汨罗高新技术产业开发区新市片</w:t>
                  </w:r>
                  <w:r>
                    <w:rPr>
                      <w:rFonts w:hint="eastAsia" w:cs="Times New Roman"/>
                      <w:color w:val="auto"/>
                      <w:sz w:val="21"/>
                      <w:szCs w:val="21"/>
                      <w:highlight w:val="none"/>
                      <w:u w:val="none" w:color="auto"/>
                      <w:lang w:val="en-US" w:eastAsia="zh-CN"/>
                    </w:rPr>
                    <w:t>东片</w:t>
                  </w:r>
                  <w:r>
                    <w:rPr>
                      <w:rFonts w:hint="default" w:ascii="Times New Roman" w:hAnsi="Times New Roman" w:eastAsia="宋体" w:cs="Times New Roman"/>
                      <w:color w:val="auto"/>
                      <w:sz w:val="21"/>
                      <w:szCs w:val="21"/>
                      <w:highlight w:val="none"/>
                      <w:u w:val="none" w:color="auto"/>
                    </w:rPr>
                    <w:t>区，属于再生资源回收利用产业，符合国家产业政策及园区土地利用等各项规划。</w:t>
                  </w:r>
                </w:p>
                <w:p>
                  <w:pPr>
                    <w:pStyle w:val="31"/>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企业设计规范化生产厂房，采用节能环保技术及生产装备</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本项目位于汨罗高新技术产业开发区新市片</w:t>
                  </w:r>
                  <w:r>
                    <w:rPr>
                      <w:rFonts w:hint="eastAsia" w:cs="Times New Roman"/>
                      <w:color w:val="auto"/>
                      <w:sz w:val="21"/>
                      <w:szCs w:val="21"/>
                      <w:highlight w:val="none"/>
                      <w:u w:val="none" w:color="auto"/>
                      <w:lang w:val="en-US" w:eastAsia="zh-CN"/>
                    </w:rPr>
                    <w:t>东片</w:t>
                  </w:r>
                  <w:r>
                    <w:rPr>
                      <w:rFonts w:hint="default" w:ascii="Times New Roman" w:hAnsi="Times New Roman" w:eastAsia="宋体" w:cs="Times New Roman"/>
                      <w:color w:val="auto"/>
                      <w:sz w:val="21"/>
                      <w:szCs w:val="21"/>
                      <w:highlight w:val="none"/>
                      <w:u w:val="none" w:color="auto"/>
                    </w:rPr>
                    <w:t>区，用地性质为工业用地，不在国家相关保护区内。</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二、生产经营规模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废塑料破碎、清洗、分选类企业：新建企业年废塑料处理能力不低于30000吨，已建企业年废塑料处理能力不低于20000吨。</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本项目为新建项目，项目建成后年处理废塑料、废开关插座72000吨。</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三、资源综合利用及能耗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企业应对收集的废塑料进行充分利用，提高资源回收利用效率，不得倾倒、焚烧与填埋。</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本项目对废塑料进行破碎、清洗、分选，不倾倒、焚烧与填埋。</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塑料再生加工相关生产环节的综合电耗低于500千瓦时/吨废塑料。</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项目综合电耗约</w:t>
                  </w:r>
                  <w:r>
                    <w:rPr>
                      <w:rFonts w:hint="eastAsia" w:cs="Times New Roman"/>
                      <w:color w:val="auto"/>
                      <w:sz w:val="21"/>
                      <w:szCs w:val="21"/>
                      <w:highlight w:val="none"/>
                      <w:u w:val="none" w:color="auto"/>
                      <w:lang w:val="en-US" w:eastAsia="zh-CN"/>
                    </w:rPr>
                    <w:t>56</w:t>
                  </w:r>
                  <w:r>
                    <w:rPr>
                      <w:rFonts w:hint="default" w:ascii="Times New Roman" w:hAnsi="Times New Roman" w:eastAsia="宋体" w:cs="Times New Roman"/>
                      <w:color w:val="auto"/>
                      <w:sz w:val="21"/>
                      <w:szCs w:val="21"/>
                      <w:highlight w:val="none"/>
                      <w:u w:val="none" w:color="auto"/>
                    </w:rPr>
                    <w:t>千瓦时/吨废塑料。</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PET再生瓶片类企业与</w:t>
                  </w:r>
                  <w:r>
                    <w:rPr>
                      <w:rFonts w:hint="default" w:ascii="Times New Roman" w:hAnsi="Times New Roman" w:eastAsia="宋体" w:cs="Times New Roman"/>
                      <w:color w:val="auto"/>
                      <w:sz w:val="21"/>
                      <w:szCs w:val="21"/>
                      <w:highlight w:val="none"/>
                      <w:u w:val="none" w:color="auto"/>
                    </w:rPr>
                    <w:t>废塑料破碎、清洗、分选类企业的综合新水消耗低于1.5吨/吨废塑料。塑料再生造粒类企业的综合新水消耗低于0.2吨/吨废塑料。</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本项目涉及废塑料破碎、清洗、分选，</w:t>
                  </w:r>
                  <w:r>
                    <w:rPr>
                      <w:rFonts w:hint="eastAsia" w:cs="Times New Roman"/>
                      <w:color w:val="auto"/>
                      <w:sz w:val="21"/>
                      <w:szCs w:val="21"/>
                      <w:highlight w:val="none"/>
                      <w:u w:val="none" w:color="auto"/>
                      <w:vertAlign w:val="baseline"/>
                      <w:lang w:val="en-US" w:eastAsia="zh-CN"/>
                    </w:rPr>
                    <w:t>破碎72000吨废塑料、废开关插座，综合新水消耗量为</w:t>
                  </w:r>
                  <w:r>
                    <w:rPr>
                      <w:rFonts w:hint="eastAsia" w:cs="Times New Roman"/>
                      <w:color w:val="auto"/>
                      <w:sz w:val="21"/>
                      <w:szCs w:val="21"/>
                      <w:highlight w:val="none"/>
                      <w:u w:val="single" w:color="auto"/>
                      <w:vertAlign w:val="baseline"/>
                      <w:lang w:val="en-US" w:eastAsia="zh-CN"/>
                    </w:rPr>
                    <w:t>10654.6t/a，0.15</w:t>
                  </w:r>
                  <w:r>
                    <w:rPr>
                      <w:rFonts w:hint="default" w:ascii="Times New Roman" w:hAnsi="Times New Roman" w:eastAsia="宋体" w:cs="Times New Roman"/>
                      <w:color w:val="auto"/>
                      <w:sz w:val="21"/>
                      <w:szCs w:val="21"/>
                      <w:highlight w:val="none"/>
                      <w:u w:val="single" w:color="auto"/>
                      <w:vertAlign w:val="baseline"/>
                    </w:rPr>
                    <w:t>吨/吨</w:t>
                  </w:r>
                  <w:r>
                    <w:rPr>
                      <w:rFonts w:hint="default" w:ascii="Times New Roman" w:hAnsi="Times New Roman" w:eastAsia="宋体" w:cs="Times New Roman"/>
                      <w:color w:val="auto"/>
                      <w:sz w:val="21"/>
                      <w:szCs w:val="21"/>
                      <w:highlight w:val="none"/>
                      <w:u w:val="none" w:color="auto"/>
                      <w:vertAlign w:val="baseline"/>
                    </w:rPr>
                    <w:t>废塑料</w:t>
                  </w:r>
                  <w:r>
                    <w:rPr>
                      <w:rFonts w:hint="default" w:ascii="Times New Roman" w:hAnsi="Times New Roman" w:eastAsia="宋体" w:cs="Times New Roman"/>
                      <w:color w:val="auto"/>
                      <w:sz w:val="21"/>
                      <w:szCs w:val="21"/>
                      <w:highlight w:val="none"/>
                      <w:u w:val="none" w:color="auto"/>
                    </w:rPr>
                    <w:t>。</w:t>
                  </w:r>
                  <w:r>
                    <w:rPr>
                      <w:rStyle w:val="55"/>
                      <w:rFonts w:hint="default" w:ascii="Times New Roman" w:hAnsi="Times New Roman" w:eastAsia="宋体" w:cs="Times New Roman"/>
                      <w:color w:val="auto"/>
                      <w:sz w:val="21"/>
                      <w:szCs w:val="21"/>
                      <w:highlight w:val="none"/>
                      <w:u w:val="none" w:color="auto"/>
                    </w:rPr>
                    <w:t>符合</w:t>
                  </w:r>
                  <w:r>
                    <w:rPr>
                      <w:rFonts w:hint="default" w:ascii="Times New Roman" w:hAnsi="Times New Roman" w:eastAsia="宋体" w:cs="Times New Roman"/>
                      <w:color w:val="auto"/>
                      <w:sz w:val="21"/>
                      <w:szCs w:val="21"/>
                      <w:highlight w:val="none"/>
                      <w:u w:val="none" w:color="auto"/>
                    </w:rPr>
                    <w:t>废塑料破碎、清洗、分选类企业的综合新水消耗低于1.5吨/吨废塑料要求。</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四、工艺与装备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新建及改造、扩建废塑料综合利用企业应采用先进技术、工艺和装备，提高废塑料再生加工过程的自动化水平。</w:t>
                  </w:r>
                </w:p>
              </w:tc>
              <w:tc>
                <w:tcPr>
                  <w:tcW w:w="1937" w:type="pct"/>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本</w:t>
                  </w:r>
                  <w:r>
                    <w:rPr>
                      <w:rFonts w:hint="default" w:ascii="Times New Roman" w:hAnsi="Times New Roman" w:eastAsia="宋体" w:cs="Times New Roman"/>
                      <w:color w:val="auto"/>
                      <w:sz w:val="21"/>
                      <w:szCs w:val="21"/>
                      <w:highlight w:val="none"/>
                      <w:u w:val="none" w:color="auto"/>
                    </w:rPr>
                    <w:t>项目破碎工序采用具有减振与降噪功能的密闭破碎设备；清洗</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分选采用自动化设备</w:t>
                  </w:r>
                  <w:r>
                    <w:rPr>
                      <w:rFonts w:hint="default" w:ascii="Times New Roman" w:hAnsi="Times New Roman" w:eastAsia="宋体" w:cs="Times New Roman"/>
                      <w:color w:val="auto"/>
                      <w:sz w:val="21"/>
                      <w:szCs w:val="21"/>
                      <w:highlight w:val="none"/>
                      <w:u w:val="none" w:color="auto"/>
                    </w:rPr>
                    <w:t>。</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废塑料破碎、清洗、分选类企业。应采用自动化处理设备和设施。，破碎工序应采用具有减振与降噪功能的</w:t>
                  </w:r>
                </w:p>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密闭破碎设备；清洗工序应实现自动控制和清洗液循环利用，降低耗水量与耗药量；应使用低发泡、低残留、易处理的清洗药剂；分选工序鼓励采用自动化分选设备。</w:t>
                  </w:r>
                </w:p>
              </w:tc>
              <w:tc>
                <w:tcPr>
                  <w:tcW w:w="1937" w:type="pct"/>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五、环境保护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项目根据《中华人民共和国环境影响评价法》，按照环境保护主管部门的相关规定编制环境影响评价文件。提出了环境保护“三同时”以及需编制环境风险应急预案的要求，并依法申请项目竣工环境保护验收。</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企业加工存储场地应建有围墙，在园区内的企业可为单独厂房，地面全部硬化且无明显破损现象。</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本项目位于工业园，位于厂房内部，</w:t>
                  </w:r>
                  <w:r>
                    <w:rPr>
                      <w:rFonts w:hint="default" w:ascii="Times New Roman" w:hAnsi="Times New Roman" w:eastAsia="宋体" w:cs="Times New Roman"/>
                      <w:color w:val="auto"/>
                      <w:sz w:val="21"/>
                      <w:szCs w:val="21"/>
                      <w:highlight w:val="none"/>
                      <w:u w:val="none" w:color="auto"/>
                    </w:rPr>
                    <w:t>地面全部硬化</w:t>
                  </w:r>
                  <w:r>
                    <w:rPr>
                      <w:rFonts w:hint="eastAsia" w:cs="Times New Roman"/>
                      <w:color w:val="auto"/>
                      <w:sz w:val="21"/>
                      <w:szCs w:val="21"/>
                      <w:highlight w:val="none"/>
                      <w:u w:val="none" w:color="auto"/>
                      <w:lang w:val="en-US" w:eastAsia="zh-CN"/>
                    </w:rPr>
                    <w:t>且无明显破损现象</w:t>
                  </w:r>
                  <w:r>
                    <w:rPr>
                      <w:rFonts w:hint="default" w:ascii="Times New Roman" w:hAnsi="Times New Roman" w:eastAsia="宋体" w:cs="Times New Roman"/>
                      <w:color w:val="auto"/>
                      <w:sz w:val="21"/>
                      <w:szCs w:val="21"/>
                      <w:highlight w:val="none"/>
                      <w:u w:val="none" w:color="auto"/>
                    </w:rPr>
                    <w:t>。</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项目废塑料在厂房内设置了分类存放场所，</w:t>
                  </w:r>
                  <w:r>
                    <w:rPr>
                      <w:rFonts w:hint="eastAsia" w:cs="Times New Roman"/>
                      <w:color w:val="auto"/>
                      <w:sz w:val="21"/>
                      <w:szCs w:val="21"/>
                      <w:highlight w:val="none"/>
                      <w:u w:val="none" w:color="auto"/>
                      <w:lang w:val="en-US" w:eastAsia="zh-CN"/>
                    </w:rPr>
                    <w:t>暂存区位于厂房内部，具有防雨、防风、防渗等功能，不露天堆放。</w:t>
                  </w:r>
                  <w:r>
                    <w:rPr>
                      <w:rFonts w:hint="default" w:ascii="Times New Roman" w:hAnsi="Times New Roman" w:eastAsia="宋体" w:cs="Times New Roman"/>
                      <w:color w:val="auto"/>
                      <w:sz w:val="21"/>
                      <w:szCs w:val="21"/>
                      <w:highlight w:val="none"/>
                      <w:u w:val="none" w:color="auto"/>
                    </w:rPr>
                    <w:t>项目建设施行“雨污分流”。</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企业对收集的废塑料中的金属、橡胶、纤维、渣土、油脂、添加物等夹杂物，应采取相应的处理措施。如企业不具备处理条件，应委托其他具有处理能力的企业处理，不得擅自丢弃、倾倒、焚烧 与填埋。</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废塑料清洗产生的沉渣</w:t>
                  </w:r>
                  <w:r>
                    <w:rPr>
                      <w:rFonts w:hint="eastAsia" w:cs="Times New Roman"/>
                      <w:color w:val="auto"/>
                      <w:sz w:val="21"/>
                      <w:szCs w:val="21"/>
                      <w:highlight w:val="none"/>
                      <w:u w:val="none" w:color="auto"/>
                      <w:lang w:val="en-US" w:eastAsia="zh-CN"/>
                    </w:rPr>
                    <w:t>定期清理后交由环卫部门统一清运</w:t>
                  </w:r>
                  <w:r>
                    <w:rPr>
                      <w:rFonts w:hint="default" w:ascii="Times New Roman" w:hAnsi="Times New Roman" w:eastAsia="宋体" w:cs="Times New Roman"/>
                      <w:color w:val="auto"/>
                      <w:sz w:val="21"/>
                      <w:szCs w:val="21"/>
                      <w:highlight w:val="none"/>
                      <w:u w:val="none" w:color="auto"/>
                    </w:rPr>
                    <w:t>；分选杂质分类收集后外售综合利用。</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single" w:color="auto"/>
                      <w:lang w:val="en-US" w:eastAsia="zh-CN"/>
                    </w:rPr>
                    <w:t>本项目生产废水经沉淀池沉淀后有限回用，外排部分依托湖南中塑新材料科技有限公司污水处理设施处理达标后，最终排入汨罗高新区再生材料产业园污水处理厂</w:t>
                  </w:r>
                  <w:r>
                    <w:rPr>
                      <w:rFonts w:hint="eastAsia" w:cs="Times New Roman"/>
                      <w:color w:val="auto"/>
                      <w:sz w:val="21"/>
                      <w:szCs w:val="21"/>
                      <w:highlight w:val="none"/>
                      <w:u w:val="none" w:color="auto"/>
                      <w:lang w:val="en-US" w:eastAsia="zh-CN"/>
                    </w:rPr>
                    <w:t>，生活污水经化粪池处理后排入</w:t>
                  </w:r>
                  <w:r>
                    <w:rPr>
                      <w:rFonts w:hint="eastAsia" w:cs="Times New Roman"/>
                      <w:b w:val="0"/>
                      <w:bCs w:val="0"/>
                      <w:color w:val="auto"/>
                      <w:kern w:val="0"/>
                      <w:sz w:val="21"/>
                      <w:szCs w:val="21"/>
                      <w:highlight w:val="none"/>
                      <w:u w:val="none" w:color="auto"/>
                      <w:vertAlign w:val="baseline"/>
                      <w:lang w:val="en-US" w:eastAsia="zh-CN"/>
                    </w:rPr>
                    <w:t>湖南汨罗高新技术产业开发区（循环园区）污水处理厂</w:t>
                  </w:r>
                  <w:r>
                    <w:rPr>
                      <w:rFonts w:hint="default" w:ascii="Times New Roman" w:hAnsi="Times New Roman" w:eastAsia="宋体" w:cs="Times New Roman"/>
                      <w:color w:val="auto"/>
                      <w:sz w:val="21"/>
                      <w:szCs w:val="21"/>
                      <w:highlight w:val="none"/>
                      <w:u w:val="none" w:color="auto"/>
                    </w:rPr>
                    <w:t>。本项目污泥为不属于危险废物</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收集后交由环卫部门统一清运</w:t>
                  </w:r>
                  <w:r>
                    <w:rPr>
                      <w:rFonts w:hint="default" w:ascii="Times New Roman" w:hAnsi="Times New Roman" w:eastAsia="宋体" w:cs="Times New Roman"/>
                      <w:color w:val="auto"/>
                      <w:sz w:val="21"/>
                      <w:szCs w:val="21"/>
                      <w:highlight w:val="none"/>
                      <w:u w:val="none" w:color="auto"/>
                    </w:rPr>
                    <w:t>。</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再生加工过程中产生废气、粉尘的加工车间应设置废气、粉尘收集处理设施，通过净化处理，达标后排放。</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r>
                    <w:rPr>
                      <w:rFonts w:hint="eastAsia" w:cs="Times New Roman"/>
                      <w:color w:val="auto"/>
                      <w:sz w:val="21"/>
                      <w:szCs w:val="21"/>
                      <w:highlight w:val="none"/>
                      <w:u w:val="none" w:color="auto"/>
                      <w:lang w:val="en-US" w:eastAsia="zh-CN"/>
                    </w:rPr>
                    <w:t>采用湿法破碎，产生的粉尘较少，能满足相应标准要求</w:t>
                  </w:r>
                  <w:r>
                    <w:rPr>
                      <w:rFonts w:hint="default" w:ascii="Times New Roman" w:hAnsi="Times New Roman" w:eastAsia="宋体" w:cs="Times New Roman"/>
                      <w:color w:val="auto"/>
                      <w:sz w:val="21"/>
                      <w:szCs w:val="21"/>
                      <w:highlight w:val="none"/>
                      <w:u w:val="none" w:color="auto"/>
                    </w:rPr>
                    <w:t>。</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24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235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对于加工过程中噪音污染大的设备，必须采取降噪和隔音措施，企业噪声应达到《工业企业厂界环境噪声排放标准》。</w:t>
                  </w:r>
                </w:p>
              </w:tc>
              <w:tc>
                <w:tcPr>
                  <w:tcW w:w="193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项目噪声主要来自</w:t>
                  </w:r>
                  <w:r>
                    <w:rPr>
                      <w:rFonts w:hint="eastAsia" w:cs="Times New Roman"/>
                      <w:color w:val="auto"/>
                      <w:sz w:val="21"/>
                      <w:szCs w:val="21"/>
                      <w:highlight w:val="none"/>
                      <w:u w:val="none" w:color="auto"/>
                      <w:lang w:val="en-US" w:eastAsia="zh-CN"/>
                    </w:rPr>
                    <w:t>机器设备</w:t>
                  </w:r>
                  <w:r>
                    <w:rPr>
                      <w:rFonts w:hint="default" w:ascii="Times New Roman" w:hAnsi="Times New Roman" w:eastAsia="宋体" w:cs="Times New Roman"/>
                      <w:color w:val="auto"/>
                      <w:sz w:val="21"/>
                      <w:szCs w:val="21"/>
                      <w:highlight w:val="none"/>
                      <w:u w:val="none" w:color="auto"/>
                    </w:rPr>
                    <w:t>等，无大的强噪声源，经减振、消声、隔声后，厂房外噪声级得到较好控制，厂界处能达标排放。</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符合</w:t>
                  </w:r>
                </w:p>
              </w:tc>
            </w:tr>
          </w:tbl>
          <w:p>
            <w:pPr>
              <w:autoSpaceDE w:val="0"/>
              <w:autoSpaceDN w:val="0"/>
              <w:adjustRightInd w:val="0"/>
              <w:snapToGrid w:val="0"/>
              <w:spacing w:line="500" w:lineRule="exact"/>
              <w:ind w:firstLine="481"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6、</w:t>
            </w:r>
            <w:r>
              <w:rPr>
                <w:rFonts w:hint="default" w:ascii="Times New Roman" w:hAnsi="Times New Roman" w:eastAsia="宋体" w:cs="Times New Roman"/>
                <w:b/>
                <w:bCs/>
                <w:color w:val="auto"/>
                <w:kern w:val="0"/>
                <w:highlight w:val="none"/>
                <w:u w:val="none" w:color="auto"/>
              </w:rPr>
              <w:t>与《废塑料回收技术规范》（</w:t>
            </w:r>
            <w:r>
              <w:rPr>
                <w:rFonts w:hint="default" w:ascii="Times New Roman" w:hAnsi="Times New Roman" w:eastAsia="宋体" w:cs="Times New Roman"/>
                <w:b/>
                <w:bCs/>
                <w:color w:val="auto"/>
                <w:kern w:val="0"/>
                <w:highlight w:val="none"/>
                <w:u w:val="none" w:color="auto"/>
                <w:lang w:eastAsia="zh-CN"/>
              </w:rPr>
              <w:t>GB/T39171-2020</w:t>
            </w:r>
            <w:r>
              <w:rPr>
                <w:rFonts w:hint="default" w:ascii="Times New Roman" w:hAnsi="Times New Roman" w:eastAsia="宋体" w:cs="Times New Roman"/>
                <w:b/>
                <w:bCs/>
                <w:color w:val="auto"/>
                <w:kern w:val="0"/>
                <w:highlight w:val="none"/>
                <w:u w:val="none" w:color="auto"/>
              </w:rPr>
              <w:t>）符合性分析</w:t>
            </w:r>
          </w:p>
          <w:p>
            <w:pPr>
              <w:autoSpaceDE w:val="0"/>
              <w:autoSpaceDN w:val="0"/>
              <w:adjustRightInd w:val="0"/>
              <w:snapToGrid w:val="0"/>
              <w:spacing w:line="500" w:lineRule="exact"/>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本项目为与《</w:t>
            </w:r>
            <w:r>
              <w:rPr>
                <w:rFonts w:hint="default" w:ascii="Times New Roman" w:hAnsi="Times New Roman" w:eastAsia="宋体" w:cs="Times New Roman"/>
                <w:color w:val="auto"/>
                <w:kern w:val="0"/>
                <w:highlight w:val="none"/>
                <w:u w:val="none" w:color="auto"/>
                <w:lang w:eastAsia="zh-CN"/>
              </w:rPr>
              <w:t>废塑料回收技术规范</w:t>
            </w:r>
            <w:r>
              <w:rPr>
                <w:rFonts w:hint="default" w:ascii="Times New Roman" w:hAnsi="Times New Roman" w:eastAsia="宋体" w:cs="Times New Roman"/>
                <w:color w:val="auto"/>
                <w:kern w:val="0"/>
                <w:highlight w:val="none"/>
                <w:u w:val="none" w:color="auto"/>
              </w:rPr>
              <w:t>》（</w:t>
            </w:r>
            <w:r>
              <w:rPr>
                <w:rFonts w:hint="default" w:ascii="Times New Roman" w:hAnsi="Times New Roman" w:eastAsia="宋体" w:cs="Times New Roman"/>
                <w:color w:val="auto"/>
                <w:kern w:val="0"/>
                <w:highlight w:val="none"/>
                <w:u w:val="none" w:color="auto"/>
                <w:lang w:eastAsia="zh-CN"/>
              </w:rPr>
              <w:t>GB/T39171-2020</w:t>
            </w:r>
            <w:r>
              <w:rPr>
                <w:rFonts w:hint="default" w:ascii="Times New Roman" w:hAnsi="Times New Roman" w:eastAsia="宋体" w:cs="Times New Roman"/>
                <w:color w:val="auto"/>
                <w:kern w:val="0"/>
                <w:highlight w:val="none"/>
                <w:u w:val="none" w:color="auto"/>
              </w:rPr>
              <w:t>）中相关要求的符合性分析具体见下表。</w:t>
            </w:r>
          </w:p>
          <w:p>
            <w:pPr>
              <w:autoSpaceDE w:val="0"/>
              <w:autoSpaceDN w:val="0"/>
              <w:adjustRightInd w:val="0"/>
              <w:snapToGrid w:val="0"/>
              <w:spacing w:line="500" w:lineRule="exact"/>
              <w:jc w:val="center"/>
              <w:rPr>
                <w:rFonts w:hint="default" w:ascii="Times New Roman" w:hAnsi="Times New Roman" w:eastAsia="宋体" w:cs="Times New Roman"/>
                <w:b/>
                <w:bCs/>
                <w:color w:val="auto"/>
                <w:kern w:val="0"/>
                <w:highlight w:val="none"/>
                <w:u w:val="single" w:color="auto"/>
              </w:rPr>
            </w:pPr>
            <w:r>
              <w:rPr>
                <w:rFonts w:hint="default" w:ascii="Times New Roman" w:hAnsi="Times New Roman" w:eastAsia="宋体" w:cs="Times New Roman"/>
                <w:b/>
                <w:color w:val="auto"/>
                <w:sz w:val="21"/>
                <w:szCs w:val="21"/>
                <w:highlight w:val="none"/>
                <w:u w:val="single" w:color="auto"/>
              </w:rPr>
              <w:t>表1-</w:t>
            </w:r>
            <w:r>
              <w:rPr>
                <w:rFonts w:hint="eastAsia" w:cs="Times New Roman"/>
                <w:b/>
                <w:color w:val="auto"/>
                <w:sz w:val="21"/>
                <w:szCs w:val="21"/>
                <w:highlight w:val="none"/>
                <w:u w:val="single" w:color="auto"/>
                <w:lang w:val="en-US" w:eastAsia="zh-CN"/>
              </w:rPr>
              <w:t>9</w:t>
            </w:r>
            <w:r>
              <w:rPr>
                <w:rFonts w:hint="default" w:ascii="Times New Roman" w:hAnsi="Times New Roman" w:eastAsia="宋体" w:cs="Times New Roman"/>
                <w:b/>
                <w:color w:val="auto"/>
                <w:sz w:val="21"/>
                <w:szCs w:val="21"/>
                <w:highlight w:val="none"/>
                <w:u w:val="single" w:color="auto"/>
              </w:rPr>
              <w:t xml:space="preserve"> 《废塑料回收技术规范》的相符性分析</w:t>
            </w:r>
          </w:p>
          <w:tbl>
            <w:tblPr>
              <w:tblStyle w:val="42"/>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45"/>
              <w:gridCol w:w="3024"/>
              <w:gridCol w:w="2743"/>
              <w:gridCol w:w="9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序</w:t>
                  </w:r>
                </w:p>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号</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eastAsia="zh-CN"/>
                    </w:rPr>
                    <w:t>废塑料回收技术规范</w:t>
                  </w:r>
                  <w:r>
                    <w:rPr>
                      <w:rFonts w:hint="default" w:ascii="Times New Roman" w:hAnsi="Times New Roman" w:eastAsia="宋体" w:cs="Times New Roman"/>
                      <w:color w:val="auto"/>
                      <w:sz w:val="21"/>
                      <w:szCs w:val="21"/>
                      <w:highlight w:val="none"/>
                      <w:u w:val="single" w:color="auto"/>
                    </w:rPr>
                    <w:t>》要求</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项目落实情况</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是否符合要求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一、</w:t>
                  </w:r>
                  <w:r>
                    <w:rPr>
                      <w:rFonts w:hint="default" w:ascii="Times New Roman" w:hAnsi="Times New Roman" w:eastAsia="宋体" w:cs="Times New Roman"/>
                      <w:color w:val="auto"/>
                      <w:sz w:val="21"/>
                      <w:szCs w:val="21"/>
                      <w:highlight w:val="none"/>
                      <w:u w:val="single" w:color="auto"/>
                      <w:lang w:val="en-US" w:eastAsia="zh-CN"/>
                    </w:rPr>
                    <w:t>总体要求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应建立环境污染预防机制和处理环境污染事故的应急预案制度。</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项目将</w:t>
                  </w:r>
                  <w:r>
                    <w:rPr>
                      <w:rFonts w:hint="default" w:ascii="Times New Roman" w:hAnsi="Times New Roman" w:eastAsia="宋体" w:cs="Times New Roman"/>
                      <w:color w:val="auto"/>
                      <w:sz w:val="21"/>
                      <w:szCs w:val="21"/>
                      <w:highlight w:val="none"/>
                      <w:u w:val="single" w:color="auto"/>
                    </w:rPr>
                    <w:t>建立环境污染预防机制和处理环境污染事故的应急预案制度</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lang w:val="en-US" w:eastAsia="zh-CN"/>
                    </w:rPr>
                    <w:t>编制环境风险应急预案</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宜建立废塑料回收信息管理制度，记录每批次废塑料的回收时间、地点、来源、数量、种类、分拣后废塑料流向、交易情况等信息，并保存有关信息至少两年</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项目生产过程中将</w:t>
                  </w:r>
                  <w:r>
                    <w:rPr>
                      <w:rFonts w:hint="default" w:ascii="Times New Roman" w:hAnsi="Times New Roman" w:eastAsia="宋体" w:cs="Times New Roman"/>
                      <w:color w:val="auto"/>
                      <w:sz w:val="21"/>
                      <w:szCs w:val="21"/>
                      <w:highlight w:val="none"/>
                      <w:u w:val="single" w:color="auto"/>
                    </w:rPr>
                    <w:t>建立废塑料回收信息管理制度，记录每批次废塑料的回收时间、地点、来源、数量、种类、分拣后废塑料流向、交易情况等信息，并保存有关信息至少两年</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废塑料分拣企业应具备排污许可证。</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项目将按要求办理</w:t>
                  </w:r>
                  <w:r>
                    <w:rPr>
                      <w:rFonts w:hint="default" w:ascii="Times New Roman" w:hAnsi="Times New Roman" w:eastAsia="宋体" w:cs="Times New Roman"/>
                      <w:color w:val="auto"/>
                      <w:sz w:val="21"/>
                      <w:szCs w:val="21"/>
                      <w:highlight w:val="none"/>
                      <w:u w:val="single" w:color="auto"/>
                    </w:rPr>
                    <w:t>排污许可证</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4</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废塑料回收过程中产生或夹杂的危险废物，或根据国家规定的危险废物鉴别标准和鉴别方法认定为危险废物的，应交由有相关处理资质的单位进行处理。</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项目生产过程中产生的危险废物分类收集后暂存于危废暂存间，交由有资质的单位处理</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二、</w:t>
                  </w:r>
                  <w:r>
                    <w:rPr>
                      <w:rFonts w:hint="default" w:ascii="Times New Roman" w:hAnsi="Times New Roman" w:eastAsia="宋体" w:cs="Times New Roman"/>
                      <w:color w:val="auto"/>
                      <w:sz w:val="21"/>
                      <w:szCs w:val="21"/>
                      <w:highlight w:val="none"/>
                      <w:u w:val="single" w:color="auto"/>
                      <w:lang w:val="en-US" w:eastAsia="zh-CN"/>
                    </w:rPr>
                    <w:t>收集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应按废塑料的种类进行分类收集。废塑料分类及相应原生塑料应用参见附录</w:t>
                  </w:r>
                  <w:r>
                    <w:rPr>
                      <w:rFonts w:hint="eastAsia" w:cs="Times New Roman"/>
                      <w:color w:val="auto"/>
                      <w:sz w:val="21"/>
                      <w:szCs w:val="21"/>
                      <w:highlight w:val="none"/>
                      <w:u w:val="single" w:color="auto"/>
                      <w:lang w:val="en-US" w:eastAsia="zh-CN"/>
                    </w:rPr>
                    <w:t>A</w:t>
                  </w:r>
                  <w:r>
                    <w:rPr>
                      <w:rFonts w:hint="default" w:ascii="Times New Roman" w:hAnsi="Times New Roman" w:eastAsia="宋体" w:cs="Times New Roman"/>
                      <w:color w:val="auto"/>
                      <w:sz w:val="21"/>
                      <w:szCs w:val="21"/>
                      <w:highlight w:val="none"/>
                      <w:u w:val="single" w:color="auto"/>
                    </w:rPr>
                    <w:t>的表</w:t>
                  </w:r>
                  <w:r>
                    <w:rPr>
                      <w:rFonts w:hint="eastAsia" w:cs="Times New Roman"/>
                      <w:color w:val="auto"/>
                      <w:sz w:val="21"/>
                      <w:szCs w:val="21"/>
                      <w:highlight w:val="none"/>
                      <w:u w:val="single" w:color="auto"/>
                      <w:lang w:val="en-US" w:eastAsia="zh-CN"/>
                    </w:rPr>
                    <w:t>A.1</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项目按废塑料种类分类存放</w:t>
                  </w:r>
                  <w:r>
                    <w:rPr>
                      <w:rFonts w:hint="default" w:ascii="Times New Roman" w:hAnsi="Times New Roman" w:eastAsia="宋体" w:cs="Times New Roman"/>
                      <w:color w:val="auto"/>
                      <w:sz w:val="21"/>
                      <w:szCs w:val="21"/>
                      <w:highlight w:val="none"/>
                      <w:u w:val="single" w:color="auto"/>
                      <w:lang w:val="en-US" w:eastAsia="zh-CN"/>
                    </w:rPr>
                    <w:t>。</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废塑料收集过程中应包装完整，避免遗撒。</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项目废塑料采用袋装</w:t>
                  </w:r>
                  <w:r>
                    <w:rPr>
                      <w:rFonts w:hint="eastAsia" w:cs="Times New Roman"/>
                      <w:color w:val="auto"/>
                      <w:sz w:val="21"/>
                      <w:szCs w:val="21"/>
                      <w:highlight w:val="none"/>
                      <w:u w:val="single" w:color="auto"/>
                      <w:lang w:val="en-US" w:eastAsia="zh-CN"/>
                    </w:rPr>
                    <w:t>，包装完整。</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3</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废塑料收集过程中不得就地清洗。</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项目废塑料收集后在项目厂区内进行清洗，不在收集地就地清洗</w:t>
                  </w:r>
                  <w:r>
                    <w:rPr>
                      <w:rFonts w:hint="eastAsia" w:cs="Times New Roman"/>
                      <w:color w:val="auto"/>
                      <w:sz w:val="21"/>
                      <w:szCs w:val="21"/>
                      <w:highlight w:val="none"/>
                      <w:u w:val="single" w:color="auto"/>
                      <w:lang w:val="en-US" w:eastAsia="zh-CN"/>
                    </w:rPr>
                    <w:t>。</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废塑料收集过程中应使用机械破碎技术进行减容处理，并配备相应的防尘、防噪声措施</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本项目破碎采用湿法破碎，减振隔声。</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三、分拣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废塑料宜按废通用塑料、废通用工程塑料、废特种工程塑料、废塑料合金（共混物）和废热固性塑料进行分类，并按国家相关规定分别进行处理。</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本项目废塑料分类暂存，分别处理。</w:t>
                  </w:r>
                </w:p>
              </w:tc>
              <w:tc>
                <w:tcPr>
                  <w:tcW w:w="687" w:type="pct"/>
                  <w:tcBorders>
                    <w:tl2br w:val="nil"/>
                    <w:tr2bl w:val="nil"/>
                  </w:tcBorders>
                  <w:vAlign w:val="center"/>
                </w:tcPr>
                <w:p>
                  <w:pPr>
                    <w:spacing w:line="240" w:lineRule="auto"/>
                    <w:jc w:val="center"/>
                    <w:rPr>
                      <w:rFonts w:hint="eastAsia"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分选应遵循稳定、无二次污染的原则，根据废塑料特点，宜使用静电分选、近红外分选、Ｘ射线荧光分选、气流分选、重介质分选、熔融过滤分选、低温破碎分选及其他新型的自动化分选等单一和集成化分选技术。</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本项目采用静电分选</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废塑料分拣过程中如使用强酸脱除废塑料表面涂层或镀层，应配套酸碱中和工艺和污水处理设施。</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项目废塑料分拣过程中不使用强酸</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废塑料分选过程中宜选出单一组分，达到后期高值化再生利用的要求；不能选出单一组分的，以不影响整体再利用为限；现有方法完全不能分离的，作为不可利用固体废物进行处置。</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本项目分选产生的沉渣，作为固废处置</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破碎废塑料应采用干法破碎技术，并采取相应的防尘、防噪声措施，产生的噪声应符合</w:t>
                  </w:r>
                  <w:r>
                    <w:rPr>
                      <w:rFonts w:hint="eastAsia" w:cs="Times New Roman"/>
                      <w:color w:val="auto"/>
                      <w:sz w:val="21"/>
                      <w:szCs w:val="21"/>
                      <w:highlight w:val="none"/>
                      <w:u w:val="single" w:color="auto"/>
                      <w:lang w:val="en-US" w:eastAsia="zh-CN"/>
                    </w:rPr>
                    <w:t>GB12348</w:t>
                  </w:r>
                  <w:r>
                    <w:rPr>
                      <w:rFonts w:hint="default" w:ascii="Times New Roman" w:hAnsi="Times New Roman" w:eastAsia="宋体" w:cs="Times New Roman"/>
                      <w:color w:val="auto"/>
                      <w:sz w:val="21"/>
                      <w:szCs w:val="21"/>
                      <w:highlight w:val="none"/>
                      <w:u w:val="single" w:color="auto"/>
                    </w:rPr>
                    <w:t>的有关规定，处理后的粉尘应符合</w:t>
                  </w:r>
                  <w:r>
                    <w:rPr>
                      <w:rFonts w:hint="eastAsia" w:cs="Times New Roman"/>
                      <w:color w:val="auto"/>
                      <w:sz w:val="21"/>
                      <w:szCs w:val="21"/>
                      <w:highlight w:val="none"/>
                      <w:u w:val="single" w:color="auto"/>
                      <w:lang w:val="en-US" w:eastAsia="zh-CN"/>
                    </w:rPr>
                    <w:t>GB16297</w:t>
                  </w:r>
                  <w:r>
                    <w:rPr>
                      <w:rFonts w:hint="default" w:ascii="Times New Roman" w:hAnsi="Times New Roman" w:eastAsia="宋体" w:cs="Times New Roman"/>
                      <w:color w:val="auto"/>
                      <w:sz w:val="21"/>
                      <w:szCs w:val="21"/>
                      <w:highlight w:val="none"/>
                      <w:u w:val="single" w:color="auto"/>
                    </w:rPr>
                    <w:t>的有关规定；湿法破碎应配套污水收集处理设施。</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项目采用湿法破碎，</w:t>
                  </w:r>
                  <w:r>
                    <w:rPr>
                      <w:rFonts w:hint="eastAsia" w:cs="Times New Roman"/>
                      <w:color w:val="auto"/>
                      <w:sz w:val="21"/>
                      <w:szCs w:val="21"/>
                      <w:highlight w:val="none"/>
                      <w:u w:val="single" w:color="auto"/>
                      <w:lang w:val="en-US" w:eastAsia="zh-CN"/>
                    </w:rPr>
                    <w:t>产生的废水经沉淀池沉淀处理后有限回用，外排部分依托湖南中塑新材料科技有限公司污水处理设施处理达标后，最终排入汨罗高新区再生材料产业园污水处理厂。</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废塑料的清洗场地应做防水、防渗漏处理，有特殊要求的地面应做防腐蚀处理。</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项目废塑料的清洗场地将做防水、防渗漏处理</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废塑料的清洗方法可分为物理清洗和化学清洗，应根据废塑料来源和污染情况选择清洗工艺；宜采用高效节水的机械清洗技术和无磷清洗剂，不得使用有毒有害的化学清洗剂。</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项目主要采用水洗，为物理清洗，不使用有毒有害的化学清洗剂</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分拣后的废塑料应采用独立完整的包装。</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项目分拣完成后的</w:t>
                  </w:r>
                  <w:r>
                    <w:rPr>
                      <w:rFonts w:hint="eastAsia" w:cs="Times New Roman"/>
                      <w:color w:val="auto"/>
                      <w:sz w:val="21"/>
                      <w:szCs w:val="21"/>
                      <w:highlight w:val="none"/>
                      <w:u w:val="single" w:color="auto"/>
                      <w:lang w:val="en-US" w:eastAsia="zh-CN"/>
                    </w:rPr>
                    <w:t>产品采用独立完整的包装。</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废塑料分拣过程中产生的废水，应进行污水净化处理，处理后的水应作为中水循环再利用；污水排放应符合</w:t>
                  </w:r>
                  <w:r>
                    <w:rPr>
                      <w:rFonts w:hint="eastAsia" w:cs="Times New Roman"/>
                      <w:color w:val="auto"/>
                      <w:sz w:val="21"/>
                      <w:szCs w:val="21"/>
                      <w:highlight w:val="none"/>
                      <w:u w:val="single" w:color="auto"/>
                      <w:lang w:val="en-US" w:eastAsia="zh-CN"/>
                    </w:rPr>
                    <w:t>GB8978</w:t>
                  </w:r>
                  <w:r>
                    <w:rPr>
                      <w:rFonts w:hint="default" w:ascii="Times New Roman" w:hAnsi="Times New Roman" w:eastAsia="宋体" w:cs="Times New Roman"/>
                      <w:color w:val="auto"/>
                      <w:sz w:val="21"/>
                      <w:szCs w:val="21"/>
                      <w:highlight w:val="none"/>
                      <w:u w:val="single" w:color="auto"/>
                    </w:rPr>
                    <w:t>或地方相关标准的有关规定。</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分拣过程中产生的废水经沉淀后有限回用，外排部分依托湖南中塑新材料科技有限公司污水处理设施处理达标后，最终排入汨罗高新区再生材料产业园污水处理厂，处理后的污水回用于再生材料产业园企业。</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四、贮存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废塑料贮存场地应符合</w:t>
                  </w:r>
                  <w:r>
                    <w:rPr>
                      <w:rFonts w:hint="eastAsia" w:cs="Times New Roman"/>
                      <w:color w:val="auto"/>
                      <w:sz w:val="21"/>
                      <w:szCs w:val="21"/>
                      <w:highlight w:val="none"/>
                      <w:u w:val="single" w:color="auto"/>
                      <w:lang w:val="en-US" w:eastAsia="zh-CN"/>
                    </w:rPr>
                    <w:t>GB18599</w:t>
                  </w:r>
                  <w:r>
                    <w:rPr>
                      <w:rFonts w:hint="default" w:ascii="Times New Roman" w:hAnsi="Times New Roman" w:eastAsia="宋体" w:cs="Times New Roman"/>
                      <w:color w:val="auto"/>
                      <w:sz w:val="21"/>
                      <w:szCs w:val="21"/>
                      <w:highlight w:val="none"/>
                      <w:u w:val="single" w:color="auto"/>
                    </w:rPr>
                    <w:t>的有关规定。</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废塑料贮存场地按照</w:t>
                  </w:r>
                  <w:r>
                    <w:rPr>
                      <w:rFonts w:hint="eastAsia" w:cs="Times New Roman"/>
                      <w:color w:val="auto"/>
                      <w:sz w:val="21"/>
                      <w:szCs w:val="21"/>
                      <w:highlight w:val="none"/>
                      <w:u w:val="single" w:color="auto"/>
                      <w:lang w:val="en-US" w:eastAsia="zh-CN"/>
                    </w:rPr>
                    <w:t>GB18599</w:t>
                  </w:r>
                  <w:r>
                    <w:rPr>
                      <w:rFonts w:hint="default" w:ascii="Times New Roman" w:hAnsi="Times New Roman" w:eastAsia="宋体" w:cs="Times New Roman"/>
                      <w:color w:val="auto"/>
                      <w:sz w:val="21"/>
                      <w:szCs w:val="21"/>
                      <w:highlight w:val="none"/>
                      <w:u w:val="single" w:color="auto"/>
                    </w:rPr>
                    <w:t>的有关规定</w:t>
                  </w:r>
                  <w:r>
                    <w:rPr>
                      <w:rFonts w:hint="default" w:ascii="Times New Roman" w:hAnsi="Times New Roman" w:eastAsia="宋体" w:cs="Times New Roman"/>
                      <w:color w:val="auto"/>
                      <w:sz w:val="21"/>
                      <w:szCs w:val="21"/>
                      <w:highlight w:val="none"/>
                      <w:u w:val="single" w:color="auto"/>
                      <w:lang w:val="en-US" w:eastAsia="zh-CN"/>
                    </w:rPr>
                    <w:t>进行</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不同种类的废塑料应分开存放，并在显著位置设有标识。</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项目不同种类的废塑料将分开存放，并在显著位置设置标识</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废塑料应存放在封闭或半封闭的环境中，并设有防火、防雨、防晒、防渗、防扬散措施，避免露天堆放。</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本项目废塑料存放在车间内，设有防火、防雨、防晒、防渗、</w:t>
                  </w:r>
                  <w:r>
                    <w:rPr>
                      <w:rFonts w:hint="default" w:ascii="Times New Roman" w:hAnsi="Times New Roman" w:eastAsia="宋体" w:cs="Times New Roman"/>
                      <w:color w:val="auto"/>
                      <w:sz w:val="21"/>
                      <w:szCs w:val="21"/>
                      <w:highlight w:val="none"/>
                      <w:u w:val="single" w:color="auto"/>
                    </w:rPr>
                    <w:t>防扬散措施</w:t>
                  </w:r>
                  <w:r>
                    <w:rPr>
                      <w:rFonts w:hint="eastAsia" w:cs="Times New Roman"/>
                      <w:color w:val="auto"/>
                      <w:sz w:val="21"/>
                      <w:szCs w:val="21"/>
                      <w:highlight w:val="none"/>
                      <w:u w:val="single" w:color="auto"/>
                      <w:lang w:eastAsia="zh-CN"/>
                    </w:rPr>
                    <w:t>。</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废塑料贮存场所应符合</w:t>
                  </w:r>
                  <w:r>
                    <w:rPr>
                      <w:rFonts w:hint="eastAsia" w:cs="Times New Roman"/>
                      <w:color w:val="auto"/>
                      <w:sz w:val="21"/>
                      <w:szCs w:val="21"/>
                      <w:highlight w:val="none"/>
                      <w:u w:val="single" w:color="auto"/>
                      <w:lang w:val="en-US" w:eastAsia="zh-CN"/>
                    </w:rPr>
                    <w:t>GB50016</w:t>
                  </w:r>
                  <w:r>
                    <w:rPr>
                      <w:rFonts w:hint="default" w:ascii="Times New Roman" w:hAnsi="Times New Roman" w:eastAsia="宋体" w:cs="Times New Roman"/>
                      <w:color w:val="auto"/>
                      <w:sz w:val="21"/>
                      <w:szCs w:val="21"/>
                      <w:highlight w:val="none"/>
                      <w:u w:val="single" w:color="auto"/>
                    </w:rPr>
                    <w:t>的有关规定。</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项目场所将按照</w:t>
                  </w:r>
                  <w:r>
                    <w:rPr>
                      <w:rFonts w:hint="eastAsia" w:cs="Times New Roman"/>
                      <w:color w:val="auto"/>
                      <w:sz w:val="21"/>
                      <w:szCs w:val="21"/>
                      <w:highlight w:val="none"/>
                      <w:u w:val="single" w:color="auto"/>
                      <w:lang w:val="en-US" w:eastAsia="zh-CN"/>
                    </w:rPr>
                    <w:t>GB50016</w:t>
                  </w:r>
                  <w:r>
                    <w:rPr>
                      <w:rFonts w:hint="default" w:ascii="Times New Roman" w:hAnsi="Times New Roman" w:eastAsia="宋体" w:cs="Times New Roman"/>
                      <w:color w:val="auto"/>
                      <w:sz w:val="21"/>
                      <w:szCs w:val="21"/>
                      <w:highlight w:val="none"/>
                      <w:u w:val="single" w:color="auto"/>
                    </w:rPr>
                    <w:t>的有关规定</w:t>
                  </w:r>
                  <w:r>
                    <w:rPr>
                      <w:rFonts w:hint="default" w:ascii="Times New Roman" w:hAnsi="Times New Roman" w:eastAsia="宋体" w:cs="Times New Roman"/>
                      <w:color w:val="auto"/>
                      <w:sz w:val="21"/>
                      <w:szCs w:val="21"/>
                      <w:highlight w:val="none"/>
                      <w:u w:val="single" w:color="auto"/>
                      <w:lang w:val="en-US" w:eastAsia="zh-CN"/>
                    </w:rPr>
                    <w:t>落实防火设计</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废塑料贮存场所应配备消防设施，消防器材配备应按</w:t>
                  </w:r>
                  <w:r>
                    <w:rPr>
                      <w:rFonts w:hint="eastAsia" w:cs="Times New Roman"/>
                      <w:color w:val="auto"/>
                      <w:sz w:val="21"/>
                      <w:szCs w:val="21"/>
                      <w:highlight w:val="none"/>
                      <w:u w:val="single" w:color="auto"/>
                      <w:lang w:val="en-US" w:eastAsia="zh-CN"/>
                    </w:rPr>
                    <w:t>GB50140</w:t>
                  </w:r>
                  <w:r>
                    <w:rPr>
                      <w:rFonts w:hint="default" w:ascii="Times New Roman" w:hAnsi="Times New Roman" w:eastAsia="宋体" w:cs="Times New Roman"/>
                      <w:color w:val="auto"/>
                      <w:sz w:val="21"/>
                      <w:szCs w:val="21"/>
                      <w:highlight w:val="none"/>
                      <w:u w:val="single" w:color="auto"/>
                    </w:rPr>
                    <w:t>的有关规定执行，消防供水网和消防栓应采取防冻措施，应安装消防报警设备。</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废塑料贮存场所建成后需配备消防设施，消防器材配备应按 GB50140 的有关规定执行，消防供水网和消防栓采取防冻措施，安装消防报警设备</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5000" w:type="pct"/>
                  <w:gridSpan w:val="4"/>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五、运输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废塑料运输过程中应打包完整或采用封闭的运输工具，防止遗撒。</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废塑料运输过程中</w:t>
                  </w:r>
                  <w:r>
                    <w:rPr>
                      <w:rFonts w:hint="default" w:ascii="Times New Roman" w:hAnsi="Times New Roman" w:eastAsia="宋体" w:cs="Times New Roman"/>
                      <w:color w:val="auto"/>
                      <w:sz w:val="21"/>
                      <w:szCs w:val="21"/>
                      <w:highlight w:val="none"/>
                      <w:u w:val="single" w:color="auto"/>
                      <w:lang w:val="en-US" w:eastAsia="zh-CN"/>
                    </w:rPr>
                    <w:t>采用袋装，</w:t>
                  </w:r>
                  <w:r>
                    <w:rPr>
                      <w:rFonts w:hint="default" w:ascii="Times New Roman" w:hAnsi="Times New Roman" w:eastAsia="宋体" w:cs="Times New Roman"/>
                      <w:color w:val="auto"/>
                      <w:sz w:val="21"/>
                      <w:szCs w:val="21"/>
                      <w:highlight w:val="none"/>
                      <w:u w:val="single" w:color="auto"/>
                    </w:rPr>
                    <w:t>打包完整</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废塑料包装物应防晒、防火、防高温，并在装卸、运输过程中应确保包装完好，无遗撒。</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废塑料采用袋装，包装袋</w:t>
                  </w:r>
                  <w:r>
                    <w:rPr>
                      <w:rFonts w:hint="default" w:ascii="Times New Roman" w:hAnsi="Times New Roman" w:eastAsia="宋体" w:cs="Times New Roman"/>
                      <w:color w:val="auto"/>
                      <w:sz w:val="21"/>
                      <w:szCs w:val="21"/>
                      <w:highlight w:val="none"/>
                      <w:u w:val="single" w:color="auto"/>
                    </w:rPr>
                    <w:t>防晒、防火、防高温</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lang w:val="en-US" w:eastAsia="zh-CN"/>
                    </w:rPr>
                    <w:t>并确保包装完好</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废塑料包装物表面应有标明种类、来源、原用途和去向等信息的标识，标识应清晰、易于识别、不易擦掉。</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废塑料包装物表面将</w:t>
                  </w:r>
                  <w:r>
                    <w:rPr>
                      <w:rFonts w:hint="default" w:ascii="Times New Roman" w:hAnsi="Times New Roman" w:eastAsia="宋体" w:cs="Times New Roman"/>
                      <w:color w:val="auto"/>
                      <w:sz w:val="21"/>
                      <w:szCs w:val="21"/>
                      <w:highlight w:val="none"/>
                      <w:u w:val="single" w:color="auto"/>
                    </w:rPr>
                    <w:t>标明种类、来源、原用途和去向等信息的标识，标识应清晰、易于识别、不易擦掉。</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24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213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废塑料运输工具在运输途中不得超高、超宽、超载。</w:t>
                  </w:r>
                </w:p>
              </w:tc>
              <w:tc>
                <w:tcPr>
                  <w:tcW w:w="193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废塑料运输工具在运输途中</w:t>
                  </w:r>
                  <w:r>
                    <w:rPr>
                      <w:rFonts w:hint="default" w:ascii="Times New Roman" w:hAnsi="Times New Roman" w:eastAsia="宋体" w:cs="Times New Roman"/>
                      <w:color w:val="auto"/>
                      <w:sz w:val="21"/>
                      <w:szCs w:val="21"/>
                      <w:highlight w:val="none"/>
                      <w:u w:val="single" w:color="auto"/>
                      <w:lang w:val="en-US" w:eastAsia="zh-CN"/>
                    </w:rPr>
                    <w:t>将按照规范要求，</w:t>
                  </w:r>
                  <w:r>
                    <w:rPr>
                      <w:rFonts w:hint="default" w:ascii="Times New Roman" w:hAnsi="Times New Roman" w:eastAsia="宋体" w:cs="Times New Roman"/>
                      <w:color w:val="auto"/>
                      <w:sz w:val="21"/>
                      <w:szCs w:val="21"/>
                      <w:highlight w:val="none"/>
                      <w:u w:val="single" w:color="auto"/>
                    </w:rPr>
                    <w:t>不超高、超宽、超载。</w:t>
                  </w:r>
                </w:p>
              </w:tc>
              <w:tc>
                <w:tcPr>
                  <w:tcW w:w="68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符合</w:t>
                  </w:r>
                </w:p>
              </w:tc>
            </w:tr>
          </w:tbl>
          <w:p>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single" w:color="auto"/>
                <w:lang w:eastAsia="zh-CN"/>
              </w:rPr>
            </w:pPr>
            <w:r>
              <w:rPr>
                <w:rFonts w:hint="default" w:ascii="Times New Roman" w:hAnsi="Times New Roman" w:eastAsia="宋体" w:cs="Times New Roman"/>
                <w:color w:val="auto"/>
                <w:kern w:val="0"/>
                <w:sz w:val="24"/>
                <w:szCs w:val="24"/>
                <w:highlight w:val="none"/>
                <w:u w:val="single" w:color="auto"/>
                <w:lang w:val="en-US" w:eastAsia="zh-CN"/>
              </w:rPr>
              <w:t>综上所述，项目符合</w:t>
            </w:r>
            <w:r>
              <w:rPr>
                <w:rFonts w:hint="default" w:ascii="Times New Roman" w:hAnsi="Times New Roman" w:eastAsia="宋体" w:cs="Times New Roman"/>
                <w:color w:val="auto"/>
                <w:kern w:val="0"/>
                <w:sz w:val="24"/>
                <w:szCs w:val="24"/>
                <w:highlight w:val="none"/>
                <w:u w:val="single" w:color="auto"/>
              </w:rPr>
              <w:t>《</w:t>
            </w:r>
            <w:r>
              <w:rPr>
                <w:rFonts w:hint="default" w:ascii="Times New Roman" w:hAnsi="Times New Roman" w:eastAsia="宋体" w:cs="Times New Roman"/>
                <w:color w:val="auto"/>
                <w:kern w:val="0"/>
                <w:sz w:val="24"/>
                <w:szCs w:val="24"/>
                <w:highlight w:val="none"/>
                <w:u w:val="single" w:color="auto"/>
                <w:lang w:eastAsia="zh-CN"/>
              </w:rPr>
              <w:t>废塑料回收技术规范</w:t>
            </w:r>
            <w:r>
              <w:rPr>
                <w:rFonts w:hint="default" w:ascii="Times New Roman" w:hAnsi="Times New Roman" w:eastAsia="宋体" w:cs="Times New Roman"/>
                <w:color w:val="auto"/>
                <w:kern w:val="0"/>
                <w:sz w:val="24"/>
                <w:szCs w:val="24"/>
                <w:highlight w:val="none"/>
                <w:u w:val="single" w:color="auto"/>
              </w:rPr>
              <w:t>》（</w:t>
            </w:r>
            <w:r>
              <w:rPr>
                <w:rFonts w:hint="default" w:ascii="Times New Roman" w:hAnsi="Times New Roman" w:eastAsia="宋体" w:cs="Times New Roman"/>
                <w:color w:val="auto"/>
                <w:kern w:val="0"/>
                <w:sz w:val="24"/>
                <w:szCs w:val="24"/>
                <w:highlight w:val="none"/>
                <w:u w:val="single" w:color="auto"/>
                <w:lang w:eastAsia="zh-CN"/>
              </w:rPr>
              <w:t>GB/T39171-2020</w:t>
            </w:r>
            <w:r>
              <w:rPr>
                <w:rFonts w:hint="default" w:ascii="Times New Roman" w:hAnsi="Times New Roman" w:eastAsia="宋体" w:cs="Times New Roman"/>
                <w:color w:val="auto"/>
                <w:kern w:val="0"/>
                <w:sz w:val="24"/>
                <w:szCs w:val="24"/>
                <w:highlight w:val="none"/>
                <w:u w:val="single" w:color="auto"/>
              </w:rPr>
              <w:t>）中相关要求</w:t>
            </w:r>
            <w:r>
              <w:rPr>
                <w:rFonts w:hint="default" w:ascii="Times New Roman" w:hAnsi="Times New Roman" w:eastAsia="宋体" w:cs="Times New Roman"/>
                <w:color w:val="auto"/>
                <w:kern w:val="0"/>
                <w:sz w:val="24"/>
                <w:szCs w:val="24"/>
                <w:highlight w:val="none"/>
                <w:u w:val="single" w:color="auto"/>
                <w:lang w:eastAsia="zh-CN"/>
              </w:rPr>
              <w:t>。</w:t>
            </w:r>
          </w:p>
          <w:p>
            <w:pPr>
              <w:autoSpaceDE w:val="0"/>
              <w:autoSpaceDN w:val="0"/>
              <w:adjustRightInd w:val="0"/>
              <w:snapToGrid w:val="0"/>
              <w:spacing w:line="500" w:lineRule="exact"/>
              <w:ind w:firstLine="481" w:firstLineChars="200"/>
              <w:jc w:val="both"/>
              <w:rPr>
                <w:rFonts w:hint="default" w:ascii="Times New Roman" w:hAnsi="Times New Roman" w:eastAsia="宋体" w:cs="Times New Roman"/>
                <w:color w:val="auto"/>
                <w:kern w:val="0"/>
                <w:sz w:val="24"/>
                <w:szCs w:val="24"/>
                <w:highlight w:val="none"/>
                <w:u w:val="none" w:color="auto"/>
                <w:lang w:val="en-US" w:eastAsia="zh-CN"/>
              </w:rPr>
            </w:pPr>
            <w:r>
              <w:rPr>
                <w:rFonts w:hint="eastAsia" w:cs="Times New Roman"/>
                <w:b/>
                <w:bCs/>
                <w:color w:val="auto"/>
                <w:kern w:val="0"/>
                <w:highlight w:val="none"/>
                <w:u w:val="none" w:color="auto"/>
                <w:lang w:val="en-US" w:eastAsia="zh-CN"/>
              </w:rPr>
              <w:t>7、</w:t>
            </w:r>
            <w:r>
              <w:rPr>
                <w:rFonts w:hint="default" w:ascii="Times New Roman" w:hAnsi="Times New Roman" w:eastAsia="宋体" w:cs="Times New Roman"/>
                <w:b/>
                <w:bCs/>
                <w:color w:val="auto"/>
                <w:kern w:val="0"/>
                <w:highlight w:val="none"/>
                <w:u w:val="none" w:color="auto"/>
              </w:rPr>
              <w:t>与《</w:t>
            </w:r>
            <w:r>
              <w:rPr>
                <w:rFonts w:hint="eastAsia" w:cs="Times New Roman"/>
                <w:b/>
                <w:bCs/>
                <w:color w:val="auto"/>
                <w:kern w:val="0"/>
                <w:highlight w:val="none"/>
                <w:u w:val="none" w:color="auto"/>
                <w:lang w:val="en-US" w:eastAsia="zh-CN"/>
              </w:rPr>
              <w:t>关于联合开展电子废物、废轮胎、废塑料、废旧衣服、废家电 拆解等再生利用行业清理整顿的通知</w:t>
            </w:r>
            <w:r>
              <w:rPr>
                <w:rFonts w:hint="default" w:ascii="Times New Roman" w:hAnsi="Times New Roman" w:eastAsia="宋体" w:cs="Times New Roman"/>
                <w:b/>
                <w:bCs/>
                <w:color w:val="auto"/>
                <w:kern w:val="0"/>
                <w:highlight w:val="none"/>
                <w:u w:val="none" w:color="auto"/>
              </w:rPr>
              <w:t>》（</w:t>
            </w:r>
            <w:r>
              <w:rPr>
                <w:rFonts w:hint="eastAsia" w:cs="Times New Roman"/>
                <w:b/>
                <w:bCs/>
                <w:color w:val="auto"/>
                <w:kern w:val="0"/>
                <w:highlight w:val="none"/>
                <w:u w:val="none" w:color="auto"/>
                <w:lang w:val="en-US" w:eastAsia="zh-CN"/>
              </w:rPr>
              <w:t>环办土壤函［2017］1240号</w:t>
            </w:r>
            <w:r>
              <w:rPr>
                <w:rFonts w:hint="default" w:ascii="Times New Roman" w:hAnsi="Times New Roman" w:eastAsia="宋体" w:cs="Times New Roman"/>
                <w:b/>
                <w:bCs/>
                <w:color w:val="auto"/>
                <w:kern w:val="0"/>
                <w:highlight w:val="none"/>
                <w:u w:val="none" w:color="auto"/>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b/>
                <w:color w:val="auto"/>
                <w:sz w:val="21"/>
                <w:szCs w:val="21"/>
                <w:highlight w:val="none"/>
                <w:u w:val="none" w:color="auto"/>
              </w:rPr>
              <w:t>表1-</w:t>
            </w:r>
            <w:r>
              <w:rPr>
                <w:rFonts w:hint="eastAsia" w:cs="Times New Roman"/>
                <w:b/>
                <w:color w:val="auto"/>
                <w:sz w:val="21"/>
                <w:szCs w:val="21"/>
                <w:highlight w:val="none"/>
                <w:u w:val="none" w:color="auto"/>
                <w:lang w:val="en-US" w:eastAsia="zh-CN"/>
              </w:rPr>
              <w:t>10</w:t>
            </w:r>
            <w:r>
              <w:rPr>
                <w:rFonts w:hint="default" w:ascii="Times New Roman" w:hAnsi="Times New Roman" w:eastAsia="宋体" w:cs="Times New Roman"/>
                <w:b/>
                <w:color w:val="auto"/>
                <w:sz w:val="21"/>
                <w:szCs w:val="21"/>
                <w:highlight w:val="none"/>
                <w:u w:val="none" w:color="auto"/>
              </w:rPr>
              <w:t xml:space="preserve"> </w:t>
            </w:r>
            <w:r>
              <w:rPr>
                <w:rFonts w:hint="eastAsia" w:cs="Times New Roman"/>
                <w:b/>
                <w:color w:val="auto"/>
                <w:sz w:val="21"/>
                <w:szCs w:val="21"/>
                <w:highlight w:val="none"/>
                <w:u w:val="none" w:color="auto"/>
                <w:lang w:val="en-US" w:eastAsia="zh-CN"/>
              </w:rPr>
              <w:t>项目与《关于联合开展电子废物、废轮胎、废塑料、废旧衣服、废家电 拆解等再生利用行业清理整顿的通知》</w:t>
            </w:r>
            <w:r>
              <w:rPr>
                <w:rFonts w:hint="default" w:ascii="Times New Roman" w:hAnsi="Times New Roman" w:eastAsia="宋体" w:cs="Times New Roman"/>
                <w:b/>
                <w:color w:val="auto"/>
                <w:sz w:val="21"/>
                <w:szCs w:val="21"/>
                <w:highlight w:val="none"/>
                <w:u w:val="none" w:color="auto"/>
              </w:rPr>
              <w:t>的相符性分析</w:t>
            </w:r>
          </w:p>
          <w:tbl>
            <w:tblPr>
              <w:tblStyle w:val="43"/>
              <w:tblW w:w="7124"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01"/>
              <w:gridCol w:w="2340"/>
              <w:gridCol w:w="9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方案要求</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本项目建设内容</w:t>
                  </w:r>
                </w:p>
              </w:tc>
              <w:tc>
                <w:tcPr>
                  <w:tcW w:w="98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4"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一</w:t>
                  </w: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依法取缔一批污染严重的非法再生利用企业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rPr>
                    <w:t>主要包括：与居民区混杂、严重影响居民正常生活环境的无证无照小作坊；无环保审批手续、未办理工商登记的非法企业；不符合国家产业政策的企业；污染治理设施运行不正常且无法稳定达标排放的企业；加工利用“洋垃圾”的企业（洋垃圾是指：危险废物、医疗废物、电子废物、废旧衣服、生活垃圾、废轮胎等禁止进口的固体废物和走私进口的固体废物）；无危险废物经营许可证从事含有毒有害物质的电子废物、废塑料（如沾染危险化学品、农药等废塑料包装物，以及输液器、针头、血袋等一次性废弃医疗用塑料制品等）加工利用的企业。对上述企业的违法行为依法予以查处，并报请地方人民政府依法对违法企业予以关停。</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位于汨罗高新技术产业开发区新市片区东片区，不属于无证无照小作坊，现处于按照国家规定办理环保手续中，本项目属于国家产业结构中鼓励类，项目原料不使用洋垃圾等进口固废，不使用有毒有害的废塑料。</w:t>
                  </w:r>
                </w:p>
              </w:tc>
              <w:tc>
                <w:tcPr>
                  <w:tcW w:w="98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24"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二</w:t>
                  </w: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重点整治加工利用集散地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rPr>
                    <w:t>本次清理整顿集散地是指：在一个工业园区或行政村内聚集5家（含）以上，或在一个乡（镇、街道）内聚集10家（含）以上的电子废物、废轮胎、废塑料、废旧衣服、废家电拆解再生利用作坊和企业。重点检查集散地规划环评的审批和落实情况、环保基础设施建设和运行情况。对行政村内或城乡结合部与居民区混杂的集散地要依法坚决予以取缔。对环保基础设施落后、污染严重、群众反响强烈的集散地，报请地方人民政府依法予以取缔。对集散地内的非法加工利用企业要坚决予以取缔。配合地方人民政府切实做好集散地综合整治、产业转型发展、人员就业安置、维护社会稳定等各项工作。引导集散地绿色发展</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rPr>
                    <w:t>本项目位于汨罗高新技术产业开发区，属于加工利用集散地，但园区已通过规划环评，批复编号为湘环评函〔2019〕8 号；园区环保基础设施基本完善，本项目要求企业按环评要求设置环保设施，做到合法合规达标排放。</w:t>
                  </w:r>
                </w:p>
              </w:tc>
              <w:tc>
                <w:tcPr>
                  <w:tcW w:w="98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4"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三</w:t>
                  </w:r>
                  <w:r>
                    <w:rPr>
                      <w:rFonts w:hint="eastAsia" w:cs="Times New Roman"/>
                      <w:b w:val="0"/>
                      <w:bCs w:val="0"/>
                      <w:color w:val="auto"/>
                      <w:kern w:val="0"/>
                      <w:sz w:val="21"/>
                      <w:szCs w:val="21"/>
                      <w:highlight w:val="none"/>
                      <w:u w:val="none" w:color="auto"/>
                      <w:vertAlign w:val="baseline"/>
                      <w:lang w:eastAsia="zh-CN"/>
                    </w:rPr>
                    <w:t>）</w:t>
                  </w:r>
                  <w:r>
                    <w:rPr>
                      <w:rFonts w:hint="eastAsia" w:cs="Times New Roman"/>
                      <w:b w:val="0"/>
                      <w:bCs w:val="0"/>
                      <w:color w:val="auto"/>
                      <w:kern w:val="0"/>
                      <w:sz w:val="21"/>
                      <w:szCs w:val="21"/>
                      <w:highlight w:val="none"/>
                      <w:u w:val="none" w:color="auto"/>
                      <w:vertAlign w:val="baseline"/>
                      <w:lang w:val="en-US" w:eastAsia="zh-CN"/>
                    </w:rPr>
                    <w:t>规范引导一批再生利用企业健康发展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rPr>
                    <w:t>发挥“城市矿产”示范基地、再生资源示范工程、循环经济示范园区的引领作用和回收利用骨干企业的带动作用；完善再生资源回收利用基础设施，促进有关企业采用先进适用加工工艺，集聚发展，集中建设和运营污染治理设施；推动国内废物再生利用集散地园区化、规模化和清洁化发展；鼓励合法合规再生利用企业联合、重组，做大做强。</w:t>
                  </w:r>
                </w:p>
              </w:tc>
              <w:tc>
                <w:tcPr>
                  <w:tcW w:w="23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本项目位于汨罗高新技术产业开发区，选址和产业定位符合园区规划，项目生产过程中产生的污染物经环保设施处理后均可达标排放，不改变当地的环境功能区划。</w:t>
                  </w:r>
                </w:p>
              </w:tc>
              <w:tc>
                <w:tcPr>
                  <w:tcW w:w="98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综上</w:t>
            </w:r>
            <w:r>
              <w:rPr>
                <w:rFonts w:hint="eastAsia" w:cs="Times New Roman"/>
                <w:color w:val="auto"/>
                <w:kern w:val="0"/>
                <w:highlight w:val="none"/>
                <w:u w:val="none" w:color="auto"/>
                <w:lang w:val="en-US" w:eastAsia="zh-CN"/>
              </w:rPr>
              <w:t>所述</w:t>
            </w:r>
            <w:r>
              <w:rPr>
                <w:rFonts w:hint="default" w:ascii="Times New Roman" w:hAnsi="Times New Roman" w:eastAsia="宋体" w:cs="Times New Roman"/>
                <w:color w:val="auto"/>
                <w:kern w:val="0"/>
                <w:highlight w:val="none"/>
                <w:u w:val="none" w:color="auto"/>
              </w:rPr>
              <w:t>，本项目与《关于联合开展电子废物、废轮胎、废塑料、废旧衣服、废家电拆解等再生利用行业清理整顿的通知》的要求相符。</w:t>
            </w:r>
          </w:p>
          <w:p>
            <w:pPr>
              <w:autoSpaceDE w:val="0"/>
              <w:autoSpaceDN w:val="0"/>
              <w:adjustRightInd w:val="0"/>
              <w:snapToGrid w:val="0"/>
              <w:spacing w:line="360" w:lineRule="auto"/>
              <w:ind w:firstLine="481" w:firstLineChars="200"/>
              <w:jc w:val="left"/>
              <w:rPr>
                <w:rFonts w:hint="default" w:cs="Times New Roman"/>
                <w:b/>
                <w:bCs/>
                <w:color w:val="auto"/>
                <w:kern w:val="0"/>
                <w:highlight w:val="none"/>
                <w:u w:val="single" w:color="auto"/>
                <w:lang w:val="en-US" w:eastAsia="zh-CN"/>
              </w:rPr>
            </w:pPr>
            <w:r>
              <w:rPr>
                <w:rFonts w:hint="eastAsia" w:cs="Times New Roman"/>
                <w:b/>
                <w:bCs/>
                <w:color w:val="auto"/>
                <w:kern w:val="0"/>
                <w:highlight w:val="none"/>
                <w:u w:val="single" w:color="auto"/>
                <w:lang w:val="en-US" w:eastAsia="zh-CN"/>
              </w:rPr>
              <w:t>8、与《湖南省长江经济带发展负面清单实施细则（试行，2022)》符合性分析</w:t>
            </w:r>
          </w:p>
          <w:p>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u w:val="single" w:color="auto"/>
                <w:lang w:val="en-US" w:eastAsia="zh-CN"/>
              </w:rPr>
            </w:pPr>
            <w:r>
              <w:rPr>
                <w:rFonts w:hint="default" w:ascii="Times New Roman" w:hAnsi="Times New Roman" w:cs="Times New Roman"/>
                <w:b/>
                <w:bCs/>
                <w:color w:val="auto"/>
                <w:sz w:val="21"/>
                <w:szCs w:val="21"/>
                <w:u w:val="single" w:color="auto"/>
                <w:lang w:val="en-US" w:eastAsia="zh-CN"/>
              </w:rPr>
              <w:t>表1-6 项目与《湖南省长江经济带发展负面清单实施细则（试行，2022年版）》符合性分析表</w:t>
            </w:r>
          </w:p>
          <w:tbl>
            <w:tblPr>
              <w:tblStyle w:val="43"/>
              <w:tblW w:w="707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5"/>
              <w:gridCol w:w="3926"/>
              <w:gridCol w:w="1719"/>
              <w:gridCol w:w="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序号</w:t>
                  </w:r>
                </w:p>
              </w:tc>
              <w:tc>
                <w:tcPr>
                  <w:tcW w:w="39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文件要求</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本项目情况</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三条：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本项目不属于港口码头项目</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2</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第四条：禁止在自然保护区核心区、缓冲区的岸线和河段范围内投资建设以下项目：……</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项目所在地不涉及自然保护区</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3</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第五条：机场、铁路、公路、水利、航运、围堰等公益性设施的选址选线应多方案优化比选……</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本项目不属于所列公益性设施</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4</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第六条：禁止违反风景名胜区规划……</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本项目不涉及风景名胜区</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5</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第七条：饮用水源一级保护区内禁止新建、改建扩建与供水设施和保护水源无关的建设项目……</w:t>
                  </w:r>
                </w:p>
              </w:tc>
              <w:tc>
                <w:tcPr>
                  <w:tcW w:w="171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本项目不涉及饮用水源保护区</w:t>
                  </w:r>
                </w:p>
              </w:tc>
              <w:tc>
                <w:tcPr>
                  <w:tcW w:w="97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Cs w:val="20"/>
                      <w:u w:val="single" w:color="auto"/>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6</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第八条：饮用水水源二级保护区内禁止……</w:t>
                  </w:r>
                </w:p>
              </w:tc>
              <w:tc>
                <w:tcPr>
                  <w:tcW w:w="171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p>
              </w:tc>
              <w:tc>
                <w:tcPr>
                  <w:tcW w:w="97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7</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第九条：禁止在水产种质资源保护区内新建排污口、从事围湖造田等投资建设项目</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本项目不设置排污口，不涉及围湖造田等</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8</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第十条：除《中华人民共和国防洪法》规定的紧急防汛期采取的紧急措施外，禁止在国家湿地公园的岸线和河段范围内挖沙、采矿，以及以下不符合主体功能定位的行为和活动：……</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本项目不涉及国家湿地公园</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9</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jc w:val="center"/>
                    <w:rPr>
                      <w:rFonts w:hint="default" w:ascii="Times New Roman" w:hAnsi="Times New Roman" w:cs="Times New Roman"/>
                      <w:color w:val="auto"/>
                      <w:u w:val="single" w:color="auto"/>
                      <w:lang w:val="en-US" w:eastAsia="zh-CN" w:bidi="ar-SA"/>
                    </w:rPr>
                  </w:pPr>
                  <w:r>
                    <w:rPr>
                      <w:rFonts w:hint="default" w:ascii="Times New Roman" w:hAnsi="Times New Roman" w:cs="Times New Roman"/>
                      <w:color w:val="auto"/>
                      <w:u w:val="single" w:color="auto"/>
                      <w:lang w:val="en-US" w:eastAsia="zh-CN" w:bidi="ar-SA"/>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禁止填湖造地、围湖造田及非法围垦河道，禁止非法建设矮围网围、填埋湿地等侵占河湖水域或者违法利用、占用河湖岸线的行为。</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本项目不占用长江流域河湖岸线</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10</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第十二条：禁止在《全国重要江河湖泊水功能区划》划定的河段保护区、保留区内投资建设不利于水资源及自然生态保护的项目。</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本项目不涉及河段保护区、保留区</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11</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第十三条：禁止未经许可在长江干支流及湖泊新设、改设或扩大排污口</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本项目不设置废水排放口</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12</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四条：禁止在洞庭湖、湘江、资江、沅江、漫水干流和45个水生生物保护区开展生产性捕捞。在相关自然保护区域和禁猎（渔）区、禁猎（渔）期内，禁止猎捕以及其他妨碍野生动物生息繁衍的活动，但法律法规另有规定的除外。</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本项目不涉及捕捞</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13</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五条：禁止在长江湖南段和洞庭湖、湘江、资江、沅江、遭水干流岸线一公里范围内新建、扩建化工园区和化工项目。禁止在长江湖南段岸线三公里范围内和湘江、资江、沅江遭水岸线一公里范围内新建、改建、扩建尾矿库、冶炼渣库和磷石膏库，以提升安全、生态环境保护水平为目的的改建除外。</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本项目不属于化工项目</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14</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第十六条：禁止在合规园区外新建、扩建钢铁、石化、化工、焦化、建材、有色、制浆造纸等高污染项目。高污染项目严格按照生态环境部《环境保护综合名录（2021年版）》有关要求执行。</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本项目不属于所列禁止建设的高污染项目</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15</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第十七条：禁止新建、扩建不符合国家石化、现代煤化工等产业布局规划的项目。未通过认定的化工园区，不得新建、改扩建化工项目（安全、环保、节能和智能化改造项目除外）。</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本项目不属于石化、现代煤等化工等类型项目</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16</w:t>
                  </w:r>
                </w:p>
              </w:tc>
              <w:tc>
                <w:tcPr>
                  <w:tcW w:w="3926" w:type="dxa"/>
                  <w:tcBorders>
                    <w:tl2br w:val="nil"/>
                    <w:tr2bl w:val="nil"/>
                  </w:tcBorders>
                  <w:noWrap w:val="0"/>
                  <w:vAlign w:val="center"/>
                </w:tcPr>
                <w:p>
                  <w:pPr>
                    <w:pStyle w:val="28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4"/>
                      <w:u w:val="single" w:color="auto"/>
                      <w:lang w:val="en-US" w:eastAsia="zh-CN" w:bidi="ar-SA"/>
                    </w:rPr>
                  </w:pPr>
                  <w:r>
                    <w:rPr>
                      <w:rFonts w:hint="default" w:ascii="Times New Roman" w:hAnsi="Times New Roman" w:cs="Times New Roman"/>
                      <w:color w:val="auto"/>
                      <w:u w:val="single" w:color="auto"/>
                      <w:lang w:val="en-US" w:eastAsia="zh-CN" w:bidi="ar-SA"/>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default" w:ascii="Times New Roman" w:hAnsi="Times New Roman" w:cs="Times New Roman"/>
                      <w:color w:val="auto"/>
                      <w:sz w:val="21"/>
                      <w:szCs w:val="21"/>
                      <w:u w:val="single" w:color="auto"/>
                      <w:vertAlign w:val="baseline"/>
                      <w:lang w:val="en-US" w:eastAsia="zh-CN" w:bidi="ar-SA"/>
                    </w:rPr>
                    <w:t>本项目不属于禁止建设的落后产能项目、严重过剩产能行业、不符合要求的高耗能高排放项目</w:t>
                  </w:r>
                </w:p>
              </w:tc>
              <w:tc>
                <w:tcPr>
                  <w:tcW w:w="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single" w:color="auto"/>
                      <w:vertAlign w:val="baseline"/>
                      <w:lang w:val="en-US" w:eastAsia="zh-CN" w:bidi="ar-SA"/>
                    </w:rPr>
                  </w:pPr>
                  <w:r>
                    <w:rPr>
                      <w:rFonts w:hint="eastAsia" w:cs="Times New Roman"/>
                      <w:color w:val="auto"/>
                      <w:sz w:val="21"/>
                      <w:szCs w:val="21"/>
                      <w:u w:val="single" w:color="auto"/>
                      <w:vertAlign w:val="baseline"/>
                      <w:lang w:val="en-US" w:eastAsia="zh-CN" w:bidi="ar-SA"/>
                    </w:rPr>
                    <w:t>不涉及</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Cs w:val="20"/>
                <w:u w:val="single" w:color="auto"/>
                <w:lang w:val="en-US" w:eastAsia="zh-CN"/>
              </w:rPr>
            </w:pPr>
            <w:r>
              <w:rPr>
                <w:rFonts w:hint="eastAsia" w:cs="Times New Roman"/>
                <w:b w:val="0"/>
                <w:bCs w:val="0"/>
                <w:color w:val="auto"/>
                <w:szCs w:val="20"/>
                <w:u w:val="single" w:color="auto"/>
                <w:lang w:val="en-US" w:eastAsia="zh-CN"/>
              </w:rPr>
              <w:t>综上所述，本项目满足《湖南省长江经济带发展负面清单实施细则（试行，2022)》要求。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1" w:firstLineChars="200"/>
              <w:jc w:val="left"/>
              <w:textAlignment w:val="auto"/>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9</w:t>
            </w:r>
            <w:r>
              <w:rPr>
                <w:rFonts w:hint="default" w:ascii="Times New Roman" w:hAnsi="Times New Roman" w:eastAsia="宋体" w:cs="Times New Roman"/>
                <w:b/>
                <w:bCs/>
                <w:color w:val="auto"/>
                <w:kern w:val="0"/>
                <w:highlight w:val="none"/>
                <w:u w:val="none" w:color="auto"/>
              </w:rPr>
              <w:t>、选址合理性分析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1）本项目位于</w:t>
            </w:r>
            <w:r>
              <w:rPr>
                <w:rFonts w:hint="default" w:ascii="Times New Roman" w:hAnsi="Times New Roman" w:eastAsia="宋体" w:cs="Times New Roman"/>
                <w:color w:val="auto"/>
                <w:kern w:val="0"/>
                <w:highlight w:val="none"/>
                <w:u w:val="none" w:color="auto"/>
                <w:lang w:eastAsia="zh-CN"/>
              </w:rPr>
              <w:t>湖南省岳阳市汨罗市新市镇湖南汨罗高新技术产业开发区新市片区中塑新材料公司内1</w:t>
            </w:r>
            <w:r>
              <w:rPr>
                <w:rFonts w:hint="eastAsia" w:cs="Times New Roman"/>
                <w:color w:val="auto"/>
                <w:kern w:val="0"/>
                <w:highlight w:val="none"/>
                <w:u w:val="none" w:color="auto"/>
                <w:lang w:val="en-US" w:eastAsia="zh-CN"/>
              </w:rPr>
              <w:t>4</w:t>
            </w:r>
            <w:r>
              <w:rPr>
                <w:rFonts w:hint="default" w:ascii="Times New Roman" w:hAnsi="Times New Roman" w:eastAsia="宋体" w:cs="Times New Roman"/>
                <w:color w:val="auto"/>
                <w:kern w:val="0"/>
                <w:highlight w:val="none"/>
                <w:u w:val="none" w:color="auto"/>
                <w:lang w:eastAsia="zh-CN"/>
              </w:rPr>
              <w:t>栋厂房</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根据</w:t>
            </w:r>
            <w:r>
              <w:rPr>
                <w:rFonts w:hint="default" w:ascii="Times New Roman" w:hAnsi="Times New Roman" w:cs="Times New Roman"/>
                <w:color w:val="auto"/>
                <w:sz w:val="24"/>
                <w:szCs w:val="24"/>
                <w:u w:val="none"/>
              </w:rPr>
              <w:t>《汨罗高新技术产业开发区控制性详细规划》（2022-2035年）中的土地利用规划图（</w:t>
            </w:r>
            <w:r>
              <w:rPr>
                <w:rFonts w:hint="default" w:ascii="Times New Roman" w:hAnsi="Times New Roman" w:cs="Times New Roman"/>
                <w:color w:val="auto"/>
                <w:sz w:val="24"/>
                <w:szCs w:val="24"/>
                <w:u w:val="none"/>
                <w:lang w:eastAsia="zh-CN"/>
              </w:rPr>
              <w:t>见</w:t>
            </w:r>
            <w:r>
              <w:rPr>
                <w:rFonts w:hint="default" w:ascii="Times New Roman" w:hAnsi="Times New Roman" w:cs="Times New Roman"/>
                <w:color w:val="auto"/>
                <w:sz w:val="24"/>
                <w:szCs w:val="24"/>
                <w:u w:val="none"/>
              </w:rPr>
              <w:t>附图</w:t>
            </w:r>
            <w:r>
              <w:rPr>
                <w:rFonts w:hint="eastAsia" w:cs="Times New Roman"/>
                <w:color w:val="auto"/>
                <w:sz w:val="24"/>
                <w:szCs w:val="24"/>
                <w:u w:val="none"/>
                <w:lang w:val="en-US" w:eastAsia="zh-CN"/>
              </w:rPr>
              <w:t>4</w:t>
            </w:r>
            <w:r>
              <w:rPr>
                <w:rFonts w:hint="default" w:ascii="Times New Roman" w:hAnsi="Times New Roman" w:cs="Times New Roman"/>
                <w:color w:val="auto"/>
                <w:sz w:val="24"/>
                <w:szCs w:val="24"/>
                <w:u w:val="none"/>
              </w:rPr>
              <w:t>），</w:t>
            </w:r>
            <w:r>
              <w:rPr>
                <w:rFonts w:hint="eastAsia" w:cs="Times New Roman"/>
                <w:color w:val="auto"/>
                <w:sz w:val="24"/>
                <w:szCs w:val="24"/>
                <w:u w:val="none"/>
                <w:lang w:val="en-US" w:eastAsia="zh-CN"/>
              </w:rPr>
              <w:t>本项目所在地规划为二类工业用地</w:t>
            </w:r>
            <w:r>
              <w:rPr>
                <w:rFonts w:hint="default" w:ascii="Times New Roman" w:hAnsi="Times New Roman" w:eastAsia="宋体" w:cs="Times New Roman"/>
                <w:color w:val="auto"/>
                <w:kern w:val="0"/>
                <w:highlight w:val="none"/>
                <w:u w:val="none" w:color="auto"/>
              </w:rPr>
              <w:t>，符合湖南省岳阳市汨罗高新技术产业开发区相关规划。</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2）项目不侵占基本农田，项目周边无风景名胜区及自然保护区，项目工艺较为简单，排放污染物在采取本报告提出的措施后，对环境无明显影响，对周边影响较小，不会改变环境功能。因此从选址的敏感性、产业政策及环境影响可接受性等分析结果综合来看，在严控建设项目污染物排放量的条件下，其选址及建设具有环境可行性。</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3）项目区域属环境空气质量功能区的二类区，声环境质量功能区的3类区，周边地表水为III类水域，区域无需特殊保护的文物、古迹、自然保护区等。项目所产生的污染物经过治理后均可实现达标排放。经过分析，项目投产后对大气、地表水、声环境等均不会产生较大影响，不会改变环境功能现状。</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4）本项目生产过程存在负外部性影响，主要体现在排放废气、废水，产生工业生产噪声和工业生产固体废物，需要消耗环境容量或牺牲环境质量来抵消其负外部性。本项目所在区域不属于国家规定的各类环境敏感区。本项目的负外部性可以利用附近区域的环境生态资源就地抵消，因此不会造成重大资源经济和社会文化的损失。</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综上所述，项目选址可行。</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pStyle w:val="2"/>
              <w:rPr>
                <w:rFonts w:hint="default" w:ascii="Times New Roman" w:hAnsi="Times New Roman" w:eastAsia="宋体" w:cs="Times New Roman"/>
                <w:color w:val="auto"/>
                <w:kern w:val="0"/>
                <w:highlight w:val="none"/>
                <w:u w:val="none" w:color="auto"/>
              </w:rPr>
            </w:pPr>
          </w:p>
          <w:p>
            <w:pPr>
              <w:pStyle w:val="7"/>
              <w:rPr>
                <w:rFonts w:hint="default" w:ascii="Times New Roman" w:hAnsi="Times New Roman" w:eastAsia="宋体" w:cs="Times New Roman"/>
                <w:color w:val="auto"/>
                <w:kern w:val="0"/>
                <w:highlight w:val="none"/>
                <w:u w:val="none" w:color="auto"/>
              </w:rPr>
            </w:pPr>
          </w:p>
          <w:p>
            <w:pPr>
              <w:pStyle w:val="7"/>
              <w:rPr>
                <w:rFonts w:hint="default" w:ascii="Times New Roman" w:hAnsi="Times New Roman" w:eastAsia="宋体" w:cs="Times New Roman"/>
                <w:color w:val="auto"/>
                <w:kern w:val="0"/>
                <w:highlight w:val="none"/>
                <w:u w:val="none" w:color="auto"/>
              </w:rPr>
            </w:pPr>
          </w:p>
          <w:p>
            <w:pPr>
              <w:pStyle w:val="7"/>
              <w:rPr>
                <w:rFonts w:hint="default" w:ascii="Times New Roman" w:hAnsi="Times New Roman" w:eastAsia="宋体" w:cs="Times New Roman"/>
                <w:color w:val="auto"/>
                <w:kern w:val="0"/>
                <w:highlight w:val="none"/>
                <w:u w:val="none" w:color="auto"/>
              </w:rPr>
            </w:pPr>
          </w:p>
          <w:p>
            <w:pPr>
              <w:pStyle w:val="7"/>
              <w:rPr>
                <w:rFonts w:hint="default" w:ascii="Times New Roman" w:hAnsi="Times New Roman" w:eastAsia="宋体" w:cs="Times New Roman"/>
                <w:color w:val="auto"/>
                <w:kern w:val="0"/>
                <w:highlight w:val="none"/>
                <w:u w:val="none" w:color="auto"/>
              </w:rPr>
            </w:pPr>
          </w:p>
          <w:p>
            <w:pPr>
              <w:pStyle w:val="7"/>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rPr>
            </w:pP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 xml:space="preserve">    </w:t>
            </w:r>
          </w:p>
        </w:tc>
      </w:tr>
    </w:tbl>
    <w:p>
      <w:pPr>
        <w:spacing w:line="360" w:lineRule="auto"/>
        <w:outlineLvl w:val="9"/>
        <w:rPr>
          <w:rFonts w:hint="default" w:ascii="Times New Roman" w:hAnsi="Times New Roman" w:eastAsia="宋体" w:cs="Times New Roman"/>
          <w:color w:val="auto"/>
          <w:sz w:val="30"/>
          <w:highlight w:val="none"/>
          <w:u w:val="none" w:color="auto"/>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8"/>
        <w:bidi w:val="0"/>
        <w:rPr>
          <w:rFonts w:hint="default" w:ascii="Times New Roman" w:hAnsi="Times New Roman" w:eastAsia="宋体" w:cs="Times New Roman"/>
          <w:color w:val="auto"/>
          <w:highlight w:val="none"/>
          <w:u w:val="none" w:color="auto"/>
        </w:rPr>
      </w:pPr>
      <w:bookmarkStart w:id="12" w:name="_Toc106"/>
      <w:r>
        <w:rPr>
          <w:rFonts w:hint="default" w:ascii="Times New Roman" w:hAnsi="Times New Roman" w:eastAsia="宋体" w:cs="Times New Roman"/>
          <w:color w:val="auto"/>
          <w:highlight w:val="none"/>
          <w:u w:val="none" w:color="auto"/>
        </w:rPr>
        <w:t>二、建设项目工程分析</w:t>
      </w:r>
      <w:bookmarkEnd w:id="12"/>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51" w:type="pct"/>
            <w:vAlign w:val="center"/>
          </w:tcPr>
          <w:p>
            <w:pPr>
              <w:pStyle w:val="39"/>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建设内容</w:t>
            </w:r>
          </w:p>
        </w:tc>
        <w:tc>
          <w:tcPr>
            <w:tcW w:w="4748" w:type="pct"/>
          </w:tcPr>
          <w:p>
            <w:pPr>
              <w:spacing w:line="500" w:lineRule="exact"/>
              <w:ind w:firstLine="481" w:firstLineChars="200"/>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一、项目由来</w:t>
            </w:r>
          </w:p>
          <w:p>
            <w:pPr>
              <w:spacing w:line="500" w:lineRule="exact"/>
              <w:ind w:firstLine="480" w:firstLineChars="200"/>
              <w:rPr>
                <w:rFonts w:hint="default" w:ascii="Times New Roman" w:hAnsi="Times New Roman" w:eastAsia="宋体" w:cs="Times New Roman"/>
                <w:color w:val="auto"/>
                <w:kern w:val="0"/>
                <w:highlight w:val="none"/>
                <w:u w:val="single" w:color="auto"/>
                <w:lang w:val="en-US" w:eastAsia="zh-CN"/>
              </w:rPr>
            </w:pPr>
            <w:r>
              <w:rPr>
                <w:rFonts w:hint="eastAsia" w:cs="Times New Roman"/>
                <w:color w:val="auto"/>
                <w:kern w:val="0"/>
                <w:highlight w:val="none"/>
                <w:u w:val="single" w:color="auto"/>
                <w:lang w:eastAsia="zh-CN"/>
              </w:rPr>
              <w:t>湖南旭胜新材料有限公司年破碎72000吨废塑料、废开关插座建设项目</w:t>
            </w:r>
            <w:r>
              <w:rPr>
                <w:rFonts w:hint="default" w:ascii="Times New Roman" w:hAnsi="Times New Roman" w:eastAsia="宋体" w:cs="Times New Roman"/>
                <w:color w:val="auto"/>
                <w:kern w:val="0"/>
                <w:highlight w:val="none"/>
                <w:u w:val="single" w:color="auto"/>
              </w:rPr>
              <w:t>位于</w:t>
            </w:r>
            <w:r>
              <w:rPr>
                <w:rFonts w:hint="default" w:ascii="Times New Roman" w:hAnsi="Times New Roman" w:eastAsia="宋体" w:cs="Times New Roman"/>
                <w:color w:val="auto"/>
                <w:kern w:val="0"/>
                <w:highlight w:val="none"/>
                <w:u w:val="single" w:color="auto"/>
                <w:lang w:eastAsia="zh-CN"/>
              </w:rPr>
              <w:t>湖南省岳阳市汨罗市湖南汨罗高新技术产业开发区新市片区中塑新材料公司内1</w:t>
            </w:r>
            <w:r>
              <w:rPr>
                <w:rFonts w:hint="eastAsia" w:cs="Times New Roman"/>
                <w:color w:val="auto"/>
                <w:kern w:val="0"/>
                <w:highlight w:val="none"/>
                <w:u w:val="single" w:color="auto"/>
                <w:lang w:val="en-US" w:eastAsia="zh-CN"/>
              </w:rPr>
              <w:t>4</w:t>
            </w:r>
            <w:r>
              <w:rPr>
                <w:rFonts w:hint="default" w:ascii="Times New Roman" w:hAnsi="Times New Roman" w:eastAsia="宋体" w:cs="Times New Roman"/>
                <w:color w:val="auto"/>
                <w:kern w:val="0"/>
                <w:highlight w:val="none"/>
                <w:u w:val="single" w:color="auto"/>
                <w:lang w:eastAsia="zh-CN"/>
              </w:rPr>
              <w:t>栋厂房</w:t>
            </w:r>
            <w:r>
              <w:rPr>
                <w:rFonts w:hint="default" w:ascii="Times New Roman" w:hAnsi="Times New Roman" w:eastAsia="宋体" w:cs="Times New Roman"/>
                <w:color w:val="auto"/>
                <w:kern w:val="0"/>
                <w:highlight w:val="none"/>
                <w:u w:val="single" w:color="auto"/>
              </w:rPr>
              <w:t>，总投资为</w:t>
            </w:r>
            <w:r>
              <w:rPr>
                <w:rFonts w:hint="eastAsia" w:cs="Times New Roman"/>
                <w:color w:val="auto"/>
                <w:kern w:val="0"/>
                <w:highlight w:val="none"/>
                <w:u w:val="single" w:color="auto"/>
                <w:lang w:val="en-US" w:eastAsia="zh-CN"/>
              </w:rPr>
              <w:t>4</w:t>
            </w:r>
            <w:r>
              <w:rPr>
                <w:rFonts w:hint="default" w:ascii="Times New Roman" w:hAnsi="Times New Roman" w:eastAsia="宋体" w:cs="Times New Roman"/>
                <w:color w:val="auto"/>
                <w:kern w:val="0"/>
                <w:highlight w:val="none"/>
                <w:u w:val="single" w:color="auto"/>
                <w:lang w:val="en-US" w:eastAsia="zh-CN"/>
              </w:rPr>
              <w:t>000</w:t>
            </w:r>
            <w:r>
              <w:rPr>
                <w:rFonts w:hint="default" w:ascii="Times New Roman" w:hAnsi="Times New Roman" w:eastAsia="宋体" w:cs="Times New Roman"/>
                <w:color w:val="auto"/>
                <w:kern w:val="0"/>
                <w:highlight w:val="none"/>
                <w:u w:val="single" w:color="auto"/>
              </w:rPr>
              <w:t>万元，总建筑面积为</w:t>
            </w:r>
            <w:r>
              <w:rPr>
                <w:rFonts w:hint="eastAsia" w:cs="Times New Roman"/>
                <w:color w:val="auto"/>
                <w:kern w:val="0"/>
                <w:highlight w:val="none"/>
                <w:u w:val="single" w:color="auto"/>
                <w:lang w:val="en-US" w:eastAsia="zh-CN"/>
              </w:rPr>
              <w:t>7260</w:t>
            </w:r>
            <w:r>
              <w:rPr>
                <w:rFonts w:hint="default" w:ascii="Times New Roman" w:hAnsi="Times New Roman" w:eastAsia="宋体" w:cs="Times New Roman"/>
                <w:color w:val="auto"/>
                <w:kern w:val="0"/>
                <w:highlight w:val="none"/>
                <w:u w:val="single" w:color="auto"/>
              </w:rPr>
              <w:t>m</w:t>
            </w:r>
            <w:r>
              <w:rPr>
                <w:rFonts w:hint="default" w:ascii="Times New Roman" w:hAnsi="Times New Roman" w:eastAsia="宋体" w:cs="Times New Roman"/>
                <w:color w:val="auto"/>
                <w:kern w:val="0"/>
                <w:highlight w:val="none"/>
                <w:u w:val="single" w:color="auto"/>
                <w:vertAlign w:val="superscript"/>
              </w:rPr>
              <w:t>2</w:t>
            </w:r>
            <w:r>
              <w:rPr>
                <w:rFonts w:hint="default" w:ascii="Times New Roman" w:hAnsi="Times New Roman" w:eastAsia="宋体" w:cs="Times New Roman"/>
                <w:color w:val="auto"/>
                <w:kern w:val="0"/>
                <w:highlight w:val="none"/>
                <w:u w:val="single" w:color="auto"/>
              </w:rPr>
              <w:t>，主要</w:t>
            </w:r>
            <w:r>
              <w:rPr>
                <w:rFonts w:hint="eastAsia" w:cs="Times New Roman"/>
                <w:color w:val="auto"/>
                <w:kern w:val="0"/>
                <w:highlight w:val="none"/>
                <w:u w:val="single" w:color="auto"/>
                <w:lang w:val="en-US" w:eastAsia="zh-CN"/>
              </w:rPr>
              <w:t>建设一条破碎线、一条清洗线、两条分选线</w:t>
            </w:r>
            <w:r>
              <w:rPr>
                <w:rFonts w:hint="default" w:ascii="Times New Roman" w:hAnsi="Times New Roman" w:eastAsia="宋体" w:cs="Times New Roman"/>
                <w:color w:val="auto"/>
                <w:kern w:val="0"/>
                <w:highlight w:val="none"/>
                <w:u w:val="single" w:color="auto"/>
              </w:rPr>
              <w:t>。</w:t>
            </w:r>
            <w:r>
              <w:rPr>
                <w:rFonts w:hint="default" w:ascii="Times New Roman" w:hAnsi="Times New Roman" w:eastAsia="宋体" w:cs="Times New Roman"/>
                <w:color w:val="auto"/>
                <w:kern w:val="0"/>
                <w:highlight w:val="none"/>
                <w:u w:val="single" w:color="auto"/>
                <w:lang w:val="en-US" w:eastAsia="zh-CN"/>
              </w:rPr>
              <w:t>租赁</w:t>
            </w:r>
            <w:r>
              <w:rPr>
                <w:rFonts w:hint="default" w:ascii="Times New Roman" w:hAnsi="Times New Roman" w:eastAsia="宋体" w:cs="Times New Roman"/>
                <w:color w:val="auto"/>
                <w:kern w:val="0"/>
                <w:highlight w:val="none"/>
                <w:u w:val="single" w:color="auto"/>
              </w:rPr>
              <w:t>标准化厂房</w:t>
            </w:r>
            <w:r>
              <w:rPr>
                <w:rFonts w:hint="default" w:ascii="Times New Roman" w:hAnsi="Times New Roman" w:eastAsia="宋体" w:cs="Times New Roman"/>
                <w:color w:val="auto"/>
                <w:kern w:val="0"/>
                <w:highlight w:val="none"/>
                <w:u w:val="single" w:color="auto"/>
                <w:lang w:val="en-US" w:eastAsia="zh-CN"/>
              </w:rPr>
              <w:t>进行生产</w:t>
            </w:r>
            <w:r>
              <w:rPr>
                <w:rFonts w:hint="default" w:ascii="Times New Roman" w:hAnsi="Times New Roman" w:eastAsia="宋体" w:cs="Times New Roman"/>
                <w:color w:val="auto"/>
                <w:kern w:val="0"/>
                <w:highlight w:val="none"/>
                <w:u w:val="single" w:color="auto"/>
              </w:rPr>
              <w:t>，</w:t>
            </w:r>
            <w:r>
              <w:rPr>
                <w:rFonts w:hint="eastAsia" w:cs="Times New Roman"/>
                <w:color w:val="auto"/>
                <w:kern w:val="0"/>
                <w:highlight w:val="none"/>
                <w:u w:val="single" w:color="auto"/>
                <w:lang w:val="en-US" w:eastAsia="zh-CN"/>
              </w:rPr>
              <w:t>厂房为闲置厂房，本项目仅进行设备安装。</w:t>
            </w:r>
          </w:p>
          <w:p>
            <w:pPr>
              <w:spacing w:line="500" w:lineRule="exact"/>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根据《中华人民共和国环境影响评价法》、国务院[2017]第682号令《国务院关于修改〈建设项目环境保护管理条例〉的决定》的有关规定，项目须进行环境影响评价。根据《建设项目环境影响评价分类管理名录》（2021年版）的有关规定，本项目属于“三十九、废弃资源综合利用业85金属废料和碎屑加工处理 421；非金属废料和碎屑加工处理422（421和422均不含原料为危险废物的，均不含仅分拣、破碎的）”——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须编制环境影响报告表；为此，</w:t>
            </w:r>
            <w:r>
              <w:rPr>
                <w:rFonts w:hint="eastAsia" w:cs="Times New Roman"/>
                <w:color w:val="auto"/>
                <w:highlight w:val="none"/>
                <w:u w:val="none" w:color="auto"/>
                <w:lang w:eastAsia="zh-CN"/>
              </w:rPr>
              <w:t>湖南旭胜新材料有限公司</w:t>
            </w:r>
            <w:r>
              <w:rPr>
                <w:rFonts w:hint="default" w:ascii="Times New Roman" w:hAnsi="Times New Roman" w:eastAsia="宋体" w:cs="Times New Roman"/>
                <w:color w:val="auto"/>
                <w:kern w:val="0"/>
                <w:highlight w:val="none"/>
                <w:u w:val="none" w:color="auto"/>
              </w:rPr>
              <w:t>特委托</w:t>
            </w:r>
            <w:r>
              <w:rPr>
                <w:rFonts w:hint="default" w:ascii="Times New Roman" w:hAnsi="Times New Roman" w:eastAsia="宋体" w:cs="Times New Roman"/>
                <w:color w:val="auto"/>
                <w:kern w:val="0"/>
                <w:highlight w:val="none"/>
                <w:u w:val="none" w:color="auto"/>
                <w:lang w:eastAsia="zh-CN"/>
              </w:rPr>
              <w:t>湖南</w:t>
            </w:r>
            <w:r>
              <w:rPr>
                <w:rFonts w:hint="eastAsia" w:cs="Times New Roman"/>
                <w:color w:val="auto"/>
                <w:kern w:val="0"/>
                <w:highlight w:val="none"/>
                <w:u w:val="none" w:color="auto"/>
                <w:lang w:val="en-US" w:eastAsia="zh-CN"/>
              </w:rPr>
              <w:t>翔鹏</w:t>
            </w:r>
            <w:r>
              <w:rPr>
                <w:rFonts w:hint="default" w:ascii="Times New Roman" w:hAnsi="Times New Roman" w:eastAsia="宋体" w:cs="Times New Roman"/>
                <w:color w:val="auto"/>
                <w:kern w:val="0"/>
                <w:highlight w:val="none"/>
                <w:u w:val="none" w:color="auto"/>
                <w:lang w:eastAsia="zh-CN"/>
              </w:rPr>
              <w:t>环保科技有限公司</w:t>
            </w:r>
            <w:r>
              <w:rPr>
                <w:rFonts w:hint="default" w:ascii="Times New Roman" w:hAnsi="Times New Roman" w:eastAsia="宋体" w:cs="Times New Roman"/>
                <w:color w:val="auto"/>
                <w:kern w:val="0"/>
                <w:highlight w:val="none"/>
                <w:u w:val="none" w:color="auto"/>
              </w:rPr>
              <w:t>承担该项目的环境影响评价工作；我公司接受委托后，通过对项目周围环境进行详细的实地勘查和相关资料的收集、核实与分析工作后，在此基础上，按照《环境影响评价技术导则》所规定的原则方法、内容及要求，编制完成了《</w:t>
            </w:r>
            <w:r>
              <w:rPr>
                <w:rFonts w:hint="eastAsia" w:cs="Times New Roman"/>
                <w:color w:val="auto"/>
                <w:kern w:val="0"/>
                <w:highlight w:val="none"/>
                <w:u w:val="none" w:color="auto"/>
                <w:lang w:eastAsia="zh-CN"/>
              </w:rPr>
              <w:t>湖南旭胜新材料有限公司</w:t>
            </w:r>
            <w:r>
              <w:rPr>
                <w:rFonts w:hint="eastAsia" w:cs="Times New Roman"/>
                <w:color w:val="auto"/>
                <w:highlight w:val="none"/>
                <w:u w:val="none" w:color="auto"/>
                <w:lang w:eastAsia="zh-CN"/>
              </w:rPr>
              <w:t>年破碎72000吨废塑料、废开关插座建设项目</w:t>
            </w:r>
            <w:r>
              <w:rPr>
                <w:rFonts w:hint="default" w:ascii="Times New Roman" w:hAnsi="Times New Roman" w:eastAsia="宋体" w:cs="Times New Roman"/>
                <w:color w:val="auto"/>
                <w:kern w:val="0"/>
                <w:highlight w:val="none"/>
                <w:u w:val="none" w:color="auto"/>
              </w:rPr>
              <w:t>环境影响报告表》。</w:t>
            </w:r>
          </w:p>
          <w:p>
            <w:pPr>
              <w:spacing w:line="500" w:lineRule="exact"/>
              <w:ind w:firstLine="481"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二</w:t>
            </w:r>
            <w:r>
              <w:rPr>
                <w:rFonts w:hint="default" w:ascii="Times New Roman" w:hAnsi="Times New Roman" w:eastAsia="宋体" w:cs="Times New Roman"/>
                <w:b/>
                <w:bCs/>
                <w:color w:val="auto"/>
                <w:kern w:val="0"/>
                <w:highlight w:val="none"/>
                <w:u w:val="none" w:color="auto"/>
              </w:rPr>
              <w:t>、工程内容</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项目主要建设内容具体情况见表2-1。</w:t>
            </w:r>
          </w:p>
          <w:p>
            <w:pPr>
              <w:pStyle w:val="98"/>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表2-1  项目主要建设内容一览表</w:t>
            </w:r>
          </w:p>
          <w:tbl>
            <w:tblPr>
              <w:tblStyle w:val="4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670"/>
              <w:gridCol w:w="790"/>
              <w:gridCol w:w="3030"/>
              <w:gridCol w:w="2585"/>
              <w:gridCol w:w="6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工程内容</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指标</w:t>
                  </w:r>
                </w:p>
              </w:tc>
              <w:tc>
                <w:tcPr>
                  <w:tcW w:w="322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主体</w:t>
                  </w:r>
                </w:p>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生产</w:t>
                  </w:r>
                  <w:r>
                    <w:rPr>
                      <w:rFonts w:hint="default" w:ascii="Times New Roman" w:hAnsi="Times New Roman" w:eastAsia="宋体" w:cs="Times New Roman"/>
                      <w:color w:val="auto"/>
                      <w:sz w:val="21"/>
                      <w:szCs w:val="21"/>
                      <w:highlight w:val="none"/>
                      <w:u w:val="none" w:color="auto"/>
                    </w:rPr>
                    <w:t>厂房</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总</w:t>
                  </w:r>
                  <w:r>
                    <w:rPr>
                      <w:rFonts w:hint="default" w:ascii="Times New Roman" w:hAnsi="Times New Roman" w:eastAsia="宋体" w:cs="Times New Roman"/>
                      <w:color w:val="auto"/>
                      <w:sz w:val="21"/>
                      <w:szCs w:val="21"/>
                      <w:highlight w:val="none"/>
                      <w:u w:val="none" w:color="auto"/>
                    </w:rPr>
                    <w:t>建筑面积</w:t>
                  </w:r>
                  <w:r>
                    <w:rPr>
                      <w:rFonts w:hint="eastAsia" w:cs="Times New Roman"/>
                      <w:color w:val="auto"/>
                      <w:sz w:val="21"/>
                      <w:szCs w:val="21"/>
                      <w:highlight w:val="none"/>
                      <w:u w:val="none" w:color="auto"/>
                      <w:lang w:val="en-US" w:eastAsia="zh-CN"/>
                    </w:rPr>
                    <w:t>7260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c>
                <w:tcPr>
                  <w:tcW w:w="258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布设一条破碎线、一条清洗线、两条分选线</w:t>
                  </w:r>
                </w:p>
              </w:tc>
              <w:tc>
                <w:tcPr>
                  <w:tcW w:w="635" w:type="dxa"/>
                  <w:tcBorders>
                    <w:tl2br w:val="nil"/>
                    <w:tr2bl w:val="nil"/>
                  </w:tcBorders>
                  <w:vAlign w:val="center"/>
                </w:tcPr>
                <w:p>
                  <w:pP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储运工程</w:t>
                  </w: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原</w:t>
                  </w:r>
                  <w:r>
                    <w:rPr>
                      <w:rFonts w:hint="default" w:ascii="Times New Roman" w:hAnsi="Times New Roman" w:eastAsia="宋体" w:cs="Times New Roman"/>
                      <w:color w:val="auto"/>
                      <w:sz w:val="21"/>
                      <w:szCs w:val="21"/>
                      <w:highlight w:val="none"/>
                      <w:u w:val="none" w:color="auto"/>
                      <w:lang w:val="en-US" w:eastAsia="zh-CN"/>
                    </w:rPr>
                    <w:t>料区</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建筑面积</w:t>
                  </w:r>
                  <w:r>
                    <w:rPr>
                      <w:rFonts w:hint="eastAsia" w:cs="Times New Roman"/>
                      <w:color w:val="auto"/>
                      <w:sz w:val="21"/>
                      <w:szCs w:val="21"/>
                      <w:highlight w:val="none"/>
                      <w:u w:val="none" w:color="auto"/>
                      <w:lang w:val="en-US" w:eastAsia="zh-CN"/>
                    </w:rPr>
                    <w:t>800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c>
                <w:tcPr>
                  <w:tcW w:w="258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生产</w:t>
                  </w:r>
                  <w:r>
                    <w:rPr>
                      <w:rFonts w:hint="default" w:ascii="Times New Roman" w:hAnsi="Times New Roman" w:eastAsia="宋体" w:cs="Times New Roman"/>
                      <w:color w:val="auto"/>
                      <w:sz w:val="21"/>
                      <w:szCs w:val="21"/>
                      <w:highlight w:val="none"/>
                      <w:u w:val="none" w:color="auto"/>
                    </w:rPr>
                    <w:t>厂房</w:t>
                  </w:r>
                  <w:r>
                    <w:rPr>
                      <w:rFonts w:hint="default" w:ascii="Times New Roman" w:hAnsi="Times New Roman" w:eastAsia="宋体" w:cs="Times New Roman"/>
                      <w:color w:val="auto"/>
                      <w:sz w:val="21"/>
                      <w:szCs w:val="21"/>
                      <w:highlight w:val="none"/>
                      <w:u w:val="none" w:color="auto"/>
                      <w:lang w:val="en-US" w:eastAsia="zh-CN"/>
                    </w:rPr>
                    <w:t>内北</w:t>
                  </w:r>
                  <w:r>
                    <w:rPr>
                      <w:rFonts w:hint="default" w:ascii="Times New Roman" w:hAnsi="Times New Roman" w:eastAsia="宋体" w:cs="Times New Roman"/>
                      <w:color w:val="auto"/>
                      <w:sz w:val="21"/>
                      <w:szCs w:val="21"/>
                      <w:highlight w:val="none"/>
                      <w:u w:val="none" w:color="auto"/>
                    </w:rPr>
                    <w:t>侧</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用于原料储存</w:t>
                  </w:r>
                </w:p>
              </w:tc>
              <w:tc>
                <w:tcPr>
                  <w:tcW w:w="635"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成品</w:t>
                  </w:r>
                  <w:r>
                    <w:rPr>
                      <w:rFonts w:hint="default" w:ascii="Times New Roman" w:hAnsi="Times New Roman" w:eastAsia="宋体" w:cs="Times New Roman"/>
                      <w:color w:val="auto"/>
                      <w:sz w:val="21"/>
                      <w:szCs w:val="21"/>
                      <w:highlight w:val="none"/>
                      <w:u w:val="none" w:color="auto"/>
                      <w:lang w:val="en-US" w:eastAsia="zh-CN"/>
                    </w:rPr>
                    <w:t>区</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建筑面积</w:t>
                  </w:r>
                  <w:r>
                    <w:rPr>
                      <w:rFonts w:hint="eastAsia" w:cs="Times New Roman"/>
                      <w:color w:val="auto"/>
                      <w:sz w:val="21"/>
                      <w:szCs w:val="21"/>
                      <w:highlight w:val="none"/>
                      <w:u w:val="none" w:color="auto"/>
                      <w:lang w:val="en-US" w:eastAsia="zh-CN"/>
                    </w:rPr>
                    <w:t>2000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c>
                <w:tcPr>
                  <w:tcW w:w="258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生产</w:t>
                  </w:r>
                  <w:r>
                    <w:rPr>
                      <w:rFonts w:hint="default" w:ascii="Times New Roman" w:hAnsi="Times New Roman" w:eastAsia="宋体" w:cs="Times New Roman"/>
                      <w:color w:val="auto"/>
                      <w:sz w:val="21"/>
                      <w:szCs w:val="21"/>
                      <w:highlight w:val="none"/>
                      <w:u w:val="none" w:color="auto"/>
                    </w:rPr>
                    <w:t>厂房</w:t>
                  </w:r>
                  <w:r>
                    <w:rPr>
                      <w:rFonts w:hint="default" w:ascii="Times New Roman" w:hAnsi="Times New Roman" w:eastAsia="宋体" w:cs="Times New Roman"/>
                      <w:color w:val="auto"/>
                      <w:sz w:val="21"/>
                      <w:szCs w:val="21"/>
                      <w:highlight w:val="none"/>
                      <w:u w:val="none" w:color="auto"/>
                      <w:lang w:val="en-US" w:eastAsia="zh-CN"/>
                    </w:rPr>
                    <w:t>内南侧</w:t>
                  </w:r>
                  <w:r>
                    <w:rPr>
                      <w:rFonts w:hint="default" w:ascii="Times New Roman" w:hAnsi="Times New Roman" w:eastAsia="宋体" w:cs="Times New Roman"/>
                      <w:color w:val="auto"/>
                      <w:sz w:val="21"/>
                      <w:szCs w:val="21"/>
                      <w:highlight w:val="none"/>
                      <w:u w:val="none" w:color="auto"/>
                    </w:rPr>
                    <w:t>，用于成品储存</w:t>
                  </w:r>
                </w:p>
              </w:tc>
              <w:tc>
                <w:tcPr>
                  <w:tcW w:w="635"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公用</w:t>
                  </w:r>
                </w:p>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供电</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市政电网供给</w:t>
                  </w:r>
                </w:p>
              </w:tc>
              <w:tc>
                <w:tcPr>
                  <w:tcW w:w="322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依托园区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供水</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single" w:color="auto"/>
                    </w:rPr>
                    <w:t>生活用水使用自来水，生产用水使用湖南汨罗循环经济产业园再生材料产业园污水处理厂处理后的中水</w:t>
                  </w:r>
                </w:p>
              </w:tc>
              <w:tc>
                <w:tcPr>
                  <w:tcW w:w="322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依托园区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环保</w:t>
                  </w:r>
                </w:p>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1460"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废气</w:t>
                  </w:r>
                </w:p>
              </w:tc>
              <w:tc>
                <w:tcPr>
                  <w:tcW w:w="5615"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湿法破碎</w:t>
                  </w:r>
                </w:p>
              </w:tc>
              <w:tc>
                <w:tcPr>
                  <w:tcW w:w="63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5615"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化粪池处理后排入湖南汨罗高新技术产业开发区（循环园区）污水处理厂</w:t>
                  </w:r>
                </w:p>
              </w:tc>
              <w:tc>
                <w:tcPr>
                  <w:tcW w:w="63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w:t>
                  </w:r>
                </w:p>
              </w:tc>
              <w:tc>
                <w:tcPr>
                  <w:tcW w:w="5615"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single" w:color="auto"/>
                      <w:lang w:val="en-US" w:eastAsia="zh-CN"/>
                    </w:rPr>
                    <w:t>清洗废水经三级沉淀池（60m</w:t>
                  </w:r>
                  <w:r>
                    <w:rPr>
                      <w:rFonts w:hint="eastAsia" w:cs="Times New Roman"/>
                      <w:color w:val="auto"/>
                      <w:sz w:val="21"/>
                      <w:szCs w:val="21"/>
                      <w:highlight w:val="none"/>
                      <w:u w:val="single" w:color="auto"/>
                      <w:vertAlign w:val="superscript"/>
                      <w:lang w:val="en-US" w:eastAsia="zh-CN"/>
                    </w:rPr>
                    <w:t>3</w:t>
                  </w:r>
                  <w:r>
                    <w:rPr>
                      <w:rFonts w:hint="eastAsia" w:cs="Times New Roman"/>
                      <w:color w:val="auto"/>
                      <w:sz w:val="21"/>
                      <w:szCs w:val="21"/>
                      <w:highlight w:val="none"/>
                      <w:u w:val="single" w:color="auto"/>
                      <w:lang w:val="en-US" w:eastAsia="zh-CN"/>
                    </w:rPr>
                    <w:t>）沉淀后有限回用，外排部分依托湖南中塑新材料科技有限公司污水处理设施处理达标后，最终排入汨罗高新区再生材料产业园污水处理厂</w:t>
                  </w:r>
                </w:p>
              </w:tc>
              <w:tc>
                <w:tcPr>
                  <w:tcW w:w="63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噪声治理</w:t>
                  </w:r>
                </w:p>
              </w:tc>
              <w:tc>
                <w:tcPr>
                  <w:tcW w:w="5615" w:type="dxa"/>
                  <w:gridSpan w:val="2"/>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低噪声设备、</w:t>
                  </w:r>
                  <w:r>
                    <w:rPr>
                      <w:rFonts w:hint="default" w:ascii="Times New Roman" w:hAnsi="Times New Roman" w:eastAsia="宋体" w:cs="Times New Roman"/>
                      <w:color w:val="auto"/>
                      <w:sz w:val="21"/>
                      <w:szCs w:val="21"/>
                      <w:highlight w:val="none"/>
                      <w:u w:val="none" w:color="auto"/>
                    </w:rPr>
                    <w:t>隔声、</w:t>
                  </w:r>
                  <w:r>
                    <w:rPr>
                      <w:rFonts w:hint="default" w:ascii="Times New Roman" w:hAnsi="Times New Roman" w:eastAsia="宋体" w:cs="Times New Roman"/>
                      <w:color w:val="auto"/>
                      <w:sz w:val="21"/>
                      <w:szCs w:val="21"/>
                      <w:highlight w:val="none"/>
                      <w:u w:val="none" w:color="auto"/>
                      <w:lang w:val="en-US" w:eastAsia="zh-CN"/>
                    </w:rPr>
                    <w:t>基础</w:t>
                  </w:r>
                  <w:r>
                    <w:rPr>
                      <w:rFonts w:hint="default" w:ascii="Times New Roman" w:hAnsi="Times New Roman" w:eastAsia="宋体" w:cs="Times New Roman"/>
                      <w:color w:val="auto"/>
                      <w:sz w:val="21"/>
                      <w:szCs w:val="21"/>
                      <w:highlight w:val="none"/>
                      <w:u w:val="none" w:color="auto"/>
                    </w:rPr>
                    <w:t>减振</w:t>
                  </w:r>
                  <w:r>
                    <w:rPr>
                      <w:rFonts w:hint="default" w:ascii="Times New Roman" w:hAnsi="Times New Roman" w:eastAsia="宋体" w:cs="Times New Roman"/>
                      <w:color w:val="auto"/>
                      <w:sz w:val="21"/>
                      <w:szCs w:val="21"/>
                      <w:highlight w:val="none"/>
                      <w:u w:val="none" w:color="auto"/>
                      <w:lang w:val="en-US" w:eastAsia="zh-CN"/>
                    </w:rPr>
                    <w:t>等</w:t>
                  </w:r>
                  <w:r>
                    <w:rPr>
                      <w:rFonts w:hint="default" w:ascii="Times New Roman" w:hAnsi="Times New Roman" w:eastAsia="宋体" w:cs="Times New Roman"/>
                      <w:color w:val="auto"/>
                      <w:sz w:val="21"/>
                      <w:szCs w:val="21"/>
                      <w:highlight w:val="none"/>
                      <w:u w:val="none" w:color="auto"/>
                    </w:rPr>
                    <w:t>降噪</w:t>
                  </w:r>
                  <w:r>
                    <w:rPr>
                      <w:rFonts w:hint="default" w:ascii="Times New Roman" w:hAnsi="Times New Roman" w:eastAsia="宋体" w:cs="Times New Roman"/>
                      <w:color w:val="auto"/>
                      <w:sz w:val="21"/>
                      <w:szCs w:val="21"/>
                      <w:highlight w:val="none"/>
                      <w:u w:val="none" w:color="auto"/>
                      <w:lang w:val="en-US" w:eastAsia="zh-CN"/>
                    </w:rPr>
                    <w:t>措施</w:t>
                  </w:r>
                </w:p>
              </w:tc>
              <w:tc>
                <w:tcPr>
                  <w:tcW w:w="63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垃圾桶</w:t>
                  </w:r>
                </w:p>
              </w:tc>
              <w:tc>
                <w:tcPr>
                  <w:tcW w:w="258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交由环卫部门定期清运</w:t>
                  </w:r>
                </w:p>
              </w:tc>
              <w:tc>
                <w:tcPr>
                  <w:tcW w:w="635"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新建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303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一般固废暂存区</w:t>
                  </w:r>
                </w:p>
              </w:tc>
              <w:tc>
                <w:tcPr>
                  <w:tcW w:w="258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生产车间</w:t>
                  </w:r>
                  <w:r>
                    <w:rPr>
                      <w:rFonts w:hint="eastAsia" w:cs="Times New Roman"/>
                      <w:color w:val="auto"/>
                      <w:sz w:val="21"/>
                      <w:szCs w:val="21"/>
                      <w:highlight w:val="none"/>
                      <w:u w:val="none" w:color="auto"/>
                      <w:lang w:val="en-US" w:eastAsia="zh-CN"/>
                    </w:rPr>
                    <w:t>东南</w:t>
                  </w:r>
                  <w:r>
                    <w:rPr>
                      <w:rFonts w:hint="default" w:ascii="Times New Roman" w:hAnsi="Times New Roman" w:eastAsia="宋体" w:cs="Times New Roman"/>
                      <w:color w:val="auto"/>
                      <w:sz w:val="21"/>
                      <w:szCs w:val="21"/>
                      <w:highlight w:val="none"/>
                      <w:u w:val="none" w:color="auto"/>
                      <w:lang w:val="en-US" w:eastAsia="zh-CN"/>
                    </w:rPr>
                    <w:t>角</w:t>
                  </w:r>
                  <w:r>
                    <w:rPr>
                      <w:rFonts w:hint="default" w:ascii="Times New Roman" w:hAnsi="Times New Roman" w:eastAsia="宋体" w:cs="Times New Roman"/>
                      <w:color w:val="auto"/>
                      <w:sz w:val="21"/>
                      <w:szCs w:val="21"/>
                      <w:highlight w:val="none"/>
                      <w:u w:val="none" w:color="auto"/>
                    </w:rPr>
                    <w:t>，面积为</w:t>
                  </w:r>
                  <w:r>
                    <w:rPr>
                      <w:rFonts w:hint="eastAsia"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c>
                <w:tcPr>
                  <w:tcW w:w="635"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7"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670"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79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w:t>
                  </w:r>
                </w:p>
              </w:tc>
              <w:tc>
                <w:tcPr>
                  <w:tcW w:w="3030"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none" w:color="auto"/>
                      <w:lang w:val="en-US"/>
                    </w:rPr>
                  </w:pPr>
                  <w:r>
                    <w:rPr>
                      <w:rFonts w:hint="eastAsia" w:cs="Times New Roman"/>
                      <w:color w:val="auto"/>
                      <w:sz w:val="21"/>
                      <w:szCs w:val="21"/>
                      <w:highlight w:val="none"/>
                      <w:u w:val="none" w:color="auto"/>
                      <w:lang w:val="en-US" w:eastAsia="zh-CN"/>
                    </w:rPr>
                    <w:t>危险废物暂存间</w:t>
                  </w:r>
                </w:p>
              </w:tc>
              <w:tc>
                <w:tcPr>
                  <w:tcW w:w="2585"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危险废物暂存间位于</w:t>
                  </w:r>
                  <w:r>
                    <w:rPr>
                      <w:rFonts w:hint="default" w:ascii="Times New Roman" w:hAnsi="Times New Roman" w:eastAsia="宋体" w:cs="Times New Roman"/>
                      <w:color w:val="auto"/>
                      <w:sz w:val="21"/>
                      <w:szCs w:val="21"/>
                      <w:highlight w:val="none"/>
                      <w:u w:val="none" w:color="auto"/>
                      <w:lang w:val="en-US" w:eastAsia="zh-CN"/>
                    </w:rPr>
                    <w:t>生产车间</w:t>
                  </w:r>
                  <w:r>
                    <w:rPr>
                      <w:rFonts w:hint="eastAsia" w:cs="Times New Roman"/>
                      <w:color w:val="auto"/>
                      <w:sz w:val="21"/>
                      <w:szCs w:val="21"/>
                      <w:highlight w:val="none"/>
                      <w:u w:val="none" w:color="auto"/>
                      <w:lang w:val="en-US" w:eastAsia="zh-CN"/>
                    </w:rPr>
                    <w:t>西南</w:t>
                  </w:r>
                  <w:r>
                    <w:rPr>
                      <w:rFonts w:hint="default" w:ascii="Times New Roman" w:hAnsi="Times New Roman" w:eastAsia="宋体" w:cs="Times New Roman"/>
                      <w:color w:val="auto"/>
                      <w:sz w:val="21"/>
                      <w:szCs w:val="21"/>
                      <w:highlight w:val="none"/>
                      <w:u w:val="none" w:color="auto"/>
                      <w:lang w:val="en-US" w:eastAsia="zh-CN"/>
                    </w:rPr>
                    <w:t>角</w:t>
                  </w:r>
                  <w:r>
                    <w:rPr>
                      <w:rFonts w:hint="default" w:ascii="Times New Roman" w:hAnsi="Times New Roman" w:eastAsia="宋体" w:cs="Times New Roman"/>
                      <w:color w:val="auto"/>
                      <w:sz w:val="21"/>
                      <w:szCs w:val="21"/>
                      <w:highlight w:val="none"/>
                      <w:u w:val="none" w:color="auto"/>
                    </w:rPr>
                    <w:t>，面积为</w:t>
                  </w:r>
                  <w:r>
                    <w:rPr>
                      <w:rFonts w:hint="eastAsia"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c>
                <w:tcPr>
                  <w:tcW w:w="635"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u w:val="none" w:color="auto"/>
                    </w:rPr>
                  </w:pPr>
                </w:p>
              </w:tc>
            </w:tr>
          </w:tbl>
          <w:p>
            <w:pPr>
              <w:pStyle w:val="98"/>
              <w:adjustRightInd/>
              <w:spacing w:line="500" w:lineRule="exact"/>
              <w:ind w:firstLine="481" w:firstLineChars="200"/>
              <w:rPr>
                <w:rFonts w:hint="default" w:ascii="Times New Roman" w:hAnsi="Times New Roman" w:eastAsia="宋体" w:cs="Times New Roman"/>
                <w:b/>
                <w:bCs/>
                <w:color w:val="auto"/>
                <w:szCs w:val="24"/>
                <w:highlight w:val="none"/>
                <w:u w:val="none" w:color="auto"/>
              </w:rPr>
            </w:pPr>
            <w:r>
              <w:rPr>
                <w:rFonts w:hint="eastAsia" w:eastAsia="宋体" w:cs="Times New Roman"/>
                <w:b/>
                <w:bCs/>
                <w:color w:val="auto"/>
                <w:highlight w:val="none"/>
                <w:u w:val="none" w:color="auto"/>
                <w:lang w:val="en-US" w:eastAsia="zh-CN"/>
              </w:rPr>
              <w:t>三</w:t>
            </w:r>
            <w:r>
              <w:rPr>
                <w:rFonts w:hint="default" w:ascii="Times New Roman" w:hAnsi="Times New Roman" w:eastAsia="宋体" w:cs="Times New Roman"/>
                <w:b/>
                <w:bCs/>
                <w:color w:val="auto"/>
                <w:highlight w:val="none"/>
                <w:u w:val="none" w:color="auto"/>
              </w:rPr>
              <w:t>、</w:t>
            </w:r>
            <w:r>
              <w:rPr>
                <w:rFonts w:hint="default" w:ascii="Times New Roman" w:hAnsi="Times New Roman" w:eastAsia="宋体" w:cs="Times New Roman"/>
                <w:b/>
                <w:bCs/>
                <w:color w:val="auto"/>
                <w:szCs w:val="24"/>
                <w:highlight w:val="none"/>
                <w:u w:val="none" w:color="auto"/>
              </w:rPr>
              <w:t>产品方案</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根据建设单位资料，本项目原料约有20%~30%的损耗，按25%损耗计。</w:t>
            </w:r>
            <w:r>
              <w:rPr>
                <w:rFonts w:hint="default" w:ascii="Times New Roman" w:hAnsi="Times New Roman" w:eastAsia="宋体" w:cs="Times New Roman"/>
                <w:color w:val="auto"/>
                <w:highlight w:val="none"/>
                <w:u w:val="none" w:color="auto"/>
              </w:rPr>
              <w:t>本项目主要产品如表2-2所示。</w:t>
            </w:r>
          </w:p>
          <w:p>
            <w:pPr>
              <w:pStyle w:val="98"/>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表2-2  项目产品方案</w:t>
            </w:r>
          </w:p>
          <w:tbl>
            <w:tblPr>
              <w:tblStyle w:val="42"/>
              <w:tblW w:w="4992"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704"/>
              <w:gridCol w:w="2535"/>
              <w:gridCol w:w="22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269"/>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序号</w:t>
                  </w:r>
                </w:p>
              </w:tc>
              <w:tc>
                <w:tcPr>
                  <w:tcW w:w="1619" w:type="pct"/>
                  <w:tcBorders>
                    <w:tl2br w:val="nil"/>
                    <w:tr2bl w:val="nil"/>
                  </w:tcBorders>
                  <w:noWrap w:val="0"/>
                  <w:vAlign w:val="center"/>
                </w:tcPr>
                <w:p>
                  <w:pPr>
                    <w:pStyle w:val="269"/>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产品名称</w:t>
                  </w:r>
                </w:p>
              </w:tc>
              <w:tc>
                <w:tcPr>
                  <w:tcW w:w="1518" w:type="pct"/>
                  <w:tcBorders>
                    <w:tl2br w:val="nil"/>
                    <w:tr2bl w:val="nil"/>
                  </w:tcBorders>
                  <w:noWrap w:val="0"/>
                  <w:vAlign w:val="center"/>
                </w:tcPr>
                <w:p>
                  <w:pPr>
                    <w:pStyle w:val="269"/>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生产规模</w:t>
                  </w:r>
                </w:p>
              </w:tc>
              <w:tc>
                <w:tcPr>
                  <w:tcW w:w="1329" w:type="pct"/>
                  <w:tcBorders>
                    <w:tl2br w:val="nil"/>
                    <w:tr2bl w:val="nil"/>
                  </w:tcBorders>
                  <w:noWrap w:val="0"/>
                  <w:vAlign w:val="center"/>
                </w:tcPr>
                <w:p>
                  <w:pPr>
                    <w:pStyle w:val="269"/>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PB塑料片</w:t>
                  </w:r>
                </w:p>
              </w:tc>
              <w:tc>
                <w:tcPr>
                  <w:tcW w:w="2535" w:type="dxa"/>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8500</w:t>
                  </w:r>
                </w:p>
              </w:tc>
              <w:tc>
                <w:tcPr>
                  <w:tcW w:w="132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shd w:val="clear" w:color="auto" w:fill="auto"/>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2</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PC塑料片</w:t>
                  </w:r>
                </w:p>
              </w:tc>
              <w:tc>
                <w:tcPr>
                  <w:tcW w:w="2535" w:type="dxa"/>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8500</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shd w:val="clear" w:color="auto" w:fill="auto"/>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3</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ABS塑料片</w:t>
                  </w:r>
                </w:p>
              </w:tc>
              <w:tc>
                <w:tcPr>
                  <w:tcW w:w="2535" w:type="dxa"/>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8500</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shd w:val="clear" w:color="auto" w:fill="auto"/>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4</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 xml:space="preserve">PS塑料片 </w:t>
                  </w:r>
                </w:p>
              </w:tc>
              <w:tc>
                <w:tcPr>
                  <w:tcW w:w="2535" w:type="dxa"/>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8500</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5</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PE塑料片</w:t>
                  </w:r>
                </w:p>
              </w:tc>
              <w:tc>
                <w:tcPr>
                  <w:tcW w:w="2535" w:type="dxa"/>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1648</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6</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PP塑料片</w:t>
                  </w:r>
                </w:p>
              </w:tc>
              <w:tc>
                <w:tcPr>
                  <w:tcW w:w="1518"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1648</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7</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AS塑料片</w:t>
                  </w:r>
                </w:p>
              </w:tc>
              <w:tc>
                <w:tcPr>
                  <w:tcW w:w="1518"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1648</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8</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PA塑料片</w:t>
                  </w:r>
                </w:p>
              </w:tc>
              <w:tc>
                <w:tcPr>
                  <w:tcW w:w="1518"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1648</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9</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PMMA塑料片</w:t>
                  </w:r>
                </w:p>
              </w:tc>
              <w:tc>
                <w:tcPr>
                  <w:tcW w:w="1518"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1648</w:t>
                  </w:r>
                </w:p>
              </w:tc>
              <w:tc>
                <w:tcPr>
                  <w:tcW w:w="1329" w:type="pct"/>
                  <w:tcBorders>
                    <w:tl2br w:val="nil"/>
                    <w:tr2bl w:val="nil"/>
                  </w:tcBorders>
                  <w:noWrap w:val="0"/>
                  <w:vAlign w:val="center"/>
                </w:tcPr>
                <w:p>
                  <w:pPr>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10</w:t>
                  </w:r>
                </w:p>
              </w:tc>
              <w:tc>
                <w:tcPr>
                  <w:tcW w:w="1619"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废铜</w:t>
                  </w:r>
                </w:p>
              </w:tc>
              <w:tc>
                <w:tcPr>
                  <w:tcW w:w="1518"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540</w:t>
                  </w:r>
                </w:p>
              </w:tc>
              <w:tc>
                <w:tcPr>
                  <w:tcW w:w="1329" w:type="pct"/>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11</w:t>
                  </w:r>
                </w:p>
              </w:tc>
              <w:tc>
                <w:tcPr>
                  <w:tcW w:w="1619" w:type="pct"/>
                  <w:tcBorders>
                    <w:tl2br w:val="nil"/>
                    <w:tr2bl w:val="nil"/>
                  </w:tcBorders>
                  <w:noWrap w:val="0"/>
                  <w:vAlign w:val="center"/>
                </w:tcPr>
                <w:p>
                  <w:pPr>
                    <w:pStyle w:val="114"/>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废铁</w:t>
                  </w:r>
                </w:p>
              </w:tc>
              <w:tc>
                <w:tcPr>
                  <w:tcW w:w="1518"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10800</w:t>
                  </w:r>
                </w:p>
              </w:tc>
              <w:tc>
                <w:tcPr>
                  <w:tcW w:w="1329" w:type="pct"/>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92"/>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cs="Times New Roman"/>
                      <w:color w:val="auto"/>
                      <w:sz w:val="21"/>
                      <w:szCs w:val="21"/>
                      <w:highlight w:val="none"/>
                      <w:u w:val="single" w:color="auto"/>
                      <w:lang w:val="en-US" w:eastAsia="zh-CN"/>
                    </w:rPr>
                    <w:t>12</w:t>
                  </w:r>
                </w:p>
              </w:tc>
              <w:tc>
                <w:tcPr>
                  <w:tcW w:w="1619" w:type="pct"/>
                  <w:tcBorders>
                    <w:tl2br w:val="nil"/>
                    <w:tr2bl w:val="nil"/>
                  </w:tcBorders>
                  <w:noWrap w:val="0"/>
                  <w:vAlign w:val="center"/>
                </w:tcPr>
                <w:p>
                  <w:pPr>
                    <w:pStyle w:val="114"/>
                    <w:kinsoku w:val="0"/>
                    <w:overflowPunct w:val="0"/>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废铝</w:t>
                  </w:r>
                </w:p>
              </w:tc>
              <w:tc>
                <w:tcPr>
                  <w:tcW w:w="1518"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420</w:t>
                  </w:r>
                </w:p>
              </w:tc>
              <w:tc>
                <w:tcPr>
                  <w:tcW w:w="1329" w:type="pct"/>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p>
              </w:tc>
              <w:tc>
                <w:tcPr>
                  <w:tcW w:w="1619" w:type="pct"/>
                  <w:tcBorders>
                    <w:tl2br w:val="nil"/>
                    <w:tr2bl w:val="nil"/>
                  </w:tcBorders>
                  <w:noWrap w:val="0"/>
                  <w:vAlign w:val="center"/>
                </w:tcPr>
                <w:p>
                  <w:pPr>
                    <w:pStyle w:val="114"/>
                    <w:kinsoku w:val="0"/>
                    <w:overflowPunct w:val="0"/>
                    <w:jc w:val="center"/>
                    <w:rPr>
                      <w:rFonts w:hint="eastAsia" w:eastAsia="等线"/>
                      <w:color w:val="auto"/>
                      <w:u w:val="single" w:color="auto"/>
                      <w:lang w:val="en-US" w:eastAsia="zh-CN"/>
                    </w:rPr>
                  </w:pPr>
                  <w:r>
                    <w:rPr>
                      <w:rFonts w:hint="eastAsia" w:ascii="宋体" w:hAnsi="宋体" w:eastAsia="宋体" w:cs="宋体"/>
                      <w:color w:val="auto"/>
                      <w:u w:val="single" w:color="auto"/>
                      <w:lang w:val="en-US" w:eastAsia="zh-CN"/>
                    </w:rPr>
                    <w:t>合计</w:t>
                  </w:r>
                </w:p>
              </w:tc>
              <w:tc>
                <w:tcPr>
                  <w:tcW w:w="1518" w:type="pct"/>
                  <w:tcBorders>
                    <w:tl2br w:val="nil"/>
                    <w:tr2bl w:val="nil"/>
                  </w:tcBorders>
                  <w:noWrap w:val="0"/>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54000</w:t>
                  </w:r>
                </w:p>
              </w:tc>
              <w:tc>
                <w:tcPr>
                  <w:tcW w:w="1329" w:type="pct"/>
                  <w:tcBorders>
                    <w:tl2br w:val="nil"/>
                    <w:tr2bl w:val="nil"/>
                  </w:tcBorders>
                  <w:noWrap w:val="0"/>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t/a</w:t>
                  </w:r>
                </w:p>
              </w:tc>
            </w:tr>
          </w:tbl>
          <w:p>
            <w:pPr>
              <w:pStyle w:val="98"/>
              <w:keepNext w:val="0"/>
              <w:keepLines w:val="0"/>
              <w:pageBreakBefore w:val="0"/>
              <w:widowControl w:val="0"/>
              <w:kinsoku/>
              <w:wordWrap/>
              <w:overflowPunct/>
              <w:topLinePunct w:val="0"/>
              <w:autoSpaceDE/>
              <w:autoSpaceDN/>
              <w:bidi w:val="0"/>
              <w:adjustRightInd/>
              <w:snapToGrid/>
              <w:spacing w:before="157" w:beforeLines="50" w:line="360" w:lineRule="auto"/>
              <w:ind w:firstLine="481" w:firstLineChars="200"/>
              <w:textAlignment w:val="auto"/>
              <w:rPr>
                <w:rFonts w:hint="default" w:ascii="Times New Roman" w:hAnsi="Times New Roman" w:eastAsia="宋体" w:cs="Times New Roman"/>
                <w:b/>
                <w:color w:val="auto"/>
                <w:szCs w:val="24"/>
                <w:highlight w:val="none"/>
                <w:u w:val="none" w:color="auto"/>
              </w:rPr>
            </w:pPr>
            <w:r>
              <w:rPr>
                <w:rFonts w:hint="eastAsia" w:eastAsia="宋体" w:cs="Times New Roman"/>
                <w:b/>
                <w:color w:val="auto"/>
                <w:szCs w:val="24"/>
                <w:highlight w:val="none"/>
                <w:u w:val="none" w:color="auto"/>
                <w:lang w:val="en-US" w:eastAsia="zh-CN"/>
              </w:rPr>
              <w:t>四</w:t>
            </w:r>
            <w:r>
              <w:rPr>
                <w:rFonts w:hint="default" w:ascii="Times New Roman" w:hAnsi="Times New Roman" w:eastAsia="宋体" w:cs="Times New Roman"/>
                <w:b/>
                <w:color w:val="auto"/>
                <w:szCs w:val="24"/>
                <w:highlight w:val="none"/>
                <w:u w:val="none" w:color="auto"/>
              </w:rPr>
              <w:t>、原辅料及能源消耗情况</w:t>
            </w:r>
          </w:p>
          <w:p>
            <w:pPr>
              <w:spacing w:line="360" w:lineRule="auto"/>
              <w:ind w:firstLine="480"/>
              <w:rPr>
                <w:rFonts w:hint="default" w:ascii="Times New Roman" w:hAnsi="Times New Roman"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1、原辅材料用量</w:t>
            </w:r>
          </w:p>
          <w:p>
            <w:pPr>
              <w:spacing w:line="360" w:lineRule="auto"/>
              <w:ind w:firstLine="480"/>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本项目原辅材料用量如下。</w:t>
            </w:r>
          </w:p>
          <w:p>
            <w:pPr>
              <w:keepNext w:val="0"/>
              <w:keepLines w:val="0"/>
              <w:pageBreakBefore w:val="0"/>
              <w:widowControl w:val="0"/>
              <w:kinsoku/>
              <w:wordWrap/>
              <w:overflowPunct/>
              <w:topLinePunct w:val="0"/>
              <w:autoSpaceDE/>
              <w:autoSpaceDN/>
              <w:bidi w:val="0"/>
              <w:adjustRightInd/>
              <w:snapToGrid/>
              <w:spacing w:line="360" w:lineRule="auto"/>
              <w:ind w:firstLine="421" w:firstLineChars="200"/>
              <w:jc w:val="center"/>
              <w:textAlignment w:val="auto"/>
              <w:rPr>
                <w:rFonts w:hint="default" w:ascii="Times New Roman" w:hAnsi="Times New Roman" w:eastAsia="宋体" w:cs="Times New Roman"/>
                <w:b w:val="0"/>
                <w:bCs w:val="0"/>
                <w:color w:val="auto"/>
                <w:highlight w:val="none"/>
                <w:u w:val="single" w:color="auto"/>
                <w:lang w:val="en-US" w:eastAsia="zh-CN"/>
              </w:rPr>
            </w:pPr>
            <w:r>
              <w:rPr>
                <w:rFonts w:hint="default" w:ascii="Times New Roman" w:hAnsi="Times New Roman" w:eastAsia="宋体" w:cs="Times New Roman"/>
                <w:b/>
                <w:color w:val="auto"/>
                <w:sz w:val="21"/>
                <w:szCs w:val="24"/>
                <w:highlight w:val="none"/>
                <w:u w:val="single" w:color="auto"/>
              </w:rPr>
              <w:t>表2-</w:t>
            </w:r>
            <w:r>
              <w:rPr>
                <w:rFonts w:hint="eastAsia" w:cs="Times New Roman"/>
                <w:b/>
                <w:color w:val="auto"/>
                <w:sz w:val="21"/>
                <w:szCs w:val="24"/>
                <w:highlight w:val="none"/>
                <w:u w:val="single" w:color="auto"/>
                <w:lang w:val="en-US" w:eastAsia="zh-CN"/>
              </w:rPr>
              <w:t>3 本项目原辅材料一览表</w:t>
            </w:r>
          </w:p>
          <w:tbl>
            <w:tblPr>
              <w:tblStyle w:val="4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620"/>
              <w:gridCol w:w="1710"/>
              <w:gridCol w:w="975"/>
              <w:gridCol w:w="2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原辅材料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年用量（t/a）</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最大储存量（t）</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包装方式</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PB废塑料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11500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PC废塑料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9000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100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ABS废塑料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9000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100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 xml:space="preserve">PS废塑料 </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11500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200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PE废塑料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2200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PP废塑料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2200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AS废塑料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2200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PA废塑料</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2200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PMMA塑料片</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2200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废开关插座</w:t>
                  </w:r>
                </w:p>
              </w:tc>
              <w:tc>
                <w:tcPr>
                  <w:tcW w:w="162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20000</w:t>
                  </w:r>
                </w:p>
              </w:tc>
              <w:tc>
                <w:tcPr>
                  <w:tcW w:w="171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highlight w:val="none"/>
                      <w:u w:val="single" w:color="auto"/>
                      <w:vertAlign w:val="baseline"/>
                      <w:lang w:val="en-US" w:eastAsia="zh-CN" w:bidi="ar-SA"/>
                    </w:rPr>
                  </w:pPr>
                  <w:r>
                    <w:rPr>
                      <w:rFonts w:hint="eastAsia" w:cs="Times New Roman"/>
                      <w:b w:val="0"/>
                      <w:bCs w:val="0"/>
                      <w:color w:val="auto"/>
                      <w:sz w:val="21"/>
                      <w:szCs w:val="21"/>
                      <w:highlight w:val="none"/>
                      <w:u w:val="single" w:color="auto"/>
                      <w:vertAlign w:val="baseline"/>
                      <w:lang w:val="en-US" w:eastAsia="zh-CN"/>
                    </w:rPr>
                    <w:t>200</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吨袋</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已拆掉线路板的废料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聚合氯化铝（PAC）</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1</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0.1</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袋装</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聚丙烯酰胺（PAM）</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5</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0.5</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袋装</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生产用水</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6411.5</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default" w:ascii="Times New Roman" w:hAnsi="Times New Roman" w:eastAsia="宋体" w:cs="Times New Roman"/>
                      <w:bCs/>
                      <w:color w:val="auto"/>
                      <w:sz w:val="18"/>
                      <w:szCs w:val="18"/>
                      <w:highlight w:val="none"/>
                      <w:u w:val="single" w:color="auto"/>
                    </w:rPr>
                    <w:t>湖南汨罗循环经济产业园再生材料产业园污水处理厂处理后的中水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生活用水</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760</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w:t>
                  </w: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自来水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电</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400万度/年</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9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r>
                    <w:rPr>
                      <w:rFonts w:hint="eastAsia" w:cs="Times New Roman"/>
                      <w:b w:val="0"/>
                      <w:bCs w:val="0"/>
                      <w:color w:val="auto"/>
                      <w:sz w:val="21"/>
                      <w:szCs w:val="21"/>
                      <w:highlight w:val="none"/>
                      <w:u w:val="single" w:color="auto"/>
                      <w:vertAlign w:val="baseline"/>
                      <w:lang w:val="en-US" w:eastAsia="zh-CN"/>
                    </w:rPr>
                    <w:t>/</w:t>
                  </w:r>
                </w:p>
              </w:tc>
              <w:tc>
                <w:tcPr>
                  <w:tcW w:w="2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bl>
          <w:p>
            <w:pPr>
              <w:spacing w:line="360" w:lineRule="auto"/>
              <w:ind w:firstLine="480"/>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原辅材料理化性质：</w:t>
            </w:r>
          </w:p>
          <w:p>
            <w:pPr>
              <w:spacing w:line="360" w:lineRule="auto"/>
              <w:ind w:firstLine="480"/>
              <w:rPr>
                <w:rFonts w:hint="eastAsia"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废开关插座：面板材质主要为ABS和PC，开关载流体为黄铜。</w:t>
            </w:r>
          </w:p>
          <w:p>
            <w:pPr>
              <w:spacing w:line="360" w:lineRule="auto"/>
              <w:ind w:firstLine="480"/>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废塑料：本项目回收的废塑料种类主要为</w:t>
            </w:r>
            <w:r>
              <w:rPr>
                <w:rFonts w:hint="default" w:ascii="Times New Roman" w:hAnsi="Times New Roman" w:eastAsia="宋体" w:cs="Times New Roman"/>
                <w:color w:val="auto"/>
                <w:sz w:val="24"/>
                <w:szCs w:val="24"/>
                <w:highlight w:val="none"/>
                <w:u w:val="none" w:color="auto"/>
              </w:rPr>
              <w:t>PP（</w:t>
            </w:r>
            <w:r>
              <w:rPr>
                <w:rFonts w:hint="default" w:ascii="Times New Roman" w:hAnsi="Times New Roman" w:eastAsia="宋体" w:cs="Times New Roman"/>
                <w:color w:val="auto"/>
                <w:sz w:val="24"/>
                <w:szCs w:val="24"/>
                <w:highlight w:val="none"/>
                <w:u w:val="none" w:color="auto"/>
                <w:lang w:val="en-US" w:eastAsia="zh-CN"/>
              </w:rPr>
              <w:t>废</w:t>
            </w:r>
            <w:r>
              <w:rPr>
                <w:rFonts w:hint="default" w:ascii="Times New Roman" w:hAnsi="Times New Roman" w:eastAsia="宋体" w:cs="Times New Roman"/>
                <w:color w:val="auto"/>
                <w:sz w:val="24"/>
                <w:szCs w:val="24"/>
                <w:highlight w:val="none"/>
                <w:u w:val="none" w:color="auto"/>
              </w:rPr>
              <w:t>聚丙烯）</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废通用塑料、废塑料代码0605</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PE（</w:t>
            </w:r>
            <w:r>
              <w:rPr>
                <w:rFonts w:hint="default" w:ascii="Times New Roman" w:hAnsi="Times New Roman" w:eastAsia="宋体" w:cs="Times New Roman"/>
                <w:color w:val="auto"/>
                <w:sz w:val="24"/>
                <w:szCs w:val="24"/>
                <w:highlight w:val="none"/>
                <w:u w:val="none" w:color="auto"/>
                <w:lang w:val="en-US" w:eastAsia="zh-CN"/>
              </w:rPr>
              <w:t>废</w:t>
            </w:r>
            <w:r>
              <w:rPr>
                <w:rFonts w:hint="default" w:ascii="Times New Roman" w:hAnsi="Times New Roman" w:eastAsia="宋体" w:cs="Times New Roman"/>
                <w:color w:val="auto"/>
                <w:sz w:val="24"/>
                <w:szCs w:val="24"/>
                <w:highlight w:val="none"/>
                <w:u w:val="none" w:color="auto"/>
              </w:rPr>
              <w:t>聚乙烯）</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废通用塑料、废塑料代码060401废低密度聚乙烯、060402废高密度聚乙烯</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ABS（</w:t>
            </w:r>
            <w:r>
              <w:rPr>
                <w:rFonts w:hint="default" w:ascii="Times New Roman" w:hAnsi="Times New Roman" w:eastAsia="宋体" w:cs="Times New Roman"/>
                <w:color w:val="auto"/>
                <w:sz w:val="24"/>
                <w:szCs w:val="24"/>
                <w:highlight w:val="none"/>
                <w:u w:val="none" w:color="auto"/>
                <w:lang w:val="en-US" w:eastAsia="zh-CN"/>
              </w:rPr>
              <w:t>废</w:t>
            </w:r>
            <w:r>
              <w:rPr>
                <w:rFonts w:hint="default" w:ascii="Times New Roman" w:hAnsi="Times New Roman" w:eastAsia="宋体" w:cs="Times New Roman"/>
                <w:color w:val="auto"/>
                <w:sz w:val="24"/>
                <w:szCs w:val="24"/>
                <w:highlight w:val="none"/>
                <w:u w:val="none" w:color="auto"/>
              </w:rPr>
              <w:t>丙烯腈-丁二烯-苯乙烯）</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废通用塑料、废塑料代码0602</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PS（</w:t>
            </w:r>
            <w:r>
              <w:rPr>
                <w:rFonts w:hint="default" w:ascii="Times New Roman" w:hAnsi="Times New Roman" w:eastAsia="宋体" w:cs="Times New Roman"/>
                <w:color w:val="auto"/>
                <w:sz w:val="24"/>
                <w:szCs w:val="24"/>
                <w:highlight w:val="none"/>
                <w:u w:val="none" w:color="auto"/>
                <w:lang w:val="en-US" w:eastAsia="zh-CN"/>
              </w:rPr>
              <w:t>废</w:t>
            </w:r>
            <w:r>
              <w:rPr>
                <w:rFonts w:hint="default" w:ascii="Times New Roman" w:hAnsi="Times New Roman" w:eastAsia="宋体" w:cs="Times New Roman"/>
                <w:color w:val="auto"/>
                <w:sz w:val="24"/>
                <w:szCs w:val="24"/>
                <w:highlight w:val="none"/>
                <w:u w:val="none" w:color="auto"/>
              </w:rPr>
              <w:t>聚苯乙烯系塑料）</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废通用塑料、废塑料代码060601</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、AS（废丙烯腈-苯乙烯共聚物）（废热塑性塑料、废塑料代码0699）、PA（废聚酰胺塑料）（废通用工程塑料、废塑料代码0699）、PMMA（废聚甲基丙烯酸甲酯）（废通用工程塑料、废塑料代码0699）</w:t>
            </w:r>
            <w:r>
              <w:rPr>
                <w:rFonts w:hint="eastAsia" w:cs="Times New Roman"/>
                <w:color w:val="auto"/>
                <w:sz w:val="24"/>
                <w:szCs w:val="24"/>
                <w:highlight w:val="none"/>
                <w:u w:val="none" w:color="auto"/>
                <w:lang w:val="en-US" w:eastAsia="zh-CN"/>
              </w:rPr>
              <w:t>、</w:t>
            </w:r>
            <w:r>
              <w:rPr>
                <w:rFonts w:hint="eastAsia" w:cs="Times New Roman"/>
                <w:b w:val="0"/>
                <w:bCs w:val="0"/>
                <w:color w:val="auto"/>
                <w:highlight w:val="none"/>
                <w:u w:val="none" w:color="auto"/>
                <w:lang w:val="en-US" w:eastAsia="zh-CN"/>
              </w:rPr>
              <w:t>PC（废聚碳酸酯）</w:t>
            </w:r>
            <w:r>
              <w:rPr>
                <w:rFonts w:hint="default" w:ascii="Times New Roman" w:hAnsi="Times New Roman" w:eastAsia="宋体" w:cs="Times New Roman"/>
                <w:color w:val="auto"/>
                <w:sz w:val="24"/>
                <w:szCs w:val="24"/>
                <w:highlight w:val="none"/>
                <w:u w:val="none" w:color="auto"/>
                <w:lang w:val="en-US" w:eastAsia="zh-CN"/>
              </w:rPr>
              <w:t>（废通用工程塑料、废塑料代码0699）</w:t>
            </w:r>
            <w:r>
              <w:rPr>
                <w:rFonts w:hint="eastAsia" w:cs="Times New Roman"/>
                <w:color w:val="auto"/>
                <w:sz w:val="24"/>
                <w:szCs w:val="24"/>
                <w:highlight w:val="none"/>
                <w:u w:val="none" w:color="auto"/>
                <w:lang w:val="en-US" w:eastAsia="zh-CN"/>
              </w:rPr>
              <w:t>、PB（聚丁烯）（</w:t>
            </w:r>
            <w:r>
              <w:rPr>
                <w:rFonts w:hint="default" w:ascii="Times New Roman" w:hAnsi="Times New Roman" w:eastAsia="宋体" w:cs="Times New Roman"/>
                <w:color w:val="auto"/>
                <w:sz w:val="24"/>
                <w:szCs w:val="24"/>
                <w:highlight w:val="none"/>
                <w:u w:val="none" w:color="auto"/>
                <w:lang w:val="en-US" w:eastAsia="zh-CN"/>
              </w:rPr>
              <w:t>废通用工程塑料、废塑料代码0699</w:t>
            </w:r>
            <w:r>
              <w:rPr>
                <w:rFonts w:hint="eastAsia" w:cs="Times New Roman"/>
                <w:color w:val="auto"/>
                <w:sz w:val="24"/>
                <w:szCs w:val="24"/>
                <w:highlight w:val="none"/>
                <w:u w:val="none" w:color="auto"/>
                <w:lang w:val="en-US" w:eastAsia="zh-CN"/>
              </w:rPr>
              <w:t>）。</w:t>
            </w:r>
          </w:p>
          <w:p>
            <w:pPr>
              <w:pStyle w:val="98"/>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表2-4 项目主要原料理化性质一览表</w:t>
            </w:r>
          </w:p>
          <w:tbl>
            <w:tblPr>
              <w:tblStyle w:val="42"/>
              <w:tblW w:w="83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149"/>
              <w:gridCol w:w="6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b/>
                      <w:color w:val="auto"/>
                      <w:sz w:val="18"/>
                      <w:szCs w:val="18"/>
                      <w:highlight w:val="none"/>
                      <w:u w:val="none" w:color="auto"/>
                    </w:rPr>
                    <w:t>序号</w:t>
                  </w:r>
                </w:p>
              </w:tc>
              <w:tc>
                <w:tcPr>
                  <w:tcW w:w="1149"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b/>
                      <w:color w:val="auto"/>
                      <w:sz w:val="18"/>
                      <w:szCs w:val="18"/>
                      <w:highlight w:val="none"/>
                      <w:u w:val="none" w:color="auto"/>
                    </w:rPr>
                    <w:t>原料</w:t>
                  </w:r>
                </w:p>
              </w:tc>
              <w:tc>
                <w:tcPr>
                  <w:tcW w:w="681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b/>
                      <w:color w:val="auto"/>
                      <w:sz w:val="18"/>
                      <w:szCs w:val="18"/>
                      <w:highlight w:val="none"/>
                      <w:u w:val="none" w:color="auto"/>
                    </w:rPr>
                    <w:t>理化性质</w:t>
                  </w:r>
                  <w:r>
                    <w:rPr>
                      <w:rFonts w:hint="default" w:ascii="Times New Roman" w:hAnsi="Times New Roman" w:eastAsia="宋体" w:cs="Times New Roman"/>
                      <w:b/>
                      <w:color w:val="auto"/>
                      <w:sz w:val="18"/>
                      <w:szCs w:val="18"/>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c>
                <w:tcPr>
                  <w:tcW w:w="1149"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PE（聚乙烯）</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聚乙烯为典型的热塑性塑料，是无臭、无味、无毒的可燃性白色粉末。成型加工的PE树脂均是经挤出造粒的蜡状颗粒料，外观呈乳白色。其分子量在1万一loa万范围内。分子量超过10万的则为超高分子量聚乙烯UHMWPE3。分子量越高，其物理力学性能越好，越接近工程材料的要求水平。但分子量越高，其加工的难度也随之增大。聚乙烯熔点为132-135℃，分解温度为 3</w:t>
                  </w:r>
                  <w:r>
                    <w:rPr>
                      <w:rFonts w:hint="default" w:ascii="Times New Roman" w:hAnsi="Times New Roman" w:eastAsia="宋体" w:cs="Times New Roman"/>
                      <w:color w:val="auto"/>
                      <w:sz w:val="18"/>
                      <w:szCs w:val="18"/>
                      <w:highlight w:val="none"/>
                      <w:u w:val="none" w:color="auto"/>
                      <w:lang w:val="en-US" w:eastAsia="zh-CN"/>
                    </w:rPr>
                    <w:t>2</w:t>
                  </w:r>
                  <w:r>
                    <w:rPr>
                      <w:rFonts w:hint="default" w:ascii="Times New Roman" w:hAnsi="Times New Roman" w:eastAsia="宋体" w:cs="Times New Roman"/>
                      <w:color w:val="auto"/>
                      <w:sz w:val="18"/>
                      <w:szCs w:val="18"/>
                      <w:highlight w:val="none"/>
                      <w:u w:val="none" w:color="auto"/>
                    </w:rPr>
                    <w:t>0℃，其耐低温性能优良。在-60℃下仍可保持良好的力学性能，但使用温度在80~110℃。</w:t>
                  </w:r>
                </w:p>
                <w:p>
                  <w:pPr>
                    <w:ind w:firstLine="360" w:firstLineChars="200"/>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聚乙烯化学稳定性较好，室温下可耐稀硝酸、稀硫酸和任何浓度的盐酸、氢氟酸、磷酸、甲酸、醋酸、氨水、胺类、过氧化氢、氢氧化钠、氢氧化钾等溶液。但不耐强氧化的腐蚀，如发烟硫酸·浓硝酸、铬酸与硫酸的混合液。在室温下上述溶剂会对聚乙烯产生缓慢的侵蚀作用，而在90-100℃下，浓硫酸和浓硝酸会快速地侵蚀聚乙烯，使其破坏或分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2</w:t>
                  </w:r>
                </w:p>
              </w:tc>
              <w:tc>
                <w:tcPr>
                  <w:tcW w:w="1149"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PP（聚丙烯）</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具有良好的耐热性，是由丙烯聚合而制得的一种热塑性树脂。熔点温度为164℃---170℃，热稳定性较好，分解温度可达300℃以上，在与氧接触的情况下260℃开始变黄劣化，成型收缩率较大为(1—1.5%)，并具有各向异性，低温成型时易因分子配向而翘曲或扭曲。密度为0.91，具有良好的折叠性能（俗称：百折胶），树脂颗粒有蜡状质感，平均吸水性小于0.02%，成型水分允许含量为0.05%，故成型时一般不作干燥处理，如水份含量过高则可在80℃左右干燥1~2小时，成型时其流动性能对温度和剪切速率均较为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lang w:eastAsia="zh-CN"/>
                    </w:rPr>
                  </w:pPr>
                  <w:r>
                    <w:rPr>
                      <w:rFonts w:hint="default" w:ascii="Times New Roman" w:hAnsi="Times New Roman" w:eastAsia="宋体" w:cs="Times New Roman"/>
                      <w:color w:val="auto"/>
                      <w:sz w:val="18"/>
                      <w:szCs w:val="18"/>
                      <w:highlight w:val="none"/>
                      <w:u w:val="none" w:color="auto"/>
                      <w:lang w:val="en-US" w:eastAsia="zh-CN"/>
                    </w:rPr>
                    <w:t>3</w:t>
                  </w:r>
                </w:p>
              </w:tc>
              <w:tc>
                <w:tcPr>
                  <w:tcW w:w="1149"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ABS（丙烯腈-丁二烯-苯乙烯）</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由丙烯腈(A)、丁二烯(B)、苯乙烯(3)三种单体组分经接枝共聚而成的三元共聚物，成型温度一般在160℃以上，250℃左右开始色泽变黄，270℃以上开始出现分解，树脂一般为浅象牙色不透明之颗粒，干燥温度为80℃~85℃，干燥时间为2~4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4</w:t>
                  </w:r>
                </w:p>
              </w:tc>
              <w:tc>
                <w:tcPr>
                  <w:tcW w:w="1149" w:type="dxa"/>
                  <w:tcBorders>
                    <w:tl2br w:val="nil"/>
                    <w:tr2bl w:val="nil"/>
                  </w:tcBorders>
                  <w:vAlign w:val="center"/>
                </w:tcPr>
                <w:p>
                  <w:pPr>
                    <w:jc w:val="center"/>
                    <w:rPr>
                      <w:rFonts w:hint="eastAsia"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PB（聚丁烯）</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是异丁烯与正丁烯的共聚体，但以异丁烯为主，它不同于聚1-丁烯，而与聚异丁烯相近</w:t>
                  </w:r>
                  <w:r>
                    <w:rPr>
                      <w:rFonts w:hint="eastAsia" w:cs="Times New Roman"/>
                      <w:color w:val="auto"/>
                      <w:sz w:val="18"/>
                      <w:szCs w:val="18"/>
                      <w:highlight w:val="none"/>
                      <w:u w:val="single" w:color="auto"/>
                      <w:lang w:eastAsia="zh-CN"/>
                    </w:rPr>
                    <w:t>。</w:t>
                  </w:r>
                  <w:r>
                    <w:rPr>
                      <w:rFonts w:hint="default" w:ascii="Times New Roman" w:hAnsi="Times New Roman" w:eastAsia="宋体" w:cs="Times New Roman"/>
                      <w:color w:val="auto"/>
                      <w:sz w:val="18"/>
                      <w:szCs w:val="18"/>
                      <w:highlight w:val="none"/>
                      <w:u w:val="single" w:color="auto"/>
                    </w:rPr>
                    <w:t>无色或浅黄色粘稠性液体。无嗅或稍有臭气。平均相 对分子质量500～2500，相对密度0.8～0.9 (15/4℃)。流动点-37～25℃。闪点140～ 230℃。膨胀系数0.0006～0.0009(ml/g·℃)。耐水、硫酸、硝酸、盐酸及乙酸，不溶于乙醇、丙酮，溶于烃、氯代烃、苯、石油醚及乙醚。制品在化学 结构方面属于长链单烯烃，不干及不交联，在280～300℃仍很稳定，其综合性能优于纯聚异丁烯。无刺激性。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5</w:t>
                  </w:r>
                </w:p>
              </w:tc>
              <w:tc>
                <w:tcPr>
                  <w:tcW w:w="1149"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PS（聚苯乙烯系塑料）</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是指大分子链中包括苯乙烯基的一类塑料，包括苯乙烯及其共聚物，具体品种包括普通聚苯乙烯（GPPS）、高抗冲聚苯乙烯（HIPS）、可发性聚苯乙烯（EPS）和茂金属聚苯乙烯（SPS）等。PS被广泛应用于光学工业中，这是因为它有良好的透光性所致，可制造光学玻璃和光学仪器，也可制作透明或颜色鲜艳的，诸如灯罩、照明器具等。单独使用PS作制品，脆性大，而在PS中加入少量其他物质，如丁二烯即可明显降低脆性，提高冲击韧性，这种塑料叫抗冲击PS，它的力学性能大为提高，可用此塑料制作出许多性能优良的机械零件和构件来。通用级聚苯乙烯是一种热塑性树脂，为有光泽的、透明的珠状或粒状的固体。密度1.04～1.09，透明度88%～92%，折射率1.59～1.60。在应力作用下，产生双折射，即所谓应力-光学效应。产品的熔融温度150～180℃，热分解温度</w:t>
                  </w:r>
                  <w:r>
                    <w:rPr>
                      <w:rFonts w:hint="default" w:ascii="Times New Roman" w:hAnsi="Times New Roman" w:eastAsia="宋体" w:cs="Times New Roman"/>
                      <w:color w:val="auto"/>
                      <w:sz w:val="18"/>
                      <w:szCs w:val="18"/>
                      <w:highlight w:val="none"/>
                      <w:u w:val="none" w:color="auto"/>
                      <w:lang w:val="en-US" w:eastAsia="zh-CN"/>
                    </w:rPr>
                    <w:t>＞290</w:t>
                  </w:r>
                  <w:r>
                    <w:rPr>
                      <w:rFonts w:hint="default" w:ascii="Times New Roman" w:hAnsi="Times New Roman" w:eastAsia="宋体" w:cs="Times New Roman"/>
                      <w:color w:val="auto"/>
                      <w:sz w:val="18"/>
                      <w:szCs w:val="18"/>
                      <w:highlight w:val="none"/>
                      <w:u w:val="none" w:color="auto"/>
                    </w:rPr>
                    <w:t>℃，热变形温度70～100℃，长期使用温度为60～80℃。在较热变形温度低5～6℃下，经退火处理后,可消除应力，使热变形温度有所提高。若在生产过程中加入少许α-甲基苯乙烯，可提高通用聚苯乙烯的耐热等级。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eastAsia"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6</w:t>
                  </w:r>
                </w:p>
              </w:tc>
              <w:tc>
                <w:tcPr>
                  <w:tcW w:w="1149" w:type="dxa"/>
                  <w:tcBorders>
                    <w:tl2br w:val="nil"/>
                    <w:tr2bl w:val="nil"/>
                  </w:tcBorders>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AS（丙烯腈-苯乙烯共聚物）</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AS树脂的学名为丙烯腈-苯乙烯共聚物（acrylonitrile-styrene copolymer).由丙烯腈与苯乙烯共聚而成的高分子化合物，一般含苯乙烯15%-50%，透明而带黄色至琥珀针色的固体，密度1.06，折射率1．57，平衡吸水性0．66%，热变形温度82-105℃。具有高光泽、高透明、高冲击、良好的耐热性和机械性能。刚性大，具有较高的化学稳定性，耐水、耐油、耐酸、耐碱、耐醇类。溶于酮类溶剂和某些芳烃、氯代烃。耐候性中等，脆性较大。有热塑性。不易变色。不受稀酸、稀碱、稀醇和汽油的影响。但溶于丙酮、乙酸乙酯、二氯乙烯等中。可用作工程塑料，具有优良的耐热性和耐溶剂性。用于制耐油机械零件、仪表壳、仪表盘、电池盒、拖拉机油箱、蓄电池外壳、包装容器、日用品等。也可抽成单丝。但主要用作生产ABS树脂的掺混料。</w:t>
                  </w:r>
                  <w:r>
                    <w:rPr>
                      <w:rFonts w:hint="default" w:ascii="Times New Roman" w:hAnsi="Times New Roman" w:eastAsia="宋体" w:cs="Times New Roman"/>
                      <w:color w:val="auto"/>
                      <w:sz w:val="18"/>
                      <w:szCs w:val="18"/>
                      <w:u w:val="none" w:color="auto"/>
                      <w:lang w:val="en-US" w:eastAsia="zh-CN"/>
                    </w:rPr>
                    <w:t>AS造粒工序控制温度在190~240℃、热分解温度＞300℃。</w:t>
                  </w:r>
                </w:p>
                <w:p>
                  <w:pPr>
                    <w:ind w:firstLine="360" w:firstLineChars="200"/>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急性毒性半致死剂量(LD50) 经口 - 大鼠 - 1,800 mg/kg</w:t>
                  </w:r>
                  <w:r>
                    <w:rPr>
                      <w:rFonts w:hint="default" w:ascii="Times New Roman" w:hAnsi="Times New Roman" w:eastAsia="宋体" w:cs="Times New Roman"/>
                      <w:color w:val="auto"/>
                      <w:sz w:val="18"/>
                      <w:szCs w:val="18"/>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7</w:t>
                  </w:r>
                </w:p>
              </w:tc>
              <w:tc>
                <w:tcPr>
                  <w:tcW w:w="1149" w:type="dxa"/>
                  <w:tcBorders>
                    <w:tl2br w:val="nil"/>
                    <w:tr2bl w:val="nil"/>
                  </w:tcBorders>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PA（聚酰胺）</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俗称尼龙，具有良好的综合性能，包括力学性能、耐热性、耐磨损性、耐化学药品性和自润滑性，且摩擦系数低，有一定的阻燃性，易于加工，适于用玻璃纤维和其它填料填充增强改性，提高性能和扩大应用范围。PA具有良好的综合性能，包括力学性能、耐热性、耐磨损性、耐化学药品性和自润滑性，且摩擦系数低，有一定的阻燃性，易于加工，适于用玻璃纤维和其它填料填充增强改性，提高性能和扩大应用范围。PA的品种繁多，有PA6、PA66、PAll、PAl2、PA46、PA610、PA612、PAl010等，PA66成型温度：220-300℃，PA66塑胶原料为半透明或不透明乳白色结晶形聚合物，具有可塑性。密度1.15g/cm</w:t>
                  </w:r>
                  <w:r>
                    <w:rPr>
                      <w:rFonts w:hint="default" w:ascii="Times New Roman" w:hAnsi="Times New Roman" w:eastAsia="宋体" w:cs="Times New Roman"/>
                      <w:color w:val="auto"/>
                      <w:sz w:val="18"/>
                      <w:szCs w:val="18"/>
                      <w:u w:val="none" w:color="auto"/>
                      <w:vertAlign w:val="superscript"/>
                    </w:rPr>
                    <w:t>3</w:t>
                  </w:r>
                  <w:r>
                    <w:rPr>
                      <w:rFonts w:hint="default" w:ascii="Times New Roman" w:hAnsi="Times New Roman" w:eastAsia="宋体" w:cs="Times New Roman"/>
                      <w:color w:val="auto"/>
                      <w:sz w:val="18"/>
                      <w:szCs w:val="18"/>
                      <w:u w:val="none" w:color="auto"/>
                    </w:rPr>
                    <w:t>。熔点252℃。脆化温度-30℃。热分解温度大于3</w:t>
                  </w:r>
                  <w:r>
                    <w:rPr>
                      <w:rFonts w:hint="default" w:ascii="Times New Roman" w:hAnsi="Times New Roman" w:eastAsia="宋体" w:cs="Times New Roman"/>
                      <w:color w:val="auto"/>
                      <w:sz w:val="18"/>
                      <w:szCs w:val="18"/>
                      <w:u w:val="none" w:color="auto"/>
                      <w:lang w:val="en-US" w:eastAsia="zh-CN"/>
                    </w:rPr>
                    <w:t>1</w:t>
                  </w:r>
                  <w:r>
                    <w:rPr>
                      <w:rFonts w:hint="default" w:ascii="Times New Roman" w:hAnsi="Times New Roman" w:eastAsia="宋体" w:cs="Times New Roman"/>
                      <w:color w:val="auto"/>
                      <w:sz w:val="18"/>
                      <w:szCs w:val="18"/>
                      <w:u w:val="none" w:color="auto"/>
                    </w:rPr>
                    <w:t>0℃。 连续耐热80-120℃，平衡吸水率2.5%。具有优良的耐磨性、自润滑性，机械强度较高。PA6(聚酰胺)俗称单六尼龙熔点为215℃~221℃，310℃开始分解</w:t>
                  </w:r>
                  <w:r>
                    <w:rPr>
                      <w:rFonts w:hint="default" w:ascii="Times New Roman" w:hAnsi="Times New Roman" w:eastAsia="宋体" w:cs="Times New Roman"/>
                      <w:color w:val="auto"/>
                      <w:sz w:val="18"/>
                      <w:szCs w:val="18"/>
                      <w:u w:val="none" w:color="auto"/>
                      <w:lang w:eastAsia="zh-CN"/>
                    </w:rPr>
                    <w:t>；PA66(俗称双六尼龙)熔点为260℃~65℃，310℃左右开始分解，干燥工艺与尼龙6相同，PA类树脂温度过高易引起物料变色发黄。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8</w:t>
                  </w:r>
                </w:p>
              </w:tc>
              <w:tc>
                <w:tcPr>
                  <w:tcW w:w="1149" w:type="dxa"/>
                  <w:tcBorders>
                    <w:tl2br w:val="nil"/>
                    <w:tr2bl w:val="nil"/>
                  </w:tcBorders>
                  <w:vAlign w:val="center"/>
                </w:tcPr>
                <w:p>
                  <w:pPr>
                    <w:pStyle w:val="92"/>
                    <w:spacing w:before="24" w:after="24"/>
                    <w:rPr>
                      <w:rFonts w:hint="default" w:ascii="Times New Roman" w:hAnsi="Times New Roman" w:eastAsia="宋体" w:cs="Times New Roman"/>
                      <w:color w:val="auto"/>
                      <w:kern w:val="0"/>
                      <w:sz w:val="18"/>
                      <w:szCs w:val="18"/>
                      <w:u w:val="none" w:color="auto"/>
                      <w:lang w:val="en-US" w:eastAsia="zh-CN" w:bidi="ar-SA"/>
                    </w:rPr>
                  </w:pPr>
                  <w:r>
                    <w:rPr>
                      <w:rFonts w:hint="default" w:ascii="Times New Roman" w:hAnsi="Times New Roman" w:eastAsia="宋体" w:cs="Times New Roman"/>
                      <w:color w:val="auto"/>
                      <w:sz w:val="18"/>
                      <w:szCs w:val="18"/>
                      <w:u w:val="none" w:color="auto"/>
                    </w:rPr>
                    <w:t>PMMA（聚甲基丙烯酸甲酯）</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kern w:val="2"/>
                      <w:sz w:val="18"/>
                      <w:szCs w:val="18"/>
                      <w:u w:val="none" w:color="auto"/>
                      <w:lang w:val="en-US" w:eastAsia="zh-CN" w:bidi="ar-SA"/>
                    </w:rPr>
                  </w:pPr>
                  <w:r>
                    <w:rPr>
                      <w:rFonts w:hint="default" w:ascii="Times New Roman" w:hAnsi="Times New Roman" w:eastAsia="宋体" w:cs="Times New Roman"/>
                      <w:color w:val="auto"/>
                      <w:sz w:val="18"/>
                      <w:szCs w:val="18"/>
                      <w:u w:val="none" w:color="auto"/>
                    </w:rPr>
                    <w:t>是一种高分子聚合物，又称作亚克力或有机玻璃，具有高透明度，低价格，易于机械加工等优点，是平常经常使用的玻璃替代材料。无色透明，透光率达90%-92%，韧性强，比硅玻璃大10倍以上。光学性、绝缘性、加工性及耐候性佳。溶解于四氯化碳、苯、甲苯、二氯乙烷、三氯甲烷和丙酮等有机溶剂。具有较高透明度和光亮度，耐热性好，并有坚韧，质硬，刚性特点，热变形温度80℃，弯曲强度110Mpa。密度1.14-1.20g/cm</w:t>
                  </w:r>
                  <w:r>
                    <w:rPr>
                      <w:rFonts w:hint="default" w:ascii="Times New Roman" w:hAnsi="Times New Roman" w:eastAsia="宋体" w:cs="Times New Roman"/>
                      <w:color w:val="auto"/>
                      <w:sz w:val="18"/>
                      <w:szCs w:val="18"/>
                      <w:u w:val="none" w:color="auto"/>
                      <w:vertAlign w:val="superscript"/>
                    </w:rPr>
                    <w:t>3</w:t>
                  </w:r>
                  <w:r>
                    <w:rPr>
                      <w:rFonts w:hint="default" w:ascii="Times New Roman" w:hAnsi="Times New Roman" w:eastAsia="宋体" w:cs="Times New Roman"/>
                      <w:color w:val="auto"/>
                      <w:sz w:val="18"/>
                      <w:szCs w:val="18"/>
                      <w:u w:val="none" w:color="auto"/>
                    </w:rPr>
                    <w:t>，变形温度76-116℃，成型收缩率0.2-0.8%。线膨胀系数0.00005-0.00009/℃，热变形温度68-69℃（74-107℃）。PMMA(聚甲基丙烯酸甲酯)玻璃化温度为105℃，熔融温度大于160℃，分解温度在270℃以上</w:t>
                  </w:r>
                  <w:r>
                    <w:rPr>
                      <w:rFonts w:hint="default" w:ascii="Times New Roman" w:hAnsi="Times New Roman" w:eastAsia="宋体" w:cs="Times New Roman"/>
                      <w:color w:val="auto"/>
                      <w:sz w:val="18"/>
                      <w:szCs w:val="18"/>
                      <w:u w:val="none" w:color="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9</w:t>
                  </w:r>
                </w:p>
              </w:tc>
              <w:tc>
                <w:tcPr>
                  <w:tcW w:w="1149" w:type="dxa"/>
                  <w:tcBorders>
                    <w:tl2br w:val="nil"/>
                    <w:tr2bl w:val="nil"/>
                  </w:tcBorders>
                  <w:vAlign w:val="center"/>
                </w:tcPr>
                <w:p>
                  <w:pPr>
                    <w:pStyle w:val="92"/>
                    <w:spacing w:before="24" w:after="24"/>
                    <w:rPr>
                      <w:rFonts w:hint="eastAsia" w:ascii="Times New Roman" w:hAnsi="Times New Roman" w:eastAsia="宋体" w:cs="Times New Roman"/>
                      <w:color w:val="auto"/>
                      <w:sz w:val="18"/>
                      <w:szCs w:val="18"/>
                      <w:u w:val="none" w:color="auto"/>
                      <w:lang w:val="en-US" w:eastAsia="zh-CN"/>
                    </w:rPr>
                  </w:pPr>
                  <w:r>
                    <w:rPr>
                      <w:rFonts w:hint="eastAsia" w:ascii="Times New Roman" w:cs="Times New Roman"/>
                      <w:color w:val="auto"/>
                      <w:sz w:val="18"/>
                      <w:szCs w:val="18"/>
                      <w:u w:val="none" w:color="auto"/>
                      <w:lang w:val="en-US" w:eastAsia="zh-CN"/>
                    </w:rPr>
                    <w:t>PC（聚碳酸酯）</w:t>
                  </w:r>
                </w:p>
              </w:tc>
              <w:tc>
                <w:tcPr>
                  <w:tcW w:w="6810" w:type="dxa"/>
                  <w:tcBorders>
                    <w:tl2br w:val="nil"/>
                    <w:tr2bl w:val="nil"/>
                  </w:tcBorders>
                  <w:vAlign w:val="center"/>
                </w:tcPr>
                <w:p>
                  <w:pPr>
                    <w:ind w:firstLine="360" w:firstLineChars="200"/>
                    <w:rPr>
                      <w:rFonts w:hint="eastAsia" w:ascii="Times New Roman" w:hAnsi="Times New Roman" w:eastAsia="宋体" w:cs="Times New Roman"/>
                      <w:color w:val="auto"/>
                      <w:sz w:val="18"/>
                      <w:szCs w:val="18"/>
                      <w:u w:val="none" w:color="auto"/>
                      <w:lang w:eastAsia="zh-CN"/>
                    </w:rPr>
                  </w:pPr>
                  <w:r>
                    <w:rPr>
                      <w:rFonts w:hint="default" w:ascii="Times New Roman" w:hAnsi="Times New Roman" w:eastAsia="宋体" w:cs="Times New Roman"/>
                      <w:color w:val="auto"/>
                      <w:sz w:val="18"/>
                      <w:szCs w:val="18"/>
                      <w:u w:val="none" w:color="auto"/>
                    </w:rPr>
                    <w:t>聚碳酸酯(简称PC)是无毒、无臭、无色至淡黄色透明的固体</w:t>
                  </w:r>
                  <w:r>
                    <w:rPr>
                      <w:rFonts w:hint="eastAsia" w:cs="Times New Roman"/>
                      <w:color w:val="auto"/>
                      <w:sz w:val="18"/>
                      <w:szCs w:val="18"/>
                      <w:u w:val="none" w:color="auto"/>
                      <w:lang w:eastAsia="zh-CN"/>
                    </w:rPr>
                    <w:t>，分子链中含有碳酸酯基的高分子聚合物，根据酯基的结构可分为脂肪族、芳香族、脂肪族-芳香族等多种类型。其中由于脂肪族和脂肪族-芳香族聚碳酸酯的机械性能较低，从而限制了其在工程塑料方面的应用。密度：1.18－1.22 g/cm</w:t>
                  </w:r>
                  <w:r>
                    <w:rPr>
                      <w:rFonts w:hint="eastAsia" w:cs="Times New Roman"/>
                      <w:color w:val="auto"/>
                      <w:sz w:val="18"/>
                      <w:szCs w:val="18"/>
                      <w:u w:val="none" w:color="auto"/>
                      <w:vertAlign w:val="superscript"/>
                      <w:lang w:eastAsia="zh-CN"/>
                    </w:rPr>
                    <w:t>3</w:t>
                  </w:r>
                  <w:r>
                    <w:rPr>
                      <w:rFonts w:hint="eastAsia" w:cs="Times New Roman"/>
                      <w:color w:val="auto"/>
                      <w:sz w:val="18"/>
                      <w:szCs w:val="18"/>
                      <w:u w:val="none" w:color="auto"/>
                      <w:lang w:eastAsia="zh-CN"/>
                    </w:rPr>
                    <w:t xml:space="preserve"> 线膨胀率：3.8×1</w:t>
                  </w:r>
                  <w:r>
                    <w:rPr>
                      <w:rFonts w:hint="eastAsia" w:cs="Times New Roman"/>
                      <w:color w:val="auto"/>
                      <w:sz w:val="18"/>
                      <w:szCs w:val="18"/>
                      <w:u w:val="none" w:color="auto"/>
                      <w:vertAlign w:val="superscript"/>
                      <w:lang w:eastAsia="zh-CN"/>
                    </w:rPr>
                    <w:t>0-5</w:t>
                  </w:r>
                  <w:r>
                    <w:rPr>
                      <w:rFonts w:hint="eastAsia" w:cs="Times New Roman"/>
                      <w:color w:val="auto"/>
                      <w:sz w:val="18"/>
                      <w:szCs w:val="18"/>
                      <w:u w:val="none" w:color="auto"/>
                      <w:lang w:eastAsia="zh-CN"/>
                    </w:rPr>
                    <w:t xml:space="preserve"> cm/°C 热变形温度：135</w:t>
                  </w:r>
                  <w:r>
                    <w:rPr>
                      <w:rFonts w:hint="eastAsia" w:cs="Times New Roman"/>
                      <w:color w:val="auto"/>
                      <w:sz w:val="18"/>
                      <w:szCs w:val="18"/>
                      <w:u w:val="none" w:color="auto"/>
                      <w:lang w:val="en-US" w:eastAsia="zh-CN"/>
                    </w:rPr>
                    <w:t>℃</w:t>
                  </w:r>
                  <w:r>
                    <w:rPr>
                      <w:rFonts w:hint="eastAsia" w:cs="Times New Roman"/>
                      <w:color w:val="auto"/>
                      <w:sz w:val="18"/>
                      <w:szCs w:val="18"/>
                      <w:u w:val="none" w:color="auto"/>
                      <w:lang w:eastAsia="zh-CN"/>
                    </w:rPr>
                    <w:t xml:space="preserve"> 低温-45</w:t>
                  </w:r>
                  <w:r>
                    <w:rPr>
                      <w:rFonts w:hint="eastAsia" w:cs="Times New Roman"/>
                      <w:color w:val="auto"/>
                      <w:sz w:val="18"/>
                      <w:szCs w:val="18"/>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10</w:t>
                  </w:r>
                </w:p>
              </w:tc>
              <w:tc>
                <w:tcPr>
                  <w:tcW w:w="1149" w:type="dxa"/>
                  <w:tcBorders>
                    <w:tl2br w:val="nil"/>
                    <w:tr2bl w:val="nil"/>
                  </w:tcBorders>
                  <w:vAlign w:val="center"/>
                </w:tcPr>
                <w:p>
                  <w:pPr>
                    <w:pStyle w:val="92"/>
                    <w:spacing w:before="24" w:after="24"/>
                    <w:rPr>
                      <w:rFonts w:hint="eastAsia" w:ascii="Times New Roman" w:hAnsi="Times New Roman" w:eastAsia="宋体" w:cs="Times New Roman"/>
                      <w:color w:val="auto"/>
                      <w:sz w:val="18"/>
                      <w:szCs w:val="18"/>
                      <w:u w:val="none" w:color="auto"/>
                      <w:lang w:val="en-US" w:eastAsia="zh-CN"/>
                    </w:rPr>
                  </w:pPr>
                  <w:r>
                    <w:rPr>
                      <w:rFonts w:hint="eastAsia" w:ascii="Times New Roman" w:cs="Times New Roman"/>
                      <w:color w:val="auto"/>
                      <w:sz w:val="18"/>
                      <w:szCs w:val="18"/>
                      <w:u w:val="none" w:color="auto"/>
                      <w:lang w:val="en-US" w:eastAsia="zh-CN"/>
                    </w:rPr>
                    <w:t>黄铜</w:t>
                  </w:r>
                </w:p>
              </w:tc>
              <w:tc>
                <w:tcPr>
                  <w:tcW w:w="6810" w:type="dxa"/>
                  <w:tcBorders>
                    <w:tl2br w:val="nil"/>
                    <w:tr2bl w:val="nil"/>
                  </w:tcBorders>
                  <w:vAlign w:val="center"/>
                </w:tcPr>
                <w:p>
                  <w:pPr>
                    <w:ind w:firstLine="360" w:firstLineChars="20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其质硬、弹性略弱、导电率中等，呈亮黄色。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u w:val="none" w:color="auto"/>
                      <w:lang w:val="en-US" w:eastAsia="zh-CN" w:bidi="ar-SA"/>
                    </w:rPr>
                  </w:pPr>
                  <w:r>
                    <w:rPr>
                      <w:rFonts w:hint="eastAsia" w:cs="Times New Roman"/>
                      <w:color w:val="auto"/>
                      <w:sz w:val="18"/>
                      <w:szCs w:val="18"/>
                      <w:u w:val="none" w:color="auto"/>
                      <w:lang w:val="en-US" w:eastAsia="zh-CN"/>
                    </w:rPr>
                    <w:t>11</w:t>
                  </w:r>
                </w:p>
              </w:tc>
              <w:tc>
                <w:tcPr>
                  <w:tcW w:w="1149" w:type="dxa"/>
                  <w:tcBorders>
                    <w:tl2br w:val="nil"/>
                    <w:tr2bl w:val="nil"/>
                  </w:tcBorders>
                  <w:vAlign w:val="center"/>
                </w:tcPr>
                <w:p>
                  <w:pPr>
                    <w:pStyle w:val="92"/>
                    <w:spacing w:before="24" w:after="24"/>
                    <w:rPr>
                      <w:rFonts w:hint="default" w:ascii="Times New Roman" w:cs="Times New Roman"/>
                      <w:color w:val="auto"/>
                      <w:sz w:val="18"/>
                      <w:szCs w:val="18"/>
                      <w:u w:val="none" w:color="auto"/>
                      <w:lang w:val="en-US" w:eastAsia="zh-CN"/>
                    </w:rPr>
                  </w:pPr>
                  <w:r>
                    <w:rPr>
                      <w:rFonts w:hint="eastAsia" w:ascii="Times New Roman" w:cs="Times New Roman"/>
                      <w:color w:val="auto"/>
                      <w:sz w:val="18"/>
                      <w:szCs w:val="18"/>
                      <w:u w:val="none" w:color="auto"/>
                      <w:lang w:val="en-US" w:eastAsia="zh-CN"/>
                    </w:rPr>
                    <w:t>PAC</w:t>
                  </w:r>
                </w:p>
              </w:tc>
              <w:tc>
                <w:tcPr>
                  <w:tcW w:w="6810" w:type="dxa"/>
                  <w:tcBorders>
                    <w:tl2br w:val="nil"/>
                    <w:tr2bl w:val="nil"/>
                  </w:tcBorders>
                  <w:vAlign w:val="center"/>
                </w:tcPr>
                <w:p>
                  <w:pPr>
                    <w:ind w:firstLine="360" w:firstLineChars="200"/>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聚合氯化铝，黄色、淡黄色或白色的粉末或颗粒，具有吸附、凝聚、沉淀等性能，其稳定性差，有腐蚀性。是介于AlCl</w:t>
                  </w:r>
                  <w:r>
                    <w:rPr>
                      <w:rFonts w:hint="eastAsia" w:cs="Times New Roman"/>
                      <w:color w:val="auto"/>
                      <w:sz w:val="18"/>
                      <w:szCs w:val="18"/>
                      <w:u w:val="none" w:color="auto"/>
                      <w:vertAlign w:val="subscript"/>
                      <w:lang w:val="en-US" w:eastAsia="zh-CN"/>
                    </w:rPr>
                    <w:t>3</w:t>
                  </w:r>
                  <w:r>
                    <w:rPr>
                      <w:rFonts w:hint="eastAsia" w:cs="Times New Roman"/>
                      <w:color w:val="auto"/>
                      <w:sz w:val="18"/>
                      <w:szCs w:val="18"/>
                      <w:u w:val="none" w:color="auto"/>
                      <w:lang w:val="en-US" w:eastAsia="zh-CN"/>
                    </w:rPr>
                    <w:t>和Al(OH)</w:t>
                  </w:r>
                  <w:r>
                    <w:rPr>
                      <w:rFonts w:hint="eastAsia" w:cs="Times New Roman"/>
                      <w:color w:val="auto"/>
                      <w:sz w:val="18"/>
                      <w:szCs w:val="18"/>
                      <w:u w:val="none" w:color="auto"/>
                      <w:vertAlign w:val="subscript"/>
                      <w:lang w:val="en-US" w:eastAsia="zh-CN"/>
                    </w:rPr>
                    <w:t>3</w:t>
                  </w:r>
                  <w:r>
                    <w:rPr>
                      <w:rFonts w:hint="eastAsia" w:cs="Times New Roman"/>
                      <w:color w:val="auto"/>
                      <w:sz w:val="18"/>
                      <w:szCs w:val="18"/>
                      <w:u w:val="none" w:color="auto"/>
                      <w:lang w:val="en-US" w:eastAsia="zh-CN"/>
                    </w:rPr>
                    <w:t>之间的一种水溶性无机高分子聚合物，化学通式为[Al</w:t>
                  </w:r>
                  <w:r>
                    <w:rPr>
                      <w:rFonts w:hint="eastAsia" w:cs="Times New Roman"/>
                      <w:color w:val="auto"/>
                      <w:sz w:val="18"/>
                      <w:szCs w:val="18"/>
                      <w:u w:val="none" w:color="auto"/>
                      <w:vertAlign w:val="subscript"/>
                      <w:lang w:val="en-US" w:eastAsia="zh-CN"/>
                    </w:rPr>
                    <w:t>2</w:t>
                  </w:r>
                  <w:r>
                    <w:rPr>
                      <w:rFonts w:hint="eastAsia" w:cs="Times New Roman"/>
                      <w:color w:val="auto"/>
                      <w:sz w:val="18"/>
                      <w:szCs w:val="18"/>
                      <w:u w:val="none" w:color="auto"/>
                      <w:lang w:val="en-US" w:eastAsia="zh-CN"/>
                    </w:rPr>
                    <w:t>(OH)</w:t>
                  </w:r>
                  <w:r>
                    <w:rPr>
                      <w:rFonts w:hint="eastAsia" w:cs="Times New Roman"/>
                      <w:color w:val="auto"/>
                      <w:sz w:val="18"/>
                      <w:szCs w:val="18"/>
                      <w:u w:val="none" w:color="auto"/>
                      <w:vertAlign w:val="subscript"/>
                      <w:lang w:val="en-US" w:eastAsia="zh-CN"/>
                    </w:rPr>
                    <w:t>n</w:t>
                  </w:r>
                  <w:r>
                    <w:rPr>
                      <w:rFonts w:hint="eastAsia" w:cs="Times New Roman"/>
                      <w:color w:val="auto"/>
                      <w:sz w:val="18"/>
                      <w:szCs w:val="18"/>
                      <w:u w:val="none" w:color="auto"/>
                      <w:lang w:val="en-US" w:eastAsia="zh-CN"/>
                    </w:rPr>
                    <w:t>Cl</w:t>
                  </w:r>
                  <w:r>
                    <w:rPr>
                      <w:rFonts w:hint="eastAsia" w:cs="Times New Roman"/>
                      <w:color w:val="auto"/>
                      <w:sz w:val="18"/>
                      <w:szCs w:val="18"/>
                      <w:u w:val="none" w:color="auto"/>
                      <w:vertAlign w:val="subscript"/>
                      <w:lang w:val="en-US" w:eastAsia="zh-CN"/>
                    </w:rPr>
                    <w:t>6-n</w:t>
                  </w:r>
                  <w:r>
                    <w:rPr>
                      <w:rFonts w:hint="eastAsia" w:cs="Times New Roman"/>
                      <w:color w:val="auto"/>
                      <w:sz w:val="18"/>
                      <w:szCs w:val="18"/>
                      <w:u w:val="none" w:color="auto"/>
                      <w:lang w:val="en-US" w:eastAsia="zh-CN"/>
                    </w:rPr>
                    <w:t>]</w:t>
                  </w:r>
                  <w:r>
                    <w:rPr>
                      <w:rFonts w:hint="eastAsia" w:cs="Times New Roman"/>
                      <w:color w:val="auto"/>
                      <w:sz w:val="18"/>
                      <w:szCs w:val="18"/>
                      <w:u w:val="none" w:color="auto"/>
                      <w:vertAlign w:val="subscript"/>
                      <w:lang w:val="en-US" w:eastAsia="zh-CN"/>
                    </w:rPr>
                    <w:t>m</w:t>
                  </w:r>
                  <w:r>
                    <w:rPr>
                      <w:rFonts w:hint="eastAsia" w:cs="Times New Roman"/>
                      <w:color w:val="auto"/>
                      <w:sz w:val="18"/>
                      <w:szCs w:val="18"/>
                      <w:u w:val="none" w:color="auto"/>
                      <w:lang w:val="en-US" w:eastAsia="zh-CN"/>
                    </w:rPr>
                    <w:t>，其中m代表聚合程度，n表示PAC产品的中性程度，n=1~5为具有Keggin结构的高电荷聚合环链体，对水中胶体和颗粒物具有高度电中和及侨联作用，并可强力去除有毒物及重金属离子，性状稳定，常作为新兴净水材料、混凝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dxa"/>
                  <w:tcBorders>
                    <w:tl2br w:val="nil"/>
                    <w:tr2bl w:val="nil"/>
                  </w:tcBorders>
                  <w:vAlign w:val="center"/>
                </w:tcPr>
                <w:p>
                  <w:pPr>
                    <w:jc w:val="center"/>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12</w:t>
                  </w:r>
                </w:p>
              </w:tc>
              <w:tc>
                <w:tcPr>
                  <w:tcW w:w="1149" w:type="dxa"/>
                  <w:tcBorders>
                    <w:tl2br w:val="nil"/>
                    <w:tr2bl w:val="nil"/>
                  </w:tcBorders>
                  <w:vAlign w:val="center"/>
                </w:tcPr>
                <w:p>
                  <w:pPr>
                    <w:pStyle w:val="92"/>
                    <w:spacing w:before="24" w:after="24"/>
                    <w:rPr>
                      <w:rFonts w:hint="default" w:ascii="Times New Roman" w:cs="Times New Roman"/>
                      <w:color w:val="auto"/>
                      <w:sz w:val="18"/>
                      <w:szCs w:val="18"/>
                      <w:u w:val="none" w:color="auto"/>
                      <w:lang w:val="en-US" w:eastAsia="zh-CN"/>
                    </w:rPr>
                  </w:pPr>
                  <w:r>
                    <w:rPr>
                      <w:rFonts w:hint="eastAsia" w:ascii="Times New Roman" w:cs="Times New Roman"/>
                      <w:color w:val="auto"/>
                      <w:sz w:val="18"/>
                      <w:szCs w:val="18"/>
                      <w:u w:val="none" w:color="auto"/>
                      <w:lang w:val="en-US" w:eastAsia="zh-CN"/>
                    </w:rPr>
                    <w:t>PAM</w:t>
                  </w:r>
                </w:p>
              </w:tc>
              <w:tc>
                <w:tcPr>
                  <w:tcW w:w="6810" w:type="dxa"/>
                  <w:tcBorders>
                    <w:tl2br w:val="nil"/>
                    <w:tr2bl w:val="nil"/>
                  </w:tcBorders>
                  <w:vAlign w:val="center"/>
                </w:tcPr>
                <w:p>
                  <w:pPr>
                    <w:ind w:firstLine="360" w:firstLineChars="200"/>
                    <w:rPr>
                      <w:rFonts w:hint="default" w:cs="Times New Roman"/>
                      <w:color w:val="auto"/>
                      <w:sz w:val="18"/>
                      <w:szCs w:val="18"/>
                      <w:u w:val="none" w:color="auto"/>
                      <w:lang w:val="en-US" w:eastAsia="zh-CN"/>
                    </w:rPr>
                  </w:pPr>
                  <w:r>
                    <w:rPr>
                      <w:rFonts w:hint="eastAsia" w:cs="Times New Roman"/>
                      <w:color w:val="auto"/>
                      <w:sz w:val="18"/>
                      <w:szCs w:val="18"/>
                      <w:u w:val="none" w:color="auto"/>
                      <w:lang w:val="en-US" w:eastAsia="zh-CN"/>
                    </w:rPr>
                    <w:t>聚丙烯酰胺，是一种线型高分子聚合物，化学式为(C</w:t>
                  </w:r>
                  <w:r>
                    <w:rPr>
                      <w:rFonts w:hint="eastAsia" w:cs="Times New Roman"/>
                      <w:color w:val="auto"/>
                      <w:sz w:val="18"/>
                      <w:szCs w:val="18"/>
                      <w:u w:val="none" w:color="auto"/>
                      <w:vertAlign w:val="subscript"/>
                      <w:lang w:val="en-US" w:eastAsia="zh-CN"/>
                    </w:rPr>
                    <w:t>3</w:t>
                  </w:r>
                  <w:r>
                    <w:rPr>
                      <w:rFonts w:hint="eastAsia" w:cs="Times New Roman"/>
                      <w:color w:val="auto"/>
                      <w:sz w:val="18"/>
                      <w:szCs w:val="18"/>
                      <w:u w:val="none" w:color="auto"/>
                      <w:lang w:val="en-US" w:eastAsia="zh-CN"/>
                    </w:rPr>
                    <w:t>H</w:t>
                  </w:r>
                  <w:r>
                    <w:rPr>
                      <w:rFonts w:hint="eastAsia" w:cs="Times New Roman"/>
                      <w:color w:val="auto"/>
                      <w:sz w:val="18"/>
                      <w:szCs w:val="18"/>
                      <w:u w:val="none" w:color="auto"/>
                      <w:vertAlign w:val="subscript"/>
                      <w:lang w:val="en-US" w:eastAsia="zh-CN"/>
                    </w:rPr>
                    <w:t>5</w:t>
                  </w:r>
                  <w:r>
                    <w:rPr>
                      <w:rFonts w:hint="eastAsia" w:cs="Times New Roman"/>
                      <w:color w:val="auto"/>
                      <w:sz w:val="18"/>
                      <w:szCs w:val="18"/>
                      <w:u w:val="none" w:color="auto"/>
                      <w:lang w:val="en-US" w:eastAsia="zh-CN"/>
                    </w:rPr>
                    <w:t>NO)</w:t>
                  </w:r>
                  <w:r>
                    <w:rPr>
                      <w:rFonts w:hint="eastAsia" w:cs="Times New Roman"/>
                      <w:color w:val="auto"/>
                      <w:sz w:val="18"/>
                      <w:szCs w:val="18"/>
                      <w:u w:val="none" w:color="auto"/>
                      <w:vertAlign w:val="subscript"/>
                      <w:lang w:val="en-US" w:eastAsia="zh-CN"/>
                    </w:rPr>
                    <w:t>n</w:t>
                  </w:r>
                  <w:r>
                    <w:rPr>
                      <w:rFonts w:hint="eastAsia" w:cs="Times New Roman"/>
                      <w:color w:val="auto"/>
                      <w:sz w:val="18"/>
                      <w:szCs w:val="18"/>
                      <w:u w:val="none" w:color="auto"/>
                      <w:lang w:val="en-US" w:eastAsia="zh-CN"/>
                    </w:rPr>
                    <w:t>。在常温下为坚硬的玻璃态固体，产品有胶液、胶乳和白色粉粒、半透明珠粒和薄片等。热稳定性良好。能以任意比例溶于水，水溶液为均匀透明的液体。</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1" w:firstLineChars="200"/>
              <w:textAlignment w:val="auto"/>
              <w:rPr>
                <w:rFonts w:hint="default" w:ascii="Times New Roman" w:hAnsi="Times New Roman" w:eastAsia="宋体" w:cs="Times New Roman"/>
                <w:b/>
                <w:bCs/>
                <w:color w:val="auto"/>
                <w:highlight w:val="none"/>
                <w:u w:val="single" w:color="auto"/>
                <w:lang w:val="en-US" w:eastAsia="zh-CN"/>
              </w:rPr>
            </w:pPr>
            <w:r>
              <w:rPr>
                <w:rFonts w:hint="eastAsia" w:cs="Times New Roman"/>
                <w:b/>
                <w:bCs/>
                <w:color w:val="auto"/>
                <w:highlight w:val="none"/>
                <w:u w:val="single" w:color="auto"/>
                <w:lang w:val="en-US" w:eastAsia="zh-CN"/>
              </w:rPr>
              <w:t>2</w:t>
            </w:r>
            <w:r>
              <w:rPr>
                <w:rFonts w:hint="default" w:ascii="Times New Roman" w:hAnsi="Times New Roman" w:eastAsia="宋体" w:cs="Times New Roman"/>
                <w:b/>
                <w:bCs/>
                <w:color w:val="auto"/>
                <w:highlight w:val="none"/>
                <w:u w:val="single" w:color="auto"/>
                <w:lang w:val="en-US" w:eastAsia="zh-CN"/>
              </w:rPr>
              <w:t>、原材料来源说明：</w:t>
            </w:r>
          </w:p>
          <w:p>
            <w:pPr>
              <w:spacing w:line="360" w:lineRule="auto"/>
              <w:ind w:firstLine="48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single" w:color="auto"/>
              </w:rPr>
              <w:t>本项目依托汨罗再生资源集散市场废旧塑料集散优势，</w:t>
            </w:r>
            <w:r>
              <w:rPr>
                <w:rFonts w:hint="eastAsia" w:cs="Times New Roman"/>
                <w:color w:val="auto"/>
                <w:sz w:val="24"/>
                <w:szCs w:val="24"/>
                <w:highlight w:val="none"/>
                <w:u w:val="single" w:color="auto"/>
                <w:lang w:val="en-US" w:eastAsia="zh-CN"/>
              </w:rPr>
              <w:t>使用的废塑料、废开关插座主要为市场已分拣归类的以及直接从工厂、回收公司等回收的废塑料、废开关插座。本项目所使用的废开关插座为已经拆解完线路板的含铜废旧开关。项目来源应符合《禁止洋垃圾入境推进固体废物进口管理制度改革实施方案》（国办发［2017］70号）中的要求。</w:t>
            </w:r>
            <w:r>
              <w:rPr>
                <w:rFonts w:hint="default" w:ascii="Times New Roman" w:hAnsi="Times New Roman" w:eastAsia="宋体" w:cs="Times New Roman"/>
                <w:color w:val="auto"/>
                <w:sz w:val="24"/>
                <w:szCs w:val="24"/>
                <w:highlight w:val="none"/>
                <w:u w:val="single" w:color="auto"/>
              </w:rPr>
              <w:t>项目不涉及进口废塑料再生利用；不使用沾染重金属的废旧塑料；不涉及使用废旧塑料类危险废物作为原料，包括被危险化学品、农药等污染的废旧塑料，废弃的一次性医疗塑料制品，</w:t>
            </w:r>
            <w:r>
              <w:rPr>
                <w:rFonts w:hint="eastAsia" w:cs="Times New Roman"/>
                <w:color w:val="auto"/>
                <w:sz w:val="24"/>
                <w:szCs w:val="24"/>
                <w:highlight w:val="none"/>
                <w:u w:val="single" w:color="auto"/>
                <w:lang w:val="en-US" w:eastAsia="zh-CN"/>
              </w:rPr>
              <w:t>铅蓄电池电池壳，</w:t>
            </w:r>
            <w:r>
              <w:rPr>
                <w:rFonts w:hint="default" w:ascii="Times New Roman" w:hAnsi="Times New Roman" w:eastAsia="宋体" w:cs="Times New Roman"/>
                <w:color w:val="auto"/>
                <w:sz w:val="24"/>
                <w:szCs w:val="24"/>
                <w:highlight w:val="none"/>
                <w:u w:val="single" w:color="auto"/>
              </w:rPr>
              <w:t>盛装农药、废染料、强酸、强碱的废料等。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color w:val="auto"/>
                <w:sz w:val="24"/>
                <w:szCs w:val="24"/>
                <w:u w:val="none" w:color="auto"/>
              </w:rPr>
            </w:pPr>
            <w:r>
              <w:rPr>
                <w:rFonts w:hint="eastAsia"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rPr>
              <w:t>原材料采购及质量控制要求</w:t>
            </w:r>
          </w:p>
          <w:p>
            <w:pPr>
              <w:numPr>
                <w:ilvl w:val="0"/>
                <w:numId w:val="0"/>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回收废塑料主要以附近企业为主，向周边辐射，建设单位在前期通过调研、实地考察、样品检测，采购的废塑料原料必须和产品种类一一对应，由此筛选出一些合格的原材料供应商，与相关单位签订采购合同，建立长期合作关系，持续供应符合本项目使用要求的废塑料。企业进行采购台帐管理，内容包括主体、时间、地点、数量及种类等。为了保证原材料符合要求，建设单位在前期会安排专人负责样品检测，测试材料成分、冲击力等，下单后，派专人全程监督交货过程，对收购的原料进行严格筛选，只对符合拟建项目要求的废旧塑料进行采购，对不符合要求的塑料制品予以拒收。</w:t>
            </w:r>
          </w:p>
          <w:p>
            <w:pPr>
              <w:numPr>
                <w:ilvl w:val="0"/>
                <w:numId w:val="0"/>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同时，项目应建立台账，对采购的原料应建立详细的台账，并设专人管理。并进行不定时自查以及接受生态环境主管部门定期检查。</w:t>
            </w:r>
          </w:p>
          <w:p>
            <w:pPr>
              <w:numPr>
                <w:ilvl w:val="0"/>
                <w:numId w:val="4"/>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在外部控制方面：拟建项目从正规企业购进符合要求的废旧塑料，并签订采购协议，通过具有法律效应的协议确定项目从正规企业获取生产所需的各种废旧塑料。</w:t>
            </w:r>
          </w:p>
          <w:p>
            <w:pPr>
              <w:numPr>
                <w:ilvl w:val="0"/>
                <w:numId w:val="4"/>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在日常管理方面：加强与供货商的上下游对接与控制，在供货合同中加以明确，如发现混入其他成分的废旧塑料，可通过法律措施维护本企业权益；加强原料和产品的分类收集管理，分区、分类堆放，原料和产品种类一一对应，把控好原料运输、仓储、清洗、生产、包装等工序流程，避免混入其他种类原料和杂质。</w:t>
            </w:r>
          </w:p>
          <w:p>
            <w:pPr>
              <w:numPr>
                <w:ilvl w:val="0"/>
                <w:numId w:val="4"/>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在内部控制方面：加强台帐管理，明确每批原料的供应商和采购量；加强进货来源管理，能够做到出现问题可通过供货渠道溯源，拒收供货商提供的除了本项目所需种类之外的其他废旧塑料。</w:t>
            </w:r>
          </w:p>
          <w:p>
            <w:pPr>
              <w:numPr>
                <w:ilvl w:val="0"/>
                <w:numId w:val="4"/>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废旧塑料暂存、运输要求</w:t>
            </w:r>
          </w:p>
          <w:p>
            <w:pPr>
              <w:numPr>
                <w:ilvl w:val="0"/>
                <w:numId w:val="0"/>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评价要求项目原料堆场应该按照《一般工业固体废物贮存和填埋污染控制标准（GB18599-2020）》中相关要求建设，做好防扬散和防渗措施。</w:t>
            </w:r>
          </w:p>
          <w:p>
            <w:pPr>
              <w:numPr>
                <w:ilvl w:val="0"/>
                <w:numId w:val="5"/>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废塑料运输前应进行包装，或用封闭的交通工具运输，不得裸露运输废塑料；</w:t>
            </w:r>
          </w:p>
          <w:p>
            <w:pPr>
              <w:numPr>
                <w:ilvl w:val="0"/>
                <w:numId w:val="5"/>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不得超高、超宽、超载运输废塑料，宜采用集装箱或带有压缩装置的箱式货车运输；</w:t>
            </w:r>
          </w:p>
          <w:p>
            <w:pPr>
              <w:numPr>
                <w:ilvl w:val="0"/>
                <w:numId w:val="5"/>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废塑料包装物应防水、耐压、遮蔽性好，可多次重复使用；在装卸、运输过程中应确保包装完好，无废塑料遗洒；</w:t>
            </w:r>
          </w:p>
          <w:p>
            <w:pPr>
              <w:numPr>
                <w:ilvl w:val="0"/>
                <w:numId w:val="5"/>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包装物表面必须有回收标志和废塑料种类标志，标志应清晰、易于识别、不易擦掉，并应标明废塑料的来源、原用途和去向等信息。</w:t>
            </w:r>
          </w:p>
          <w:p>
            <w:pPr>
              <w:numPr>
                <w:ilvl w:val="0"/>
                <w:numId w:val="0"/>
              </w:numPr>
              <w:spacing w:line="360" w:lineRule="auto"/>
              <w:ind w:firstLine="481" w:firstLineChars="200"/>
              <w:rPr>
                <w:rFonts w:hint="default" w:ascii="Times New Roman" w:hAnsi="Times New Roman" w:eastAsia="宋体" w:cs="Times New Roman"/>
                <w:b/>
                <w:bCs/>
                <w:color w:val="auto"/>
                <w:sz w:val="24"/>
                <w:szCs w:val="24"/>
                <w:u w:val="none" w:color="auto"/>
                <w:lang w:val="en-US" w:eastAsia="zh-CN"/>
              </w:rPr>
            </w:pPr>
            <w:r>
              <w:rPr>
                <w:rFonts w:hint="eastAsia" w:cs="Times New Roman"/>
                <w:b/>
                <w:bCs/>
                <w:color w:val="auto"/>
                <w:sz w:val="24"/>
                <w:szCs w:val="24"/>
                <w:u w:val="none" w:color="auto"/>
                <w:lang w:val="en-US" w:eastAsia="zh-CN"/>
              </w:rPr>
              <w:t>5</w:t>
            </w:r>
            <w:r>
              <w:rPr>
                <w:rFonts w:hint="default" w:ascii="Times New Roman" w:hAnsi="Times New Roman" w:eastAsia="宋体" w:cs="Times New Roman"/>
                <w:b/>
                <w:bCs/>
                <w:color w:val="auto"/>
                <w:sz w:val="24"/>
                <w:szCs w:val="24"/>
                <w:u w:val="none" w:color="auto"/>
                <w:lang w:val="en-US" w:eastAsia="zh-CN"/>
              </w:rPr>
              <w:t>、废塑料进厂过程管控要求</w:t>
            </w:r>
          </w:p>
          <w:p>
            <w:pPr>
              <w:pStyle w:val="31"/>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根据《废塑料污染控制技术规范》（HJ 364—2022）和《废塑料综合利用行业规范条件》（中华人民共和国工业和信息部公告 2015 年第 81 号）的要求，本项目废塑料进厂管控要求为：</w:t>
            </w:r>
          </w:p>
          <w:p>
            <w:pPr>
              <w:pStyle w:val="31"/>
              <w:numPr>
                <w:ilvl w:val="0"/>
                <w:numId w:val="6"/>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涉及废塑料的产生、收集、运输、贮存、利用、处置的单位和其他生产经营者，应根据产生的污染物采取防扬散、防流失、防渗漏或者其他防止污染环境的措施，并执行国家和地方相关排放标准。</w:t>
            </w:r>
          </w:p>
          <w:p>
            <w:pPr>
              <w:pStyle w:val="31"/>
              <w:numPr>
                <w:ilvl w:val="0"/>
                <w:numId w:val="6"/>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废塑料的产生、收集、贮存、预处理和再生利用企业内应单独划分贮存场地，不同种类的废塑料宜分开贮存，贮存场地应具有防雨、防扬散、防渗漏等措施，并按 GB15562.2 的要求设置标识。</w:t>
            </w:r>
          </w:p>
          <w:p>
            <w:pPr>
              <w:pStyle w:val="31"/>
              <w:numPr>
                <w:ilvl w:val="0"/>
                <w:numId w:val="6"/>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废塑料的收集、再生利用和处置企业，应建立废塑料管理台账，内容包括废塑料的来源、种类、 数量、去向等，相关台账应保存至少5年。</w:t>
            </w:r>
          </w:p>
          <w:p>
            <w:pPr>
              <w:pStyle w:val="31"/>
              <w:numPr>
                <w:ilvl w:val="0"/>
                <w:numId w:val="6"/>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废塑料的产生、收集、再生利用和处置过程除应满足生态环境保护相关要求外，还应符合国家安全生产、职业健康、交通运输、消防等法规、标准的相关要求。</w:t>
            </w:r>
          </w:p>
          <w:p>
            <w:pPr>
              <w:pStyle w:val="31"/>
              <w:numPr>
                <w:ilvl w:val="0"/>
                <w:numId w:val="6"/>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废塑料再生利用项目应按功能划分厂区，包括管理区、原料贮存区、生产区、产品贮存区、不可利用废物的贮存和处理区等，各功能区应有明显的界线或标识。</w:t>
            </w:r>
          </w:p>
          <w:p>
            <w:pPr>
              <w:pStyle w:val="31"/>
              <w:numPr>
                <w:ilvl w:val="0"/>
                <w:numId w:val="0"/>
              </w:numPr>
              <w:spacing w:line="360" w:lineRule="auto"/>
              <w:ind w:firstLine="480" w:firstLineChars="20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综上，建设单位承诺对废塑料来源、储存、生产及产品去向进行严格控制，对各类塑料根据生产要求按计划回收、分期分批入库，进行台账登记，严格控制贮存量，保证全生产过程符合生产工艺及相关环境保护规范的要求。</w:t>
            </w:r>
          </w:p>
          <w:p>
            <w:pPr>
              <w:pStyle w:val="98"/>
              <w:adjustRightInd/>
              <w:spacing w:line="500" w:lineRule="exact"/>
              <w:ind w:firstLine="481" w:firstLineChars="200"/>
              <w:rPr>
                <w:rFonts w:hint="default" w:ascii="Times New Roman" w:hAnsi="Times New Roman" w:eastAsia="宋体" w:cs="Times New Roman"/>
                <w:b/>
                <w:color w:val="auto"/>
                <w:szCs w:val="24"/>
                <w:highlight w:val="none"/>
                <w:u w:val="none" w:color="auto"/>
              </w:rPr>
            </w:pPr>
            <w:r>
              <w:rPr>
                <w:rFonts w:hint="default" w:ascii="Times New Roman" w:hAnsi="Times New Roman" w:eastAsia="宋体" w:cs="Times New Roman"/>
                <w:b/>
                <w:bCs/>
                <w:color w:val="auto"/>
                <w:highlight w:val="none"/>
                <w:u w:val="none" w:color="auto"/>
              </w:rPr>
              <w:t>四、</w:t>
            </w:r>
            <w:r>
              <w:rPr>
                <w:rFonts w:hint="default" w:ascii="Times New Roman" w:hAnsi="Times New Roman" w:eastAsia="宋体" w:cs="Times New Roman"/>
                <w:b/>
                <w:color w:val="auto"/>
                <w:szCs w:val="24"/>
                <w:highlight w:val="none"/>
                <w:u w:val="none" w:color="auto"/>
              </w:rPr>
              <w:t>生产设备</w:t>
            </w:r>
          </w:p>
          <w:p>
            <w:pPr>
              <w:spacing w:line="500" w:lineRule="exact"/>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由《产业结构调整指导目录（20</w:t>
            </w:r>
            <w:r>
              <w:rPr>
                <w:rFonts w:hint="default" w:ascii="Times New Roman" w:hAnsi="Times New Roman" w:eastAsia="宋体" w:cs="Times New Roman"/>
                <w:color w:val="auto"/>
                <w:highlight w:val="none"/>
                <w:u w:val="none" w:color="auto"/>
                <w:lang w:val="en-US" w:eastAsia="zh-CN"/>
              </w:rPr>
              <w:t>24</w:t>
            </w:r>
            <w:r>
              <w:rPr>
                <w:rFonts w:hint="default" w:ascii="Times New Roman" w:hAnsi="Times New Roman" w:eastAsia="宋体" w:cs="Times New Roman"/>
                <w:color w:val="auto"/>
                <w:highlight w:val="none"/>
                <w:u w:val="none" w:color="auto"/>
              </w:rPr>
              <w:t>年版）》和《部分工业行业淘汰落后生产工艺装备和产品指导目录（2010年本）》可知，项目所选设备均不属于国家淘汰和限制的产业类型，可满足正常生产的需要。本项目主要设备见表2-</w:t>
            </w:r>
            <w:r>
              <w:rPr>
                <w:rFonts w:hint="eastAsia"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w:t>
            </w:r>
          </w:p>
          <w:p>
            <w:pPr>
              <w:pStyle w:val="98"/>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w:t>
            </w:r>
            <w:r>
              <w:rPr>
                <w:rFonts w:hint="eastAsia" w:eastAsia="宋体" w:cs="Times New Roman"/>
                <w:b/>
                <w:color w:val="auto"/>
                <w:sz w:val="21"/>
                <w:szCs w:val="24"/>
                <w:highlight w:val="none"/>
                <w:u w:val="none" w:color="auto"/>
                <w:lang w:val="en-US" w:eastAsia="zh-CN"/>
              </w:rPr>
              <w:t>5</w:t>
            </w:r>
            <w:r>
              <w:rPr>
                <w:rFonts w:hint="default" w:ascii="Times New Roman" w:hAnsi="Times New Roman" w:eastAsia="宋体" w:cs="Times New Roman"/>
                <w:b/>
                <w:color w:val="auto"/>
                <w:sz w:val="21"/>
                <w:szCs w:val="24"/>
                <w:highlight w:val="none"/>
                <w:u w:val="none" w:color="auto"/>
              </w:rPr>
              <w:t xml:space="preserve"> 主要设备一览表</w:t>
            </w:r>
          </w:p>
          <w:tbl>
            <w:tblPr>
              <w:tblStyle w:val="43"/>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70"/>
              <w:gridCol w:w="1911"/>
              <w:gridCol w:w="1398"/>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序号</w:t>
                  </w:r>
                </w:p>
              </w:tc>
              <w:tc>
                <w:tcPr>
                  <w:tcW w:w="1470"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生产线</w:t>
                  </w:r>
                </w:p>
              </w:tc>
              <w:tc>
                <w:tcPr>
                  <w:tcW w:w="1911"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主要设备名称</w:t>
                  </w:r>
                </w:p>
              </w:tc>
              <w:tc>
                <w:tcPr>
                  <w:tcW w:w="1398"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数量（台/套）</w:t>
                  </w:r>
                </w:p>
              </w:tc>
              <w:tc>
                <w:tcPr>
                  <w:tcW w:w="2781"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设备型号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w:t>
                  </w:r>
                </w:p>
              </w:tc>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破碎线（1条）</w:t>
                  </w: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破碎机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2</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涡电流</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3</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3</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全金属分选机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4</w:t>
                  </w:r>
                </w:p>
              </w:tc>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清洗线（1条）</w:t>
                  </w: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破碎机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5</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脱水机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6</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u w:val="single" w:color="auto"/>
                      <w:vertAlign w:val="baseline"/>
                      <w:lang w:val="en-US" w:eastAsia="zh-CN" w:bidi="ar-SA"/>
                    </w:rPr>
                  </w:pPr>
                  <w:r>
                    <w:rPr>
                      <w:rFonts w:hint="eastAsia" w:cs="Times New Roman"/>
                      <w:color w:val="auto"/>
                      <w:kern w:val="0"/>
                      <w:sz w:val="21"/>
                      <w:szCs w:val="21"/>
                      <w:highlight w:val="none"/>
                      <w:u w:val="single" w:color="auto"/>
                      <w:vertAlign w:val="baseline"/>
                      <w:lang w:val="en-US" w:eastAsia="zh-CN"/>
                    </w:rPr>
                    <w:t>6</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水槽</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3</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6×1.5×2.1m；10×1.8×2.1m；8×1.5×2.1m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vertAlign w:val="baseline"/>
                      <w:lang w:val="en-US" w:eastAsia="zh-CN" w:bidi="ar-SA"/>
                    </w:rPr>
                  </w:pPr>
                  <w:r>
                    <w:rPr>
                      <w:rFonts w:hint="eastAsia" w:cs="Times New Roman"/>
                      <w:color w:val="auto"/>
                      <w:kern w:val="0"/>
                      <w:sz w:val="21"/>
                      <w:szCs w:val="21"/>
                      <w:highlight w:val="none"/>
                      <w:u w:val="single" w:color="auto"/>
                      <w:vertAlign w:val="baseline"/>
                      <w:lang w:val="en-US" w:eastAsia="zh-CN"/>
                    </w:rPr>
                    <w:t>7</w:t>
                  </w:r>
                </w:p>
              </w:tc>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分选线（2条）</w:t>
                  </w: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材质机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2</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vertAlign w:val="baseline"/>
                      <w:lang w:val="en-US" w:eastAsia="zh-CN" w:bidi="ar-SA"/>
                    </w:rPr>
                  </w:pPr>
                  <w:r>
                    <w:rPr>
                      <w:rFonts w:hint="eastAsia" w:cs="Times New Roman"/>
                      <w:color w:val="auto"/>
                      <w:kern w:val="0"/>
                      <w:sz w:val="21"/>
                      <w:szCs w:val="21"/>
                      <w:highlight w:val="none"/>
                      <w:u w:val="single" w:color="auto"/>
                      <w:vertAlign w:val="baseline"/>
                      <w:lang w:val="en-US" w:eastAsia="zh-CN"/>
                    </w:rPr>
                    <w:t>8</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X光机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2</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single" w:color="auto"/>
                      <w:vertAlign w:val="baseline"/>
                      <w:lang w:val="en-US" w:eastAsia="zh-CN" w:bidi="ar-SA"/>
                    </w:rPr>
                  </w:pPr>
                  <w:r>
                    <w:rPr>
                      <w:rFonts w:hint="eastAsia" w:cs="Times New Roman"/>
                      <w:color w:val="auto"/>
                      <w:kern w:val="0"/>
                      <w:sz w:val="21"/>
                      <w:szCs w:val="21"/>
                      <w:highlight w:val="none"/>
                      <w:u w:val="single" w:color="auto"/>
                      <w:vertAlign w:val="baseline"/>
                      <w:lang w:val="en-US" w:eastAsia="zh-CN"/>
                    </w:rPr>
                    <w:t>9</w:t>
                  </w:r>
                </w:p>
              </w:tc>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静电分选机</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5</w:t>
                  </w:r>
                </w:p>
              </w:tc>
              <w:tc>
                <w:tcPr>
                  <w:tcW w:w="2781"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10</w:t>
                  </w:r>
                </w:p>
              </w:tc>
              <w:tc>
                <w:tcPr>
                  <w:tcW w:w="1470" w:type="dxa"/>
                  <w:vMerge w:val="continue"/>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p>
              </w:tc>
              <w:tc>
                <w:tcPr>
                  <w:tcW w:w="1911"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色选机</w:t>
                  </w:r>
                </w:p>
              </w:tc>
              <w:tc>
                <w:tcPr>
                  <w:tcW w:w="139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kern w:val="0"/>
                      <w:sz w:val="21"/>
                      <w:szCs w:val="21"/>
                      <w:highlight w:val="none"/>
                      <w:u w:val="single" w:color="auto"/>
                      <w:vertAlign w:val="baseline"/>
                      <w:lang w:val="en-US" w:eastAsia="zh-CN"/>
                    </w:rPr>
                    <w:t>1</w:t>
                  </w:r>
                </w:p>
              </w:tc>
              <w:tc>
                <w:tcPr>
                  <w:tcW w:w="2781"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single" w:color="auto"/>
                      <w:vertAlign w:val="baseline"/>
                      <w:lang w:val="en-US" w:eastAsia="zh-CN"/>
                    </w:rPr>
                  </w:pPr>
                  <w:r>
                    <w:rPr>
                      <w:rFonts w:hint="eastAsia" w:cs="Times New Roman"/>
                      <w:color w:val="auto"/>
                      <w:sz w:val="21"/>
                      <w:szCs w:val="21"/>
                      <w:highlight w:val="none"/>
                      <w:u w:val="none" w:color="auto"/>
                      <w:lang w:val="en-US" w:eastAsia="zh-CN"/>
                    </w:rPr>
                    <w:t>非标</w:t>
                  </w:r>
                </w:p>
              </w:tc>
            </w:tr>
          </w:tbl>
          <w:p>
            <w:pPr>
              <w:spacing w:line="360" w:lineRule="auto"/>
              <w:ind w:firstLine="480" w:firstLineChars="200"/>
              <w:rPr>
                <w:rFonts w:hint="default" w:ascii="Times New Roman" w:hAnsi="Times New Roman" w:eastAsia="宋体" w:cs="Times New Roman"/>
                <w:b w:val="0"/>
                <w:bCs w:val="0"/>
                <w:color w:val="auto"/>
                <w:kern w:val="0"/>
                <w:highlight w:val="none"/>
                <w:u w:val="single" w:color="auto"/>
                <w:lang w:val="en-US" w:eastAsia="zh-CN"/>
              </w:rPr>
            </w:pPr>
            <w:r>
              <w:rPr>
                <w:rFonts w:hint="eastAsia" w:cs="Times New Roman"/>
                <w:color w:val="auto"/>
                <w:kern w:val="0"/>
                <w:highlight w:val="none"/>
                <w:u w:val="single" w:color="auto"/>
                <w:lang w:val="en-US" w:eastAsia="zh-CN"/>
              </w:rPr>
              <w:t>根据</w:t>
            </w:r>
            <w:r>
              <w:rPr>
                <w:rFonts w:hint="default" w:ascii="Times New Roman" w:hAnsi="Times New Roman" w:eastAsia="宋体" w:cs="Times New Roman"/>
                <w:color w:val="auto"/>
                <w:kern w:val="0"/>
                <w:highlight w:val="none"/>
                <w:u w:val="single" w:color="auto"/>
              </w:rPr>
              <w:t>《产业结构调整指导目录》(20</w:t>
            </w:r>
            <w:r>
              <w:rPr>
                <w:rFonts w:hint="default" w:ascii="Times New Roman" w:hAnsi="Times New Roman" w:eastAsia="宋体" w:cs="Times New Roman"/>
                <w:color w:val="auto"/>
                <w:kern w:val="0"/>
                <w:highlight w:val="none"/>
                <w:u w:val="single" w:color="auto"/>
                <w:lang w:val="en-US" w:eastAsia="zh-CN"/>
              </w:rPr>
              <w:t>24</w:t>
            </w:r>
            <w:r>
              <w:rPr>
                <w:rFonts w:hint="default" w:ascii="Times New Roman" w:hAnsi="Times New Roman" w:eastAsia="宋体" w:cs="Times New Roman"/>
                <w:color w:val="auto"/>
                <w:kern w:val="0"/>
                <w:highlight w:val="none"/>
                <w:u w:val="single" w:color="auto"/>
              </w:rPr>
              <w:t>年本)</w:t>
            </w:r>
            <w:r>
              <w:rPr>
                <w:rFonts w:hint="eastAsia" w:cs="Times New Roman"/>
                <w:color w:val="auto"/>
                <w:kern w:val="0"/>
                <w:highlight w:val="none"/>
                <w:u w:val="single" w:color="auto"/>
                <w:lang w:val="en-US" w:eastAsia="zh-CN"/>
              </w:rPr>
              <w:t>及</w:t>
            </w:r>
            <w:r>
              <w:rPr>
                <w:rFonts w:hint="default" w:ascii="Times New Roman" w:hAnsi="Times New Roman" w:eastAsia="宋体" w:cs="Times New Roman"/>
                <w:color w:val="auto"/>
                <w:kern w:val="0"/>
                <w:highlight w:val="none"/>
                <w:u w:val="single" w:color="auto"/>
              </w:rPr>
              <w:t>《部分工业行业淘汰落后生产工艺装备和产品指导目录》（2010年本）</w:t>
            </w:r>
            <w:r>
              <w:rPr>
                <w:rFonts w:hint="eastAsia" w:cs="Times New Roman"/>
                <w:color w:val="auto"/>
                <w:kern w:val="0"/>
                <w:highlight w:val="none"/>
                <w:u w:val="single" w:color="auto"/>
                <w:lang w:eastAsia="zh-CN"/>
              </w:rPr>
              <w:t>，</w:t>
            </w:r>
            <w:r>
              <w:rPr>
                <w:rFonts w:hint="eastAsia" w:cs="Times New Roman"/>
                <w:color w:val="auto"/>
                <w:kern w:val="0"/>
                <w:highlight w:val="none"/>
                <w:u w:val="single" w:color="auto"/>
                <w:lang w:val="en-US" w:eastAsia="zh-CN"/>
              </w:rPr>
              <w:t>本项目设备不属于国家淘汰和限制的设备，满足正常生产的需要。</w:t>
            </w:r>
          </w:p>
          <w:p>
            <w:pPr>
              <w:spacing w:line="360" w:lineRule="auto"/>
              <w:ind w:firstLine="480" w:firstLineChars="200"/>
              <w:rPr>
                <w:rFonts w:hint="default" w:ascii="Times New Roman" w:hAnsi="Times New Roman" w:eastAsia="宋体" w:cs="Times New Roman"/>
                <w:b w:val="0"/>
                <w:bCs w:val="0"/>
                <w:color w:val="auto"/>
                <w:kern w:val="0"/>
                <w:highlight w:val="none"/>
                <w:u w:val="single" w:color="auto"/>
                <w:lang w:val="en-US" w:eastAsia="zh-CN"/>
              </w:rPr>
            </w:pPr>
            <w:r>
              <w:rPr>
                <w:rFonts w:hint="eastAsia" w:cs="Times New Roman"/>
                <w:b w:val="0"/>
                <w:bCs w:val="0"/>
                <w:color w:val="auto"/>
                <w:kern w:val="0"/>
                <w:highlight w:val="none"/>
                <w:u w:val="single" w:color="auto"/>
                <w:lang w:val="en-US" w:eastAsia="zh-CN"/>
              </w:rPr>
              <w:t>设备产能核算：</w:t>
            </w:r>
          </w:p>
          <w:p>
            <w:pPr>
              <w:spacing w:line="360" w:lineRule="auto"/>
              <w:ind w:firstLine="480" w:firstLineChars="200"/>
              <w:rPr>
                <w:rFonts w:hint="default" w:ascii="Times New Roman" w:hAnsi="Times New Roman" w:eastAsia="宋体" w:cs="Times New Roman"/>
                <w:b/>
                <w:bCs/>
                <w:color w:val="auto"/>
                <w:kern w:val="0"/>
                <w:highlight w:val="none"/>
                <w:u w:val="single" w:color="auto"/>
              </w:rPr>
            </w:pPr>
            <w:r>
              <w:rPr>
                <w:rFonts w:hint="default" w:ascii="Times New Roman" w:hAnsi="Times New Roman" w:eastAsia="宋体" w:cs="Times New Roman"/>
                <w:b w:val="0"/>
                <w:bCs w:val="0"/>
                <w:color w:val="auto"/>
                <w:kern w:val="0"/>
                <w:highlight w:val="none"/>
                <w:u w:val="single" w:color="auto"/>
                <w:lang w:val="en-US" w:eastAsia="zh-CN"/>
              </w:rPr>
              <w:t>本项目共设有1条</w:t>
            </w:r>
            <w:r>
              <w:rPr>
                <w:rFonts w:hint="eastAsia" w:cs="Times New Roman"/>
                <w:b w:val="0"/>
                <w:bCs w:val="0"/>
                <w:color w:val="auto"/>
                <w:kern w:val="0"/>
                <w:highlight w:val="none"/>
                <w:u w:val="single" w:color="auto"/>
                <w:lang w:val="en-US" w:eastAsia="zh-CN"/>
              </w:rPr>
              <w:t>破碎线</w:t>
            </w:r>
            <w:r>
              <w:rPr>
                <w:rFonts w:hint="default" w:ascii="Times New Roman" w:hAnsi="Times New Roman" w:eastAsia="宋体" w:cs="Times New Roman"/>
                <w:b w:val="0"/>
                <w:bCs w:val="0"/>
                <w:color w:val="auto"/>
                <w:kern w:val="0"/>
                <w:highlight w:val="none"/>
                <w:u w:val="single" w:color="auto"/>
                <w:lang w:val="en-US" w:eastAsia="zh-CN"/>
              </w:rPr>
              <w:t>，</w:t>
            </w:r>
            <w:r>
              <w:rPr>
                <w:rFonts w:hint="eastAsia" w:cs="Times New Roman"/>
                <w:b w:val="0"/>
                <w:bCs w:val="0"/>
                <w:color w:val="auto"/>
                <w:kern w:val="0"/>
                <w:highlight w:val="none"/>
                <w:u w:val="single" w:color="auto"/>
                <w:lang w:val="en-US" w:eastAsia="zh-CN"/>
              </w:rPr>
              <w:t>破碎生产线最大产能约10t/h，工作时间为7200h/a，则本项目投产后最大生产能力为72000t/a，</w:t>
            </w:r>
            <w:r>
              <w:rPr>
                <w:rFonts w:hint="default" w:ascii="Times New Roman" w:hAnsi="Times New Roman" w:eastAsia="宋体" w:cs="Times New Roman"/>
                <w:b w:val="0"/>
                <w:bCs w:val="0"/>
                <w:color w:val="auto"/>
                <w:kern w:val="0"/>
                <w:highlight w:val="none"/>
                <w:u w:val="single" w:color="auto"/>
                <w:lang w:val="en-US" w:eastAsia="zh-CN"/>
              </w:rPr>
              <w:t>生产设备的生产能力能够满足本项目设计生产规模的需求。</w:t>
            </w:r>
          </w:p>
          <w:p>
            <w:pPr>
              <w:spacing w:line="360" w:lineRule="auto"/>
              <w:ind w:firstLine="481"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六</w:t>
            </w:r>
            <w:r>
              <w:rPr>
                <w:rFonts w:hint="default" w:ascii="Times New Roman" w:hAnsi="Times New Roman" w:eastAsia="宋体" w:cs="Times New Roman"/>
                <w:b/>
                <w:bCs/>
                <w:color w:val="auto"/>
                <w:kern w:val="0"/>
                <w:highlight w:val="none"/>
                <w:u w:val="none" w:color="auto"/>
              </w:rPr>
              <w:t>、给排水及水平衡</w:t>
            </w:r>
          </w:p>
          <w:p>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（1）给水</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本项目运营期主要用水为原料破碎及清洗用水、地面清洗用水及生活用水。</w:t>
            </w:r>
            <w:r>
              <w:rPr>
                <w:rFonts w:hint="eastAsia" w:cs="Times New Roman"/>
                <w:color w:val="auto"/>
                <w:kern w:val="0"/>
                <w:highlight w:val="none"/>
                <w:u w:val="single" w:color="auto"/>
                <w:lang w:val="en-US" w:eastAsia="zh-CN"/>
              </w:rPr>
              <w:t>项目生活用水使用自来水，生产用水使用湖南汨罗循环经济产业园再生材料产业园污水处理厂处理后的中水</w:t>
            </w:r>
            <w:r>
              <w:rPr>
                <w:rFonts w:hint="eastAsia" w:cs="Times New Roman"/>
                <w:color w:val="auto"/>
                <w:kern w:val="0"/>
                <w:highlight w:val="none"/>
                <w:u w:val="none" w:color="auto"/>
                <w:lang w:val="en-US" w:eastAsia="zh-CN"/>
              </w:rPr>
              <w:t>。</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1）生产用水</w:t>
            </w:r>
          </w:p>
          <w:p>
            <w:pPr>
              <w:spacing w:line="360" w:lineRule="auto"/>
              <w:ind w:firstLine="480" w:firstLineChars="200"/>
              <w:rPr>
                <w:rFonts w:hint="eastAsia" w:cs="Times New Roman"/>
                <w:color w:val="auto"/>
                <w:kern w:val="0"/>
                <w:highlight w:val="none"/>
                <w:u w:val="single" w:color="auto"/>
                <w:lang w:val="en-US" w:eastAsia="zh-CN"/>
              </w:rPr>
            </w:pPr>
            <w:r>
              <w:rPr>
                <w:rFonts w:hint="eastAsia" w:cs="Times New Roman"/>
                <w:color w:val="auto"/>
                <w:kern w:val="0"/>
                <w:highlight w:val="none"/>
                <w:u w:val="none" w:color="auto"/>
                <w:lang w:val="en-US" w:eastAsia="zh-CN"/>
              </w:rPr>
              <w:t>①湿法</w:t>
            </w:r>
            <w:r>
              <w:rPr>
                <w:rFonts w:hint="default" w:ascii="Times New Roman" w:hAnsi="Times New Roman" w:eastAsia="宋体" w:cs="Times New Roman"/>
                <w:color w:val="auto"/>
                <w:kern w:val="0"/>
                <w:highlight w:val="none"/>
                <w:u w:val="none" w:color="auto"/>
              </w:rPr>
              <w:t>破碎</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清洗</w:t>
            </w:r>
            <w:r>
              <w:rPr>
                <w:rFonts w:hint="default" w:ascii="Times New Roman" w:hAnsi="Times New Roman" w:eastAsia="宋体" w:cs="Times New Roman"/>
                <w:color w:val="auto"/>
                <w:kern w:val="0"/>
                <w:highlight w:val="none"/>
                <w:u w:val="none" w:color="auto"/>
              </w:rPr>
              <w:t>用水</w:t>
            </w:r>
            <w:r>
              <w:rPr>
                <w:rFonts w:hint="eastAsia" w:cs="Times New Roman"/>
                <w:color w:val="auto"/>
                <w:kern w:val="0"/>
                <w:highlight w:val="none"/>
                <w:u w:val="none" w:color="auto"/>
                <w:lang w:eastAsia="zh-CN"/>
              </w:rPr>
              <w:t>：</w:t>
            </w:r>
            <w:r>
              <w:rPr>
                <w:rFonts w:hint="eastAsia" w:cs="Times New Roman"/>
                <w:color w:val="auto"/>
                <w:kern w:val="0"/>
                <w:highlight w:val="none"/>
                <w:u w:val="single" w:color="auto"/>
                <w:lang w:val="en-US" w:eastAsia="zh-CN"/>
              </w:rPr>
              <w:t>本项目采用湿法破碎，破碎后用水进行清洗，根据《排放源统计调查产排污核算方法和系数手册》—42废弃资源综合利用行业系数手册，4220非金属废料和碎屑加工处理行业系数表，参照废PS/ABS湿法破碎+清洗产生的废水量核算本项目湿法破碎、清洗产生的废水，产污系数为1.0吨/吨-原料，则本项目湿法破碎、清洗产生的废水量为72000t/a。破碎、清洗后物料会进行脱水，产生的废水产生的废水经三级沉淀池沉淀后有限回用，物料带走及蒸发损耗量较少，按5%计，则本项目破碎、清洗工序用水量为75789.5t/a，补充损耗水，补充水量为3789.5t/a。</w:t>
            </w:r>
          </w:p>
          <w:p>
            <w:pPr>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②地面清洗用水</w:t>
            </w:r>
          </w:p>
          <w:p>
            <w:pPr>
              <w:spacing w:line="360" w:lineRule="auto"/>
              <w:ind w:firstLine="480" w:firstLineChars="200"/>
              <w:rPr>
                <w:rFonts w:hint="default" w:cs="Times New Roman"/>
                <w:color w:val="auto"/>
                <w:kern w:val="0"/>
                <w:highlight w:val="none"/>
                <w:u w:val="single" w:color="auto"/>
                <w:lang w:val="en-US" w:eastAsia="zh-CN"/>
              </w:rPr>
            </w:pPr>
            <w:r>
              <w:rPr>
                <w:rFonts w:hint="default" w:ascii="Times New Roman" w:hAnsi="Times New Roman" w:eastAsia="宋体" w:cs="Times New Roman"/>
                <w:color w:val="auto"/>
                <w:kern w:val="0"/>
                <w:highlight w:val="none"/>
                <w:u w:val="none" w:color="auto"/>
              </w:rPr>
              <w:t>结合本项目的实际情况，项目地面清洁频率为24次/年（半月1次），用水量以2.5L/次•m</w:t>
            </w:r>
            <w:r>
              <w:rPr>
                <w:rFonts w:hint="default" w:ascii="Times New Roman" w:hAnsi="Times New Roman" w:eastAsia="宋体" w:cs="Times New Roman"/>
                <w:color w:val="auto"/>
                <w:kern w:val="0"/>
                <w:highlight w:val="none"/>
                <w:u w:val="none" w:color="auto"/>
                <w:vertAlign w:val="superscript"/>
              </w:rPr>
              <w:t>2</w:t>
            </w:r>
            <w:r>
              <w:rPr>
                <w:rFonts w:hint="default" w:ascii="Times New Roman" w:hAnsi="Times New Roman" w:eastAsia="宋体" w:cs="Times New Roman"/>
                <w:color w:val="auto"/>
                <w:kern w:val="0"/>
                <w:highlight w:val="none"/>
                <w:u w:val="none" w:color="auto"/>
              </w:rPr>
              <w:t>计。本项目车间清洁面积约</w:t>
            </w:r>
            <w:r>
              <w:rPr>
                <w:rFonts w:hint="eastAsia" w:cs="Times New Roman"/>
                <w:color w:val="auto"/>
                <w:kern w:val="0"/>
                <w:highlight w:val="none"/>
                <w:u w:val="none" w:color="auto"/>
                <w:lang w:val="en-US" w:eastAsia="zh-CN"/>
              </w:rPr>
              <w:t>7000</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2</w:t>
            </w:r>
            <w:r>
              <w:rPr>
                <w:rFonts w:hint="default" w:ascii="Times New Roman" w:hAnsi="Times New Roman" w:eastAsia="宋体" w:cs="Times New Roman"/>
                <w:color w:val="auto"/>
                <w:kern w:val="0"/>
                <w:highlight w:val="none"/>
                <w:u w:val="none" w:color="auto"/>
              </w:rPr>
              <w:t>，则地面冲洗水用量约为</w:t>
            </w:r>
            <w:r>
              <w:rPr>
                <w:rFonts w:hint="eastAsia" w:cs="Times New Roman"/>
                <w:color w:val="auto"/>
                <w:kern w:val="0"/>
                <w:highlight w:val="none"/>
                <w:u w:val="none" w:color="auto"/>
                <w:lang w:val="en-US" w:eastAsia="zh-CN"/>
              </w:rPr>
              <w:t>17.5</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/次（</w:t>
            </w:r>
            <w:r>
              <w:rPr>
                <w:rFonts w:hint="eastAsia" w:cs="Times New Roman"/>
                <w:color w:val="auto"/>
                <w:kern w:val="0"/>
                <w:highlight w:val="none"/>
                <w:u w:val="none" w:color="auto"/>
                <w:lang w:val="en-US" w:eastAsia="zh-CN"/>
              </w:rPr>
              <w:t>420</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/a），冲洗地面废水量按90%计，则清洁地面废水量约为</w:t>
            </w:r>
            <w:r>
              <w:rPr>
                <w:rFonts w:hint="eastAsia" w:cs="Times New Roman"/>
                <w:color w:val="auto"/>
                <w:kern w:val="0"/>
                <w:highlight w:val="none"/>
                <w:u w:val="none" w:color="auto"/>
                <w:lang w:val="en-US" w:eastAsia="zh-CN"/>
              </w:rPr>
              <w:t>15.75</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/次（</w:t>
            </w:r>
            <w:r>
              <w:rPr>
                <w:rFonts w:hint="eastAsia" w:cs="Times New Roman"/>
                <w:color w:val="auto"/>
                <w:kern w:val="0"/>
                <w:highlight w:val="none"/>
                <w:u w:val="none" w:color="auto"/>
                <w:lang w:val="en-US" w:eastAsia="zh-CN"/>
              </w:rPr>
              <w:t>378</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/a）</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产生的废水进入沉淀池有限回用，补充损耗水量为42</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/a</w:t>
            </w:r>
            <w:r>
              <w:rPr>
                <w:rFonts w:hint="eastAsia" w:cs="Times New Roman"/>
                <w:color w:val="auto"/>
                <w:kern w:val="0"/>
                <w:highlight w:val="none"/>
                <w:u w:val="none" w:color="auto"/>
                <w:lang w:val="en-US" w:eastAsia="zh-CN"/>
              </w:rPr>
              <w:t>。</w:t>
            </w:r>
          </w:p>
          <w:p>
            <w:pPr>
              <w:spacing w:line="360" w:lineRule="auto"/>
              <w:ind w:firstLine="480" w:firstLineChars="200"/>
              <w:rPr>
                <w:rFonts w:hint="default" w:cs="Times New Roman"/>
                <w:color w:val="auto"/>
                <w:kern w:val="0"/>
                <w:highlight w:val="none"/>
                <w:u w:val="single" w:color="auto"/>
                <w:lang w:val="en-US" w:eastAsia="zh-CN"/>
              </w:rPr>
            </w:pPr>
            <w:r>
              <w:rPr>
                <w:rFonts w:hint="eastAsia" w:cs="Times New Roman"/>
                <w:color w:val="auto"/>
                <w:kern w:val="0"/>
                <w:highlight w:val="none"/>
                <w:u w:val="single" w:color="auto"/>
                <w:lang w:val="en-US" w:eastAsia="zh-CN"/>
              </w:rPr>
              <w:t>本项目设置三级沉淀池，总容积约60m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，本项目产生的生产废水进入沉淀池后有限回用，沉淀池废水每周排放一次进入湖南中塑新材料科技有限公司处理，年工作300天，则排放次数约为43次，排放量为2580t/a。</w:t>
            </w:r>
          </w:p>
          <w:p>
            <w:pPr>
              <w:spacing w:line="360" w:lineRule="auto"/>
              <w:ind w:firstLine="480" w:firstLineChars="200"/>
              <w:rPr>
                <w:rFonts w:hint="default" w:eastAsia="宋体" w:cs="Times New Roman"/>
                <w:color w:val="auto"/>
                <w:kern w:val="0"/>
                <w:highlight w:val="none"/>
                <w:u w:val="single" w:color="auto"/>
                <w:lang w:val="en-US" w:eastAsia="zh-CN"/>
              </w:rPr>
            </w:pPr>
            <w:r>
              <w:rPr>
                <w:rFonts w:hint="eastAsia" w:cs="Times New Roman"/>
                <w:color w:val="auto"/>
                <w:kern w:val="0"/>
                <w:highlight w:val="none"/>
                <w:u w:val="single" w:color="auto"/>
                <w:lang w:val="en-US" w:eastAsia="zh-CN"/>
              </w:rPr>
              <w:t>则本项目生产</w:t>
            </w:r>
            <w:r>
              <w:rPr>
                <w:rFonts w:hint="default" w:ascii="Times New Roman" w:hAnsi="Times New Roman" w:eastAsia="宋体" w:cs="Times New Roman"/>
                <w:color w:val="auto"/>
                <w:kern w:val="0"/>
                <w:highlight w:val="none"/>
                <w:u w:val="single" w:color="auto"/>
              </w:rPr>
              <w:t>用水</w:t>
            </w:r>
            <w:r>
              <w:rPr>
                <w:rFonts w:hint="eastAsia" w:cs="Times New Roman"/>
                <w:color w:val="auto"/>
                <w:kern w:val="0"/>
                <w:highlight w:val="none"/>
                <w:u w:val="single" w:color="auto"/>
                <w:lang w:val="en-US" w:eastAsia="zh-CN"/>
              </w:rPr>
              <w:t>量为6411.5t/a。</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2）生活污水</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本项目劳动定员20人，不在厂区食宿，根据《湖南省用水定额》</w:t>
            </w:r>
            <w:r>
              <w:rPr>
                <w:rFonts w:hint="default" w:ascii="Times New Roman" w:hAnsi="Times New Roman" w:eastAsia="宋体" w:cs="Times New Roman"/>
                <w:color w:val="auto"/>
                <w:kern w:val="0"/>
                <w:highlight w:val="none"/>
                <w:u w:val="none" w:color="auto"/>
              </w:rPr>
              <w:t>（DB43/T388-2020），</w:t>
            </w:r>
            <w:r>
              <w:rPr>
                <w:rFonts w:hint="eastAsia" w:cs="Times New Roman"/>
                <w:color w:val="auto"/>
                <w:kern w:val="0"/>
                <w:highlight w:val="none"/>
                <w:u w:val="none" w:color="auto"/>
                <w:lang w:val="en-US" w:eastAsia="zh-CN"/>
              </w:rPr>
              <w:t>用水量按38</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/人•</w:t>
            </w:r>
            <w:r>
              <w:rPr>
                <w:rFonts w:hint="default" w:ascii="Times New Roman" w:hAnsi="Times New Roman" w:eastAsia="宋体" w:cs="Times New Roman"/>
                <w:color w:val="auto"/>
                <w:kern w:val="0"/>
                <w:highlight w:val="none"/>
                <w:u w:val="none" w:color="auto"/>
                <w:lang w:val="en-US" w:eastAsia="zh-CN"/>
              </w:rPr>
              <w:t>a</w:t>
            </w:r>
            <w:r>
              <w:rPr>
                <w:rFonts w:hint="default" w:ascii="Times New Roman" w:hAnsi="Times New Roman" w:eastAsia="宋体" w:cs="Times New Roman"/>
                <w:color w:val="auto"/>
                <w:kern w:val="0"/>
                <w:highlight w:val="none"/>
                <w:u w:val="none" w:color="auto"/>
              </w:rPr>
              <w:t>计算</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则本项目生活用水量为760</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/a</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2.53</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/d</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生活污水排放系数取0.8，则本项目生活污水排放量为608</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/a</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2.03</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/d</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经化粪池处理后排入湖南汨罗高新技术产业开发区（循环园区）污水处理厂处理。</w:t>
            </w:r>
          </w:p>
          <w:p>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（2）排水</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项目厂区实行雨污分流，雨水排入园区雨水管网，</w:t>
            </w:r>
            <w:r>
              <w:rPr>
                <w:rFonts w:hint="eastAsia" w:cs="Times New Roman"/>
                <w:color w:val="auto"/>
                <w:kern w:val="0"/>
                <w:highlight w:val="none"/>
                <w:u w:val="single" w:color="auto"/>
                <w:lang w:val="en-US" w:eastAsia="zh-CN"/>
              </w:rPr>
              <w:t>生产废水经三级沉淀池沉淀后有限回用，外排部分依托湖南中塑新材料科技有限公司污水处理设施处理达标后，最终排入汨罗高新区再生材料产业园污水处理厂</w:t>
            </w:r>
            <w:r>
              <w:rPr>
                <w:rFonts w:hint="eastAsia" w:cs="Times New Roman"/>
                <w:color w:val="auto"/>
                <w:kern w:val="0"/>
                <w:highlight w:val="none"/>
                <w:u w:val="none" w:color="auto"/>
                <w:lang w:val="en-US" w:eastAsia="zh-CN"/>
              </w:rPr>
              <w:t>。生活污水经化粪池处理后排入湖南汨罗高新技术产业开发区（循环园区）污水处理厂处理。</w:t>
            </w:r>
          </w:p>
          <w:p>
            <w:pPr>
              <w:pStyle w:val="12"/>
              <w:spacing w:before="0"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表2-</w:t>
            </w:r>
            <w:r>
              <w:rPr>
                <w:rFonts w:hint="eastAsia" w:ascii="Times New Roman" w:hAnsi="Times New Roman"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 xml:space="preserve"> 项目用排水情况表</w:t>
            </w:r>
          </w:p>
          <w:tbl>
            <w:tblPr>
              <w:tblStyle w:val="42"/>
              <w:tblW w:w="83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26"/>
              <w:gridCol w:w="888"/>
              <w:gridCol w:w="874"/>
              <w:gridCol w:w="956"/>
              <w:gridCol w:w="940"/>
              <w:gridCol w:w="853"/>
              <w:gridCol w:w="1107"/>
              <w:gridCol w:w="21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6" w:hRule="atLeast"/>
                <w:jc w:val="center"/>
              </w:trPr>
              <w:tc>
                <w:tcPr>
                  <w:tcW w:w="526"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序号</w:t>
                  </w:r>
                </w:p>
              </w:tc>
              <w:tc>
                <w:tcPr>
                  <w:tcW w:w="888"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用水部位</w:t>
                  </w:r>
                </w:p>
              </w:tc>
              <w:tc>
                <w:tcPr>
                  <w:tcW w:w="2770" w:type="dxa"/>
                  <w:gridSpan w:val="3"/>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用水量</w:t>
                  </w:r>
                </w:p>
              </w:tc>
              <w:tc>
                <w:tcPr>
                  <w:tcW w:w="853"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损耗量</w:t>
                  </w:r>
                </w:p>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w:t>
                  </w:r>
                  <w:r>
                    <w:rPr>
                      <w:rFonts w:hint="default" w:ascii="Times New Roman" w:hAnsi="Times New Roman" w:eastAsia="宋体" w:cs="Times New Roman"/>
                      <w:color w:val="auto"/>
                      <w:kern w:val="0"/>
                      <w:sz w:val="18"/>
                      <w:szCs w:val="18"/>
                      <w:highlight w:val="none"/>
                      <w:u w:val="single" w:color="auto"/>
                      <w:lang w:val="en-US" w:eastAsia="zh-CN"/>
                    </w:rPr>
                    <w:t>m</w:t>
                  </w:r>
                  <w:r>
                    <w:rPr>
                      <w:rFonts w:hint="default" w:ascii="Times New Roman" w:hAnsi="Times New Roman" w:eastAsia="宋体" w:cs="Times New Roman"/>
                      <w:color w:val="auto"/>
                      <w:kern w:val="0"/>
                      <w:sz w:val="18"/>
                      <w:szCs w:val="18"/>
                      <w:highlight w:val="none"/>
                      <w:u w:val="single" w:color="auto"/>
                      <w:vertAlign w:val="superscript"/>
                      <w:lang w:val="en-US" w:eastAsia="zh-CN"/>
                    </w:rPr>
                    <w:t>3</w:t>
                  </w:r>
                  <w:r>
                    <w:rPr>
                      <w:rFonts w:hint="default" w:ascii="Times New Roman" w:hAnsi="Times New Roman" w:eastAsia="宋体" w:cs="Times New Roman"/>
                      <w:color w:val="auto"/>
                      <w:sz w:val="18"/>
                      <w:szCs w:val="18"/>
                      <w:highlight w:val="none"/>
                      <w:u w:val="single" w:color="auto"/>
                    </w:rPr>
                    <w:t>/a）</w:t>
                  </w:r>
                </w:p>
              </w:tc>
              <w:tc>
                <w:tcPr>
                  <w:tcW w:w="1107"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eastAsia" w:cs="Times New Roman"/>
                      <w:color w:val="auto"/>
                      <w:sz w:val="18"/>
                      <w:szCs w:val="18"/>
                      <w:highlight w:val="none"/>
                      <w:u w:val="single" w:color="auto"/>
                      <w:lang w:val="en-US" w:eastAsia="zh-CN"/>
                    </w:rPr>
                    <w:t>废水产生量</w:t>
                  </w:r>
                  <w:r>
                    <w:rPr>
                      <w:rFonts w:hint="default" w:ascii="Times New Roman" w:hAnsi="Times New Roman" w:eastAsia="宋体" w:cs="Times New Roman"/>
                      <w:color w:val="auto"/>
                      <w:sz w:val="18"/>
                      <w:szCs w:val="18"/>
                      <w:highlight w:val="none"/>
                      <w:u w:val="single" w:color="auto"/>
                    </w:rPr>
                    <w:t>（</w:t>
                  </w:r>
                  <w:r>
                    <w:rPr>
                      <w:rFonts w:hint="default" w:ascii="Times New Roman" w:hAnsi="Times New Roman" w:eastAsia="宋体" w:cs="Times New Roman"/>
                      <w:color w:val="auto"/>
                      <w:kern w:val="0"/>
                      <w:sz w:val="18"/>
                      <w:szCs w:val="18"/>
                      <w:highlight w:val="none"/>
                      <w:u w:val="single" w:color="auto"/>
                      <w:lang w:val="en-US" w:eastAsia="zh-CN"/>
                    </w:rPr>
                    <w:t>m</w:t>
                  </w:r>
                  <w:r>
                    <w:rPr>
                      <w:rFonts w:hint="default" w:ascii="Times New Roman" w:hAnsi="Times New Roman" w:eastAsia="宋体" w:cs="Times New Roman"/>
                      <w:color w:val="auto"/>
                      <w:kern w:val="0"/>
                      <w:sz w:val="18"/>
                      <w:szCs w:val="18"/>
                      <w:highlight w:val="none"/>
                      <w:u w:val="single" w:color="auto"/>
                      <w:vertAlign w:val="superscript"/>
                      <w:lang w:val="en-US" w:eastAsia="zh-CN"/>
                    </w:rPr>
                    <w:t>3</w:t>
                  </w:r>
                  <w:r>
                    <w:rPr>
                      <w:rFonts w:hint="default" w:ascii="Times New Roman" w:hAnsi="Times New Roman" w:eastAsia="宋体" w:cs="Times New Roman"/>
                      <w:color w:val="auto"/>
                      <w:sz w:val="18"/>
                      <w:szCs w:val="18"/>
                      <w:highlight w:val="none"/>
                      <w:u w:val="single" w:color="auto"/>
                    </w:rPr>
                    <w:t>/a）</w:t>
                  </w:r>
                </w:p>
              </w:tc>
              <w:tc>
                <w:tcPr>
                  <w:tcW w:w="2160"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60" w:hRule="atLeast"/>
                <w:jc w:val="center"/>
              </w:trPr>
              <w:tc>
                <w:tcPr>
                  <w:tcW w:w="526"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888"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874"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eastAsia="zh-CN"/>
                    </w:rPr>
                  </w:pPr>
                  <w:r>
                    <w:rPr>
                      <w:rFonts w:hint="default" w:ascii="Times New Roman" w:hAnsi="Times New Roman" w:eastAsia="宋体" w:cs="Times New Roman"/>
                      <w:color w:val="auto"/>
                      <w:sz w:val="18"/>
                      <w:szCs w:val="18"/>
                      <w:highlight w:val="none"/>
                      <w:u w:val="single" w:color="auto"/>
                      <w:lang w:val="en-US" w:eastAsia="zh-CN"/>
                    </w:rPr>
                    <w:t>总</w:t>
                  </w:r>
                  <w:r>
                    <w:rPr>
                      <w:rFonts w:hint="default" w:ascii="Times New Roman" w:hAnsi="Times New Roman" w:eastAsia="宋体" w:cs="Times New Roman"/>
                      <w:color w:val="auto"/>
                      <w:sz w:val="18"/>
                      <w:szCs w:val="18"/>
                      <w:highlight w:val="none"/>
                      <w:u w:val="single" w:color="auto"/>
                    </w:rPr>
                    <w:t>用水量（</w:t>
                  </w:r>
                  <w:r>
                    <w:rPr>
                      <w:rFonts w:hint="default" w:ascii="Times New Roman" w:hAnsi="Times New Roman" w:eastAsia="宋体" w:cs="Times New Roman"/>
                      <w:color w:val="auto"/>
                      <w:kern w:val="0"/>
                      <w:sz w:val="18"/>
                      <w:szCs w:val="18"/>
                      <w:highlight w:val="none"/>
                      <w:u w:val="single" w:color="auto"/>
                      <w:lang w:val="en-US" w:eastAsia="zh-CN"/>
                    </w:rPr>
                    <w:t>m</w:t>
                  </w:r>
                  <w:r>
                    <w:rPr>
                      <w:rFonts w:hint="default" w:ascii="Times New Roman" w:hAnsi="Times New Roman" w:eastAsia="宋体" w:cs="Times New Roman"/>
                      <w:color w:val="auto"/>
                      <w:kern w:val="0"/>
                      <w:sz w:val="18"/>
                      <w:szCs w:val="18"/>
                      <w:highlight w:val="none"/>
                      <w:u w:val="single" w:color="auto"/>
                      <w:vertAlign w:val="superscript"/>
                      <w:lang w:val="en-US" w:eastAsia="zh-CN"/>
                    </w:rPr>
                    <w:t>3</w:t>
                  </w:r>
                  <w:r>
                    <w:rPr>
                      <w:rFonts w:hint="default" w:ascii="Times New Roman" w:hAnsi="Times New Roman" w:eastAsia="宋体" w:cs="Times New Roman"/>
                      <w:color w:val="auto"/>
                      <w:sz w:val="18"/>
                      <w:szCs w:val="18"/>
                      <w:highlight w:val="none"/>
                      <w:u w:val="single" w:color="auto"/>
                    </w:rPr>
                    <w:t>/a</w:t>
                  </w:r>
                  <w:r>
                    <w:rPr>
                      <w:rFonts w:hint="default" w:ascii="Times New Roman" w:hAnsi="Times New Roman" w:eastAsia="宋体" w:cs="Times New Roman"/>
                      <w:color w:val="auto"/>
                      <w:sz w:val="18"/>
                      <w:szCs w:val="18"/>
                      <w:highlight w:val="none"/>
                      <w:u w:val="single" w:color="auto"/>
                      <w:lang w:eastAsia="zh-CN"/>
                    </w:rPr>
                    <w:t>）</w:t>
                  </w:r>
                </w:p>
              </w:tc>
              <w:tc>
                <w:tcPr>
                  <w:tcW w:w="956"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新鲜用水量</w:t>
                  </w:r>
                  <w:r>
                    <w:rPr>
                      <w:rFonts w:hint="default" w:ascii="Times New Roman" w:hAnsi="Times New Roman" w:eastAsia="宋体" w:cs="Times New Roman"/>
                      <w:color w:val="auto"/>
                      <w:sz w:val="18"/>
                      <w:szCs w:val="18"/>
                      <w:highlight w:val="none"/>
                      <w:u w:val="single" w:color="auto"/>
                    </w:rPr>
                    <w:t>（</w:t>
                  </w:r>
                  <w:r>
                    <w:rPr>
                      <w:rFonts w:hint="default" w:ascii="Times New Roman" w:hAnsi="Times New Roman" w:eastAsia="宋体" w:cs="Times New Roman"/>
                      <w:color w:val="auto"/>
                      <w:kern w:val="0"/>
                      <w:sz w:val="18"/>
                      <w:szCs w:val="18"/>
                      <w:highlight w:val="none"/>
                      <w:u w:val="single" w:color="auto"/>
                      <w:lang w:val="en-US" w:eastAsia="zh-CN"/>
                    </w:rPr>
                    <w:t>m</w:t>
                  </w:r>
                  <w:r>
                    <w:rPr>
                      <w:rFonts w:hint="default" w:ascii="Times New Roman" w:hAnsi="Times New Roman" w:eastAsia="宋体" w:cs="Times New Roman"/>
                      <w:color w:val="auto"/>
                      <w:kern w:val="0"/>
                      <w:sz w:val="18"/>
                      <w:szCs w:val="18"/>
                      <w:highlight w:val="none"/>
                      <w:u w:val="single" w:color="auto"/>
                      <w:vertAlign w:val="superscript"/>
                      <w:lang w:val="en-US" w:eastAsia="zh-CN"/>
                    </w:rPr>
                    <w:t>3</w:t>
                  </w:r>
                  <w:r>
                    <w:rPr>
                      <w:rFonts w:hint="default" w:ascii="Times New Roman" w:hAnsi="Times New Roman" w:eastAsia="宋体" w:cs="Times New Roman"/>
                      <w:color w:val="auto"/>
                      <w:sz w:val="18"/>
                      <w:szCs w:val="18"/>
                      <w:highlight w:val="none"/>
                      <w:u w:val="single" w:color="auto"/>
                    </w:rPr>
                    <w:t>/a</w:t>
                  </w:r>
                  <w:r>
                    <w:rPr>
                      <w:rFonts w:hint="default" w:ascii="Times New Roman" w:hAnsi="Times New Roman" w:eastAsia="宋体" w:cs="Times New Roman"/>
                      <w:color w:val="auto"/>
                      <w:sz w:val="18"/>
                      <w:szCs w:val="18"/>
                      <w:highlight w:val="none"/>
                      <w:u w:val="single" w:color="auto"/>
                      <w:lang w:eastAsia="zh-CN"/>
                    </w:rPr>
                    <w:t>）</w:t>
                  </w:r>
                </w:p>
              </w:tc>
              <w:tc>
                <w:tcPr>
                  <w:tcW w:w="94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循环</w:t>
                  </w:r>
                  <w:r>
                    <w:rPr>
                      <w:rFonts w:hint="default" w:ascii="Times New Roman" w:hAnsi="Times New Roman" w:eastAsia="宋体" w:cs="Times New Roman"/>
                      <w:color w:val="auto"/>
                      <w:sz w:val="18"/>
                      <w:szCs w:val="18"/>
                      <w:highlight w:val="none"/>
                      <w:u w:val="single" w:color="auto"/>
                      <w:lang w:val="en-US" w:eastAsia="zh-CN"/>
                    </w:rPr>
                    <w:t>水量</w:t>
                  </w:r>
                  <w:r>
                    <w:rPr>
                      <w:rFonts w:hint="default" w:ascii="Times New Roman" w:hAnsi="Times New Roman" w:eastAsia="宋体" w:cs="Times New Roman"/>
                      <w:color w:val="auto"/>
                      <w:sz w:val="18"/>
                      <w:szCs w:val="18"/>
                      <w:highlight w:val="none"/>
                      <w:u w:val="single" w:color="auto"/>
                    </w:rPr>
                    <w:t>（</w:t>
                  </w:r>
                  <w:r>
                    <w:rPr>
                      <w:rFonts w:hint="default" w:ascii="Times New Roman" w:hAnsi="Times New Roman" w:eastAsia="宋体" w:cs="Times New Roman"/>
                      <w:color w:val="auto"/>
                      <w:kern w:val="0"/>
                      <w:sz w:val="18"/>
                      <w:szCs w:val="18"/>
                      <w:highlight w:val="none"/>
                      <w:u w:val="single" w:color="auto"/>
                      <w:lang w:val="en-US" w:eastAsia="zh-CN"/>
                    </w:rPr>
                    <w:t>m</w:t>
                  </w:r>
                  <w:r>
                    <w:rPr>
                      <w:rFonts w:hint="default" w:ascii="Times New Roman" w:hAnsi="Times New Roman" w:eastAsia="宋体" w:cs="Times New Roman"/>
                      <w:color w:val="auto"/>
                      <w:kern w:val="0"/>
                      <w:sz w:val="18"/>
                      <w:szCs w:val="18"/>
                      <w:highlight w:val="none"/>
                      <w:u w:val="single" w:color="auto"/>
                      <w:vertAlign w:val="superscript"/>
                      <w:lang w:val="en-US" w:eastAsia="zh-CN"/>
                    </w:rPr>
                    <w:t>3</w:t>
                  </w:r>
                  <w:r>
                    <w:rPr>
                      <w:rFonts w:hint="default" w:ascii="Times New Roman" w:hAnsi="Times New Roman" w:eastAsia="宋体" w:cs="Times New Roman"/>
                      <w:color w:val="auto"/>
                      <w:sz w:val="18"/>
                      <w:szCs w:val="18"/>
                      <w:highlight w:val="none"/>
                      <w:u w:val="single" w:color="auto"/>
                    </w:rPr>
                    <w:t>/a</w:t>
                  </w:r>
                  <w:r>
                    <w:rPr>
                      <w:rFonts w:hint="default" w:ascii="Times New Roman" w:hAnsi="Times New Roman" w:eastAsia="宋体" w:cs="Times New Roman"/>
                      <w:color w:val="auto"/>
                      <w:sz w:val="18"/>
                      <w:szCs w:val="18"/>
                      <w:highlight w:val="none"/>
                      <w:u w:val="single" w:color="auto"/>
                      <w:lang w:eastAsia="zh-CN"/>
                    </w:rPr>
                    <w:t>）</w:t>
                  </w:r>
                </w:p>
              </w:tc>
              <w:tc>
                <w:tcPr>
                  <w:tcW w:w="853"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1107"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2160"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26"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1</w:t>
                  </w:r>
                </w:p>
              </w:tc>
              <w:tc>
                <w:tcPr>
                  <w:tcW w:w="88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破碎</w:t>
                  </w:r>
                  <w:r>
                    <w:rPr>
                      <w:rFonts w:hint="eastAsia" w:cs="Times New Roman"/>
                      <w:color w:val="auto"/>
                      <w:sz w:val="18"/>
                      <w:szCs w:val="18"/>
                      <w:highlight w:val="none"/>
                      <w:u w:val="single" w:color="auto"/>
                      <w:lang w:eastAsia="zh-CN"/>
                    </w:rPr>
                    <w:t>、</w:t>
                  </w:r>
                  <w:r>
                    <w:rPr>
                      <w:rFonts w:hint="eastAsia" w:cs="Times New Roman"/>
                      <w:color w:val="auto"/>
                      <w:sz w:val="18"/>
                      <w:szCs w:val="18"/>
                      <w:highlight w:val="none"/>
                      <w:u w:val="single" w:color="auto"/>
                      <w:lang w:val="en-US" w:eastAsia="zh-CN"/>
                    </w:rPr>
                    <w:t>清洗</w:t>
                  </w:r>
                  <w:r>
                    <w:rPr>
                      <w:rFonts w:hint="default" w:ascii="Times New Roman" w:hAnsi="Times New Roman" w:eastAsia="宋体" w:cs="Times New Roman"/>
                      <w:color w:val="auto"/>
                      <w:sz w:val="18"/>
                      <w:szCs w:val="18"/>
                      <w:highlight w:val="none"/>
                      <w:u w:val="single" w:color="auto"/>
                    </w:rPr>
                    <w:t>用水</w:t>
                  </w:r>
                </w:p>
              </w:tc>
              <w:tc>
                <w:tcPr>
                  <w:tcW w:w="874"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rPr>
                  </w:pPr>
                  <w:r>
                    <w:rPr>
                      <w:rFonts w:hint="eastAsia" w:cs="Times New Roman"/>
                      <w:color w:val="auto"/>
                      <w:sz w:val="18"/>
                      <w:szCs w:val="18"/>
                      <w:highlight w:val="none"/>
                      <w:u w:val="single" w:color="auto"/>
                      <w:lang w:val="en-US" w:eastAsia="zh-CN"/>
                    </w:rPr>
                    <w:t>75789.5</w:t>
                  </w:r>
                </w:p>
              </w:tc>
              <w:tc>
                <w:tcPr>
                  <w:tcW w:w="956"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6369.5</w:t>
                  </w:r>
                </w:p>
              </w:tc>
              <w:tc>
                <w:tcPr>
                  <w:tcW w:w="94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69420</w:t>
                  </w:r>
                </w:p>
              </w:tc>
              <w:tc>
                <w:tcPr>
                  <w:tcW w:w="853"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3789.5</w:t>
                  </w:r>
                </w:p>
              </w:tc>
              <w:tc>
                <w:tcPr>
                  <w:tcW w:w="1107"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72000</w:t>
                  </w:r>
                </w:p>
              </w:tc>
              <w:tc>
                <w:tcPr>
                  <w:tcW w:w="2160" w:type="dxa"/>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rPr>
                  </w:pPr>
                  <w:r>
                    <w:rPr>
                      <w:rFonts w:hint="eastAsia" w:cs="Times New Roman"/>
                      <w:color w:val="auto"/>
                      <w:sz w:val="18"/>
                      <w:szCs w:val="18"/>
                      <w:highlight w:val="none"/>
                      <w:u w:val="single" w:color="auto"/>
                      <w:lang w:val="en-US" w:eastAsia="zh-CN"/>
                    </w:rPr>
                    <w:t>沉淀后有限回用，定期排放进入湖南中塑新材料科技有限公司处理达标后，排入湖南汨罗循环经济产业园再生材料产业园污水处理厂深度处理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26" w:type="dxa"/>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eastAsia" w:cs="Times New Roman"/>
                      <w:color w:val="auto"/>
                      <w:sz w:val="18"/>
                      <w:szCs w:val="18"/>
                      <w:highlight w:val="none"/>
                      <w:u w:val="single" w:color="auto"/>
                      <w:lang w:val="en-US" w:eastAsia="zh-CN"/>
                    </w:rPr>
                    <w:t>2</w:t>
                  </w:r>
                </w:p>
              </w:tc>
              <w:tc>
                <w:tcPr>
                  <w:tcW w:w="88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地面清洗废水</w:t>
                  </w:r>
                </w:p>
              </w:tc>
              <w:tc>
                <w:tcPr>
                  <w:tcW w:w="874"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420</w:t>
                  </w:r>
                </w:p>
              </w:tc>
              <w:tc>
                <w:tcPr>
                  <w:tcW w:w="956"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42</w:t>
                  </w:r>
                </w:p>
              </w:tc>
              <w:tc>
                <w:tcPr>
                  <w:tcW w:w="94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378</w:t>
                  </w:r>
                </w:p>
              </w:tc>
              <w:tc>
                <w:tcPr>
                  <w:tcW w:w="853"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42</w:t>
                  </w:r>
                </w:p>
              </w:tc>
              <w:tc>
                <w:tcPr>
                  <w:tcW w:w="1107"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378</w:t>
                  </w:r>
                </w:p>
              </w:tc>
              <w:tc>
                <w:tcPr>
                  <w:tcW w:w="2160" w:type="dxa"/>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26"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u w:val="single" w:color="auto"/>
                      <w:lang w:val="en-US" w:eastAsia="zh-CN" w:bidi="ar-SA"/>
                    </w:rPr>
                  </w:pPr>
                  <w:r>
                    <w:rPr>
                      <w:rFonts w:hint="eastAsia" w:cs="Times New Roman"/>
                      <w:color w:val="auto"/>
                      <w:sz w:val="18"/>
                      <w:szCs w:val="18"/>
                      <w:highlight w:val="none"/>
                      <w:u w:val="single" w:color="auto"/>
                      <w:lang w:val="en-US" w:eastAsia="zh-CN"/>
                    </w:rPr>
                    <w:t>3</w:t>
                  </w:r>
                </w:p>
              </w:tc>
              <w:tc>
                <w:tcPr>
                  <w:tcW w:w="88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生活用水</w:t>
                  </w:r>
                </w:p>
              </w:tc>
              <w:tc>
                <w:tcPr>
                  <w:tcW w:w="874"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760</w:t>
                  </w:r>
                </w:p>
              </w:tc>
              <w:tc>
                <w:tcPr>
                  <w:tcW w:w="956"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760</w:t>
                  </w:r>
                </w:p>
              </w:tc>
              <w:tc>
                <w:tcPr>
                  <w:tcW w:w="94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0</w:t>
                  </w:r>
                </w:p>
              </w:tc>
              <w:tc>
                <w:tcPr>
                  <w:tcW w:w="853"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152</w:t>
                  </w:r>
                </w:p>
              </w:tc>
              <w:tc>
                <w:tcPr>
                  <w:tcW w:w="1107"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608</w:t>
                  </w:r>
                </w:p>
              </w:tc>
              <w:tc>
                <w:tcPr>
                  <w:tcW w:w="2160"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经化粪池处理达标后排入湖南汨罗高新技术产业开发区（循环园区）污水处理厂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526" w:type="dxa"/>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eastAsia" w:cs="Times New Roman"/>
                      <w:color w:val="auto"/>
                      <w:sz w:val="18"/>
                      <w:szCs w:val="18"/>
                      <w:highlight w:val="none"/>
                      <w:u w:val="single" w:color="auto"/>
                      <w:lang w:val="en-US" w:eastAsia="zh-CN"/>
                    </w:rPr>
                    <w:t>4</w:t>
                  </w:r>
                </w:p>
              </w:tc>
              <w:tc>
                <w:tcPr>
                  <w:tcW w:w="888" w:type="dxa"/>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合计</w:t>
                  </w:r>
                </w:p>
              </w:tc>
              <w:tc>
                <w:tcPr>
                  <w:tcW w:w="8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198232.6</w:t>
                  </w:r>
                </w:p>
              </w:tc>
              <w:tc>
                <w:tcPr>
                  <w:tcW w:w="9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single" w:color="auto"/>
                      <w:lang w:val="en-US" w:eastAsia="zh-CN" w:bidi="ar"/>
                    </w:rPr>
                  </w:pPr>
                  <w:r>
                    <w:rPr>
                      <w:rFonts w:hint="eastAsia" w:cs="Times New Roman"/>
                      <w:color w:val="auto"/>
                      <w:kern w:val="0"/>
                      <w:sz w:val="18"/>
                      <w:szCs w:val="18"/>
                      <w:highlight w:val="none"/>
                      <w:u w:val="single" w:color="auto"/>
                      <w:lang w:val="en-US" w:eastAsia="zh-CN" w:bidi="ar"/>
                    </w:rPr>
                    <w:t>10645.6</w:t>
                  </w:r>
                </w:p>
              </w:tc>
              <w:tc>
                <w:tcPr>
                  <w:tcW w:w="94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single" w:color="auto"/>
                      <w:lang w:val="en-US" w:eastAsia="zh-CN" w:bidi="ar"/>
                    </w:rPr>
                  </w:pPr>
                  <w:r>
                    <w:rPr>
                      <w:rFonts w:hint="eastAsia" w:cs="Times New Roman"/>
                      <w:color w:val="auto"/>
                      <w:kern w:val="0"/>
                      <w:sz w:val="18"/>
                      <w:szCs w:val="18"/>
                      <w:highlight w:val="none"/>
                      <w:u w:val="single" w:color="auto"/>
                      <w:lang w:val="en-US" w:eastAsia="zh-CN" w:bidi="ar"/>
                    </w:rPr>
                    <w:t>187578</w:t>
                  </w:r>
                </w:p>
              </w:tc>
              <w:tc>
                <w:tcPr>
                  <w:tcW w:w="8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10046.6</w:t>
                  </w:r>
                </w:p>
              </w:tc>
              <w:tc>
                <w:tcPr>
                  <w:tcW w:w="11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eastAsia" w:cs="Times New Roman"/>
                      <w:color w:val="auto"/>
                      <w:sz w:val="18"/>
                      <w:szCs w:val="18"/>
                      <w:highlight w:val="none"/>
                      <w:u w:val="single" w:color="auto"/>
                      <w:lang w:val="en-US" w:eastAsia="zh-CN"/>
                    </w:rPr>
                    <w:t>188186</w:t>
                  </w:r>
                </w:p>
              </w:tc>
              <w:tc>
                <w:tcPr>
                  <w:tcW w:w="2160"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 w:val="18"/>
                      <w:szCs w:val="18"/>
                      <w:highlight w:val="none"/>
                      <w:u w:val="single" w:color="auto"/>
                      <w:lang w:val="en-US" w:eastAsia="zh-CN" w:bidi="ar"/>
                    </w:rPr>
                  </w:pPr>
                  <w:r>
                    <w:rPr>
                      <w:rFonts w:hint="eastAsia" w:cs="Times New Roman"/>
                      <w:color w:val="auto"/>
                      <w:kern w:val="0"/>
                      <w:sz w:val="18"/>
                      <w:szCs w:val="18"/>
                      <w:highlight w:val="none"/>
                      <w:u w:val="single" w:color="auto"/>
                      <w:lang w:val="en-US" w:eastAsia="zh-CN" w:bidi="ar"/>
                    </w:rPr>
                    <w:t>/</w:t>
                  </w:r>
                </w:p>
              </w:tc>
            </w:tr>
          </w:tbl>
          <w:p>
            <w:pPr>
              <w:pStyle w:val="22"/>
              <w:jc w:val="center"/>
              <w:rPr>
                <w:rFonts w:hint="eastAsia" w:ascii="Times New Roman" w:hAnsi="Times New Roman" w:eastAsia="宋体" w:cs="Times New Roman"/>
                <w:color w:val="auto"/>
                <w:highlight w:val="none"/>
                <w:u w:val="none" w:color="auto"/>
                <w:lang w:eastAsia="zh-CN"/>
              </w:rPr>
            </w:pPr>
            <w:r>
              <w:rPr>
                <w:rFonts w:hint="eastAsia" w:ascii="Times New Roman" w:hAnsi="Times New Roman" w:eastAsia="宋体" w:cs="Times New Roman"/>
                <w:color w:val="auto"/>
                <w:highlight w:val="none"/>
                <w:u w:val="none" w:color="auto"/>
                <w:lang w:eastAsia="zh-CN"/>
              </w:rPr>
              <w:drawing>
                <wp:inline distT="0" distB="0" distL="114300" distR="114300">
                  <wp:extent cx="5367020" cy="1537335"/>
                  <wp:effectExtent l="0" t="0" r="0" b="0"/>
                  <wp:docPr id="52" name="ECB019B1-382A-4266-B25C-5B523AA43C14-1" descr="C:/Users/Administrator/AppData/Local/Temp/wps.eCGhJv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ECB019B1-382A-4266-B25C-5B523AA43C14-1" descr="C:/Users/Administrator/AppData/Local/Temp/wps.eCGhJvwps"/>
                          <pic:cNvPicPr>
                            <a:picLocks noChangeAspect="true"/>
                          </pic:cNvPicPr>
                        </pic:nvPicPr>
                        <pic:blipFill>
                          <a:blip r:embed="rId17"/>
                          <a:stretch>
                            <a:fillRect/>
                          </a:stretch>
                        </pic:blipFill>
                        <pic:spPr>
                          <a:xfrm>
                            <a:off x="0" y="0"/>
                            <a:ext cx="5367020" cy="1537335"/>
                          </a:xfrm>
                          <a:prstGeom prst="rect">
                            <a:avLst/>
                          </a:prstGeom>
                        </pic:spPr>
                      </pic:pic>
                    </a:graphicData>
                  </a:graphic>
                </wp:inline>
              </w:drawing>
            </w:r>
          </w:p>
          <w:p>
            <w:pPr>
              <w:pStyle w:val="12"/>
              <w:spacing w:before="0" w:after="0" w:line="240" w:lineRule="auto"/>
              <w:jc w:val="center"/>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b/>
                <w:bCs/>
                <w:color w:val="auto"/>
                <w:kern w:val="0"/>
                <w:sz w:val="21"/>
                <w:szCs w:val="21"/>
                <w:highlight w:val="none"/>
                <w:u w:val="single" w:color="auto"/>
              </w:rPr>
              <w:t>图2-1  项目水平衡图（m</w:t>
            </w:r>
            <w:r>
              <w:rPr>
                <w:rFonts w:hint="default" w:ascii="Times New Roman" w:hAnsi="Times New Roman" w:eastAsia="宋体" w:cs="Times New Roman"/>
                <w:b/>
                <w:bCs/>
                <w:color w:val="auto"/>
                <w:kern w:val="0"/>
                <w:sz w:val="21"/>
                <w:szCs w:val="21"/>
                <w:highlight w:val="none"/>
                <w:u w:val="single" w:color="auto"/>
                <w:vertAlign w:val="superscript"/>
              </w:rPr>
              <w:t>3</w:t>
            </w:r>
            <w:r>
              <w:rPr>
                <w:rFonts w:hint="default" w:ascii="Times New Roman" w:hAnsi="Times New Roman" w:eastAsia="宋体" w:cs="Times New Roman"/>
                <w:b/>
                <w:bCs/>
                <w:color w:val="auto"/>
                <w:kern w:val="0"/>
                <w:sz w:val="21"/>
                <w:szCs w:val="21"/>
                <w:highlight w:val="none"/>
                <w:u w:val="single" w:color="auto"/>
              </w:rPr>
              <w:t>/a）</w:t>
            </w:r>
          </w:p>
          <w:p>
            <w:pPr>
              <w:spacing w:line="360" w:lineRule="auto"/>
              <w:ind w:firstLine="481" w:firstLineChars="200"/>
              <w:rPr>
                <w:rFonts w:hint="default" w:ascii="Times New Roman" w:hAnsi="Times New Roman" w:eastAsia="宋体" w:cs="Times New Roman"/>
                <w:b/>
                <w:bCs/>
                <w:color w:val="auto"/>
                <w:kern w:val="0"/>
                <w:highlight w:val="none"/>
                <w:u w:val="none" w:color="auto"/>
              </w:rPr>
            </w:pPr>
            <w:r>
              <w:rPr>
                <w:rFonts w:hint="default" w:ascii="Times New Roman" w:hAnsi="Times New Roman" w:eastAsia="宋体" w:cs="Times New Roman"/>
                <w:b/>
                <w:bCs/>
                <w:color w:val="auto"/>
                <w:kern w:val="0"/>
                <w:highlight w:val="none"/>
                <w:u w:val="none" w:color="auto"/>
              </w:rPr>
              <w:t>六、劳动定员及工作制度</w:t>
            </w:r>
          </w:p>
          <w:p>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本项目职工总人数</w:t>
            </w:r>
            <w:r>
              <w:rPr>
                <w:rFonts w:hint="eastAsia" w:cs="Times New Roman"/>
                <w:color w:val="auto"/>
                <w:kern w:val="0"/>
                <w:highlight w:val="none"/>
                <w:u w:val="none" w:color="auto"/>
                <w:lang w:val="en-US" w:eastAsia="zh-CN"/>
              </w:rPr>
              <w:t>20</w:t>
            </w:r>
            <w:r>
              <w:rPr>
                <w:rFonts w:hint="default" w:ascii="Times New Roman" w:hAnsi="Times New Roman" w:eastAsia="宋体" w:cs="Times New Roman"/>
                <w:color w:val="auto"/>
                <w:kern w:val="0"/>
                <w:highlight w:val="none"/>
                <w:u w:val="none" w:color="auto"/>
              </w:rPr>
              <w:t>人，均</w:t>
            </w:r>
            <w:r>
              <w:rPr>
                <w:rFonts w:hint="default" w:ascii="Times New Roman" w:hAnsi="Times New Roman" w:eastAsia="宋体" w:cs="Times New Roman"/>
                <w:color w:val="auto"/>
                <w:kern w:val="0"/>
                <w:highlight w:val="none"/>
                <w:u w:val="none" w:color="auto"/>
                <w:lang w:val="en-US" w:eastAsia="zh-CN"/>
              </w:rPr>
              <w:t>不</w:t>
            </w:r>
            <w:r>
              <w:rPr>
                <w:rFonts w:hint="default" w:ascii="Times New Roman" w:hAnsi="Times New Roman" w:eastAsia="宋体" w:cs="Times New Roman"/>
                <w:color w:val="auto"/>
                <w:kern w:val="0"/>
                <w:highlight w:val="none"/>
                <w:u w:val="none" w:color="auto"/>
              </w:rPr>
              <w:t>在厂区内</w:t>
            </w:r>
            <w:r>
              <w:rPr>
                <w:rFonts w:hint="default" w:ascii="Times New Roman" w:hAnsi="Times New Roman" w:eastAsia="宋体" w:cs="Times New Roman"/>
                <w:color w:val="auto"/>
                <w:kern w:val="0"/>
                <w:highlight w:val="none"/>
                <w:u w:val="none" w:color="auto"/>
                <w:lang w:val="en-US" w:eastAsia="zh-CN"/>
              </w:rPr>
              <w:t>食宿</w:t>
            </w:r>
            <w:r>
              <w:rPr>
                <w:rFonts w:hint="default" w:ascii="Times New Roman" w:hAnsi="Times New Roman" w:eastAsia="宋体" w:cs="Times New Roman"/>
                <w:color w:val="auto"/>
                <w:kern w:val="0"/>
                <w:highlight w:val="none"/>
                <w:u w:val="none" w:color="auto"/>
              </w:rPr>
              <w:t>，每班8小时工作制，每天</w:t>
            </w:r>
            <w:r>
              <w:rPr>
                <w:rFonts w:hint="eastAsia" w:cs="Times New Roman"/>
                <w:color w:val="auto"/>
                <w:kern w:val="0"/>
                <w:highlight w:val="none"/>
                <w:u w:val="none" w:color="auto"/>
                <w:lang w:val="en-US" w:eastAsia="zh-CN"/>
              </w:rPr>
              <w:t>3</w:t>
            </w:r>
            <w:r>
              <w:rPr>
                <w:rFonts w:hint="default" w:ascii="Times New Roman" w:hAnsi="Times New Roman" w:eastAsia="宋体" w:cs="Times New Roman"/>
                <w:color w:val="auto"/>
                <w:kern w:val="0"/>
                <w:highlight w:val="none"/>
                <w:u w:val="none" w:color="auto"/>
              </w:rPr>
              <w:t>班，年工作300天。</w:t>
            </w:r>
          </w:p>
          <w:p>
            <w:pPr>
              <w:spacing w:line="360" w:lineRule="auto"/>
              <w:ind w:firstLine="481" w:firstLineChars="200"/>
              <w:rPr>
                <w:rFonts w:hint="default" w:ascii="Times New Roman" w:hAnsi="Times New Roman" w:eastAsia="宋体" w:cs="Times New Roman"/>
                <w:b/>
                <w:bCs/>
                <w:color w:val="auto"/>
                <w:kern w:val="0"/>
                <w:highlight w:val="none"/>
                <w:u w:val="none" w:color="auto"/>
              </w:rPr>
            </w:pPr>
            <w:r>
              <w:rPr>
                <w:rFonts w:hint="default" w:ascii="Times New Roman" w:hAnsi="Times New Roman" w:eastAsia="宋体" w:cs="Times New Roman"/>
                <w:b/>
                <w:bCs/>
                <w:color w:val="auto"/>
                <w:kern w:val="0"/>
                <w:highlight w:val="none"/>
                <w:u w:val="none" w:color="auto"/>
              </w:rPr>
              <w:t>七、平面布置</w:t>
            </w:r>
          </w:p>
          <w:p>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eastAsia" w:cs="Times New Roman"/>
                <w:color w:val="auto"/>
                <w:kern w:val="0"/>
                <w:highlight w:val="none"/>
                <w:u w:val="none" w:color="auto"/>
                <w:lang w:val="en-US" w:eastAsia="zh-CN"/>
              </w:rPr>
              <w:t>本项目租用标准厂房进行建设，厂区东侧为破碎线，西北侧为清洗线，分选线位于清洗线南侧，成品暂存区位于分选线南侧，原料暂存位于车间北侧，东南侧为沉淀池及循环水池。办公区位于车间南侧。危险废物暂存间位于车间西南角。</w:t>
            </w:r>
            <w:r>
              <w:rPr>
                <w:rFonts w:hint="default" w:ascii="Times New Roman" w:hAnsi="Times New Roman" w:eastAsia="宋体" w:cs="Times New Roman"/>
                <w:color w:val="auto"/>
                <w:kern w:val="0"/>
                <w:highlight w:val="none"/>
                <w:u w:val="none" w:color="auto"/>
              </w:rPr>
              <w:t>本项目的平面设计根据流程和设备运转的要求，按照工艺过程、运转顺序和安全生产的需要布置生产装置，满足了工艺流程的合理顺畅，使生产设备集中布置。综上所述，本项目厂区布局合理。具体详见附图。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8" w:hRule="atLeast"/>
          <w:jc w:val="center"/>
        </w:trPr>
        <w:tc>
          <w:tcPr>
            <w:tcW w:w="251" w:type="pct"/>
            <w:vAlign w:val="center"/>
          </w:tcPr>
          <w:p>
            <w:pPr>
              <w:pStyle w:val="39"/>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工艺流程和产排污环节</w:t>
            </w:r>
          </w:p>
        </w:tc>
        <w:tc>
          <w:tcPr>
            <w:tcW w:w="4748" w:type="pct"/>
          </w:tcPr>
          <w:p>
            <w:pPr>
              <w:spacing w:line="500" w:lineRule="exact"/>
              <w:ind w:firstLine="481" w:firstLineChars="200"/>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1、生产工艺流程及产污节点图</w:t>
            </w:r>
          </w:p>
          <w:p>
            <w:pPr>
              <w:jc w:val="center"/>
              <w:rPr>
                <w:rFonts w:hint="eastAsia" w:ascii="Times New Roman" w:hAnsi="Times New Roman" w:eastAsia="宋体" w:cs="Times New Roman"/>
                <w:b/>
                <w:color w:val="auto"/>
                <w:szCs w:val="21"/>
                <w:highlight w:val="none"/>
                <w:u w:val="none" w:color="auto"/>
                <w:lang w:eastAsia="zh-CN"/>
              </w:rPr>
            </w:pPr>
            <w:r>
              <w:rPr>
                <w:rFonts w:hint="eastAsia" w:ascii="Times New Roman" w:hAnsi="Times New Roman" w:eastAsia="宋体" w:cs="Times New Roman"/>
                <w:b/>
                <w:color w:val="auto"/>
                <w:szCs w:val="21"/>
                <w:highlight w:val="none"/>
                <w:u w:val="none" w:color="auto"/>
                <w:lang w:eastAsia="zh-CN"/>
              </w:rPr>
              <w:drawing>
                <wp:inline distT="0" distB="0" distL="114300" distR="114300">
                  <wp:extent cx="3079750" cy="4269105"/>
                  <wp:effectExtent l="0" t="0" r="0" b="0"/>
                  <wp:docPr id="60" name="ECB019B1-382A-4266-B25C-5B523AA43C14-2" descr="C:/Users/Administrator/AppData/Local/Temp/wps.IGbrYk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ECB019B1-382A-4266-B25C-5B523AA43C14-2" descr="C:/Users/Administrator/AppData/Local/Temp/wps.IGbrYkwps"/>
                          <pic:cNvPicPr>
                            <a:picLocks noChangeAspect="true"/>
                          </pic:cNvPicPr>
                        </pic:nvPicPr>
                        <pic:blipFill>
                          <a:blip r:embed="rId18"/>
                          <a:stretch>
                            <a:fillRect/>
                          </a:stretch>
                        </pic:blipFill>
                        <pic:spPr>
                          <a:xfrm>
                            <a:off x="0" y="0"/>
                            <a:ext cx="3079750" cy="4269105"/>
                          </a:xfrm>
                          <a:prstGeom prst="rect">
                            <a:avLst/>
                          </a:prstGeom>
                        </pic:spPr>
                      </pic:pic>
                    </a:graphicData>
                  </a:graphic>
                </wp:inline>
              </w:drawing>
            </w:r>
          </w:p>
          <w:p>
            <w:pPr>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single" w:color="auto"/>
              </w:rPr>
              <w:t>图2-</w:t>
            </w:r>
            <w:r>
              <w:rPr>
                <w:rFonts w:hint="default" w:ascii="Times New Roman" w:hAnsi="Times New Roman" w:eastAsia="宋体" w:cs="Times New Roman"/>
                <w:b/>
                <w:color w:val="auto"/>
                <w:sz w:val="21"/>
                <w:szCs w:val="21"/>
                <w:highlight w:val="none"/>
                <w:u w:val="single" w:color="auto"/>
                <w:lang w:val="en-US" w:eastAsia="zh-CN"/>
              </w:rPr>
              <w:t>2</w:t>
            </w:r>
            <w:r>
              <w:rPr>
                <w:rFonts w:hint="default" w:ascii="Times New Roman" w:hAnsi="Times New Roman" w:eastAsia="宋体" w:cs="Times New Roman"/>
                <w:b/>
                <w:color w:val="auto"/>
                <w:sz w:val="21"/>
                <w:szCs w:val="21"/>
                <w:highlight w:val="none"/>
                <w:u w:val="single" w:color="auto"/>
              </w:rPr>
              <w:t xml:space="preserve"> 生产工艺流程及产污节点图</w:t>
            </w:r>
          </w:p>
          <w:p>
            <w:pPr>
              <w:spacing w:line="360" w:lineRule="auto"/>
              <w:ind w:firstLine="480" w:firstLineChars="200"/>
              <w:rPr>
                <w:rFonts w:hint="default" w:ascii="Times New Roman" w:hAnsi="Times New Roman" w:eastAsia="宋体" w:cs="Times New Roman"/>
                <w:color w:val="auto"/>
                <w:highlight w:val="none"/>
                <w:u w:val="single" w:color="auto"/>
                <w:lang w:bidi="ar"/>
              </w:rPr>
            </w:pPr>
            <w:r>
              <w:rPr>
                <w:rFonts w:hint="default" w:ascii="Times New Roman" w:hAnsi="Times New Roman" w:eastAsia="宋体" w:cs="Times New Roman"/>
                <w:color w:val="auto"/>
                <w:highlight w:val="none"/>
                <w:u w:val="single" w:color="auto"/>
                <w:lang w:bidi="ar"/>
              </w:rPr>
              <w:t>工艺流程简述：</w:t>
            </w:r>
          </w:p>
          <w:p>
            <w:pPr>
              <w:spacing w:line="360" w:lineRule="auto"/>
              <w:ind w:firstLine="480" w:firstLineChars="200"/>
              <w:rPr>
                <w:rFonts w:hint="default" w:ascii="Times New Roman" w:hAnsi="Times New Roman" w:eastAsia="宋体" w:cs="Times New Roman"/>
                <w:color w:val="auto"/>
                <w:highlight w:val="none"/>
                <w:u w:val="single" w:color="auto"/>
                <w:lang w:val="en-US" w:eastAsia="zh-CN" w:bidi="ar"/>
              </w:rPr>
            </w:pP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1</w:t>
            </w: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分拣：将废塑料、废开关插座包装拆除，进行分拣，将杂质分选出来。</w:t>
            </w:r>
          </w:p>
          <w:p>
            <w:pPr>
              <w:spacing w:line="360" w:lineRule="auto"/>
              <w:ind w:firstLine="480" w:firstLineChars="200"/>
              <w:rPr>
                <w:rFonts w:hint="default" w:cs="Times New Roman"/>
                <w:color w:val="auto"/>
                <w:highlight w:val="none"/>
                <w:u w:val="single" w:color="auto"/>
                <w:lang w:val="en-US" w:eastAsia="zh-CN" w:bidi="ar"/>
              </w:rPr>
            </w:pPr>
            <w:r>
              <w:rPr>
                <w:rFonts w:hint="eastAsia" w:cs="Times New Roman"/>
                <w:color w:val="auto"/>
                <w:highlight w:val="none"/>
                <w:u w:val="single" w:color="auto"/>
                <w:lang w:val="en-US" w:eastAsia="zh-CN" w:bidi="ar"/>
              </w:rPr>
              <w:t>（2）湿法破碎：分拣完的原料送入破碎机进行破碎，破碎采取湿法破碎。</w:t>
            </w:r>
          </w:p>
          <w:p>
            <w:pPr>
              <w:spacing w:line="360" w:lineRule="auto"/>
              <w:ind w:firstLine="480" w:firstLineChars="200"/>
              <w:rPr>
                <w:rFonts w:hint="default" w:cs="Times New Roman"/>
                <w:color w:val="auto"/>
                <w:highlight w:val="none"/>
                <w:u w:val="single" w:color="auto"/>
                <w:lang w:val="en-US" w:eastAsia="zh-CN" w:bidi="ar"/>
              </w:rPr>
            </w:pPr>
            <w:r>
              <w:rPr>
                <w:rFonts w:hint="eastAsia" w:cs="Times New Roman"/>
                <w:color w:val="auto"/>
                <w:highlight w:val="none"/>
                <w:u w:val="single" w:color="auto"/>
                <w:lang w:val="en-US" w:eastAsia="zh-CN" w:bidi="ar"/>
              </w:rPr>
              <w:t>（3）分选：破碎后的物料进行通过全金属分选机进行分选，将塑料和金属分开。</w:t>
            </w:r>
          </w:p>
          <w:p>
            <w:pPr>
              <w:spacing w:line="360" w:lineRule="auto"/>
              <w:ind w:firstLine="480" w:firstLineChars="200"/>
              <w:rPr>
                <w:rFonts w:hint="default" w:cs="Times New Roman"/>
                <w:color w:val="auto"/>
                <w:highlight w:val="none"/>
                <w:u w:val="single" w:color="auto"/>
                <w:lang w:val="en-US" w:eastAsia="zh-CN" w:bidi="ar"/>
              </w:rPr>
            </w:pPr>
            <w:r>
              <w:rPr>
                <w:rFonts w:hint="eastAsia" w:cs="Times New Roman"/>
                <w:color w:val="auto"/>
                <w:highlight w:val="none"/>
                <w:u w:val="single" w:color="auto"/>
                <w:lang w:val="en-US" w:eastAsia="zh-CN" w:bidi="ar"/>
              </w:rPr>
              <w:t>（4）金属分选：分离出的金属直接进行分选，废铜、废铁、废铝分类收集后包装外售。</w:t>
            </w:r>
          </w:p>
          <w:p>
            <w:pPr>
              <w:spacing w:line="360" w:lineRule="auto"/>
              <w:ind w:firstLine="480" w:firstLineChars="200"/>
              <w:rPr>
                <w:rFonts w:hint="default" w:cs="Times New Roman"/>
                <w:color w:val="auto"/>
                <w:highlight w:val="none"/>
                <w:u w:val="single" w:color="auto"/>
                <w:lang w:val="en-US" w:eastAsia="zh-CN" w:bidi="ar"/>
              </w:rPr>
            </w:pPr>
            <w:r>
              <w:rPr>
                <w:rFonts w:hint="eastAsia" w:cs="Times New Roman"/>
                <w:color w:val="auto"/>
                <w:highlight w:val="none"/>
                <w:u w:val="single" w:color="auto"/>
                <w:lang w:val="en-US" w:eastAsia="zh-CN" w:bidi="ar"/>
              </w:rPr>
              <w:t>（5）湿法破碎、摩擦脱水：分选出的塑料送入清洗线的破碎机进行破碎，破碎采取湿法破碎，物料经摩擦脱水后进入下一工序，废水进入沉淀池。</w:t>
            </w:r>
          </w:p>
          <w:p>
            <w:pPr>
              <w:spacing w:line="360" w:lineRule="auto"/>
              <w:ind w:firstLine="480" w:firstLineChars="200"/>
              <w:rPr>
                <w:rFonts w:hint="default" w:ascii="Times New Roman" w:hAnsi="Times New Roman" w:eastAsia="宋体" w:cs="Times New Roman"/>
                <w:color w:val="auto"/>
                <w:highlight w:val="none"/>
                <w:u w:val="single" w:color="auto"/>
                <w:lang w:val="en-US" w:eastAsia="zh-CN" w:bidi="ar"/>
              </w:rPr>
            </w:pP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6</w:t>
            </w: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清洗、脱水：本项目清洗采用清水清洗，不使用清洗剂。清洗后的原料进行分选。废水进入沉淀池。</w:t>
            </w:r>
          </w:p>
          <w:p>
            <w:pPr>
              <w:spacing w:line="360" w:lineRule="auto"/>
              <w:ind w:firstLine="480" w:firstLineChars="200"/>
              <w:rPr>
                <w:rFonts w:hint="default" w:cs="Times New Roman"/>
                <w:color w:val="auto"/>
                <w:highlight w:val="none"/>
                <w:u w:val="single" w:color="auto"/>
                <w:lang w:val="en-US" w:eastAsia="zh-CN" w:bidi="ar"/>
              </w:rPr>
            </w:pP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7</w:t>
            </w:r>
            <w:r>
              <w:rPr>
                <w:rFonts w:hint="eastAsia" w:cs="Times New Roman"/>
                <w:color w:val="auto"/>
                <w:highlight w:val="none"/>
                <w:u w:val="single" w:color="auto"/>
                <w:lang w:eastAsia="zh-CN" w:bidi="ar"/>
              </w:rPr>
              <w:t>）</w:t>
            </w:r>
            <w:r>
              <w:rPr>
                <w:rFonts w:hint="eastAsia" w:cs="Times New Roman"/>
                <w:color w:val="auto"/>
                <w:highlight w:val="none"/>
                <w:u w:val="single" w:color="auto"/>
                <w:lang w:val="en-US" w:eastAsia="zh-CN" w:bidi="ar"/>
              </w:rPr>
              <w:t>塑料分选：经清洗后的原料进入塑料分选区进行分选，利用色选等分选完成废塑料（包括PP、PE、ABS等，具体见表2-4，分类打包，分别外售）的分类，产品收集后包装外售。</w:t>
            </w:r>
          </w:p>
          <w:p>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营运期污染工序及处理情况如下表2-</w:t>
            </w:r>
            <w:r>
              <w:rPr>
                <w:rFonts w:hint="eastAsia" w:cs="Times New Roman"/>
                <w:color w:val="auto"/>
                <w:sz w:val="24"/>
                <w:highlight w:val="none"/>
                <w:u w:val="none" w:color="auto"/>
                <w:lang w:val="en-US" w:eastAsia="zh-CN"/>
              </w:rPr>
              <w:t>7</w:t>
            </w:r>
            <w:r>
              <w:rPr>
                <w:rFonts w:hint="default" w:ascii="Times New Roman" w:hAnsi="Times New Roman" w:eastAsia="宋体" w:cs="Times New Roman"/>
                <w:color w:val="auto"/>
                <w:sz w:val="24"/>
                <w:highlight w:val="none"/>
                <w:u w:val="none" w:color="auto"/>
              </w:rPr>
              <w:t>所示：</w:t>
            </w:r>
          </w:p>
          <w:p>
            <w:pPr>
              <w:pStyle w:val="114"/>
              <w:tabs>
                <w:tab w:val="left" w:pos="1204"/>
              </w:tabs>
              <w:spacing w:before="24" w:after="24"/>
              <w:ind w:left="450"/>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表</w:t>
            </w:r>
            <w:r>
              <w:rPr>
                <w:rFonts w:hint="default" w:ascii="Times New Roman" w:hAnsi="Times New Roman" w:eastAsia="宋体" w:cs="Times New Roman"/>
                <w:b/>
                <w:color w:val="auto"/>
                <w:spacing w:val="-52"/>
                <w:sz w:val="21"/>
                <w:szCs w:val="21"/>
                <w:highlight w:val="none"/>
                <w:u w:val="single" w:color="auto"/>
              </w:rPr>
              <w:t xml:space="preserve"> </w:t>
            </w:r>
            <w:r>
              <w:rPr>
                <w:rFonts w:hint="default" w:ascii="Times New Roman" w:hAnsi="Times New Roman" w:eastAsia="宋体" w:cs="Times New Roman"/>
                <w:b/>
                <w:color w:val="auto"/>
                <w:sz w:val="21"/>
                <w:szCs w:val="21"/>
                <w:highlight w:val="none"/>
                <w:u w:val="single" w:color="auto"/>
              </w:rPr>
              <w:t>2-</w:t>
            </w:r>
            <w:r>
              <w:rPr>
                <w:rFonts w:hint="eastAsia" w:ascii="Times New Roman" w:hAnsi="Times New Roman" w:eastAsia="宋体" w:cs="Times New Roman"/>
                <w:b/>
                <w:color w:val="auto"/>
                <w:sz w:val="21"/>
                <w:szCs w:val="21"/>
                <w:highlight w:val="none"/>
                <w:u w:val="single" w:color="auto"/>
                <w:lang w:val="en-US" w:eastAsia="zh-CN"/>
              </w:rPr>
              <w:t>7</w:t>
            </w:r>
            <w:r>
              <w:rPr>
                <w:rFonts w:hint="default" w:ascii="Times New Roman" w:hAnsi="Times New Roman" w:eastAsia="宋体" w:cs="Times New Roman"/>
                <w:b/>
                <w:color w:val="auto"/>
                <w:sz w:val="21"/>
                <w:szCs w:val="21"/>
                <w:highlight w:val="none"/>
                <w:u w:val="single" w:color="auto"/>
              </w:rPr>
              <w:tab/>
            </w:r>
            <w:r>
              <w:rPr>
                <w:rFonts w:hint="default" w:ascii="Times New Roman" w:hAnsi="Times New Roman" w:eastAsia="宋体" w:cs="Times New Roman"/>
                <w:b/>
                <w:color w:val="auto"/>
                <w:sz w:val="21"/>
                <w:szCs w:val="21"/>
                <w:highlight w:val="none"/>
                <w:u w:val="single" w:color="auto"/>
              </w:rPr>
              <w:t>项目主要产污工序及污染物对照表</w:t>
            </w:r>
          </w:p>
          <w:tbl>
            <w:tblPr>
              <w:tblStyle w:val="42"/>
              <w:tblW w:w="0" w:type="auto"/>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1416"/>
              <w:gridCol w:w="1469"/>
              <w:gridCol w:w="1469"/>
              <w:gridCol w:w="33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污染类别</w:t>
                  </w: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污染源</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主要污染因子</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环保措施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废气</w:t>
                  </w: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破碎</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颗粒物</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湿法破碎、洒水降尘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w:t>
                  </w: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生活污水</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eastAsia" w:cs="Times New Roman"/>
                      <w:color w:val="auto"/>
                      <w:sz w:val="21"/>
                      <w:szCs w:val="21"/>
                      <w:highlight w:val="none"/>
                      <w:u w:val="single" w:color="auto"/>
                      <w:lang w:val="en-US" w:eastAsia="zh-CN"/>
                    </w:rPr>
                    <w:t>pH、</w:t>
                  </w:r>
                  <w:r>
                    <w:rPr>
                      <w:rFonts w:hint="default" w:ascii="Times New Roman" w:hAnsi="Times New Roman" w:eastAsia="宋体" w:cs="Times New Roman"/>
                      <w:color w:val="auto"/>
                      <w:sz w:val="21"/>
                      <w:szCs w:val="21"/>
                      <w:highlight w:val="none"/>
                      <w:u w:val="single" w:color="auto"/>
                    </w:rPr>
                    <w:t>COD、BOD</w:t>
                  </w:r>
                  <w:r>
                    <w:rPr>
                      <w:rFonts w:hint="default" w:ascii="Times New Roman" w:hAnsi="Times New Roman" w:eastAsia="宋体" w:cs="Times New Roman"/>
                      <w:color w:val="auto"/>
                      <w:sz w:val="21"/>
                      <w:szCs w:val="21"/>
                      <w:highlight w:val="none"/>
                      <w:u w:val="single" w:color="auto"/>
                      <w:vertAlign w:val="subscript"/>
                    </w:rPr>
                    <w:t>5</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SS、</w:t>
                  </w:r>
                  <w:r>
                    <w:rPr>
                      <w:rFonts w:hint="default" w:ascii="Times New Roman" w:hAnsi="Times New Roman" w:eastAsia="宋体" w:cs="Times New Roman"/>
                      <w:color w:val="auto"/>
                      <w:sz w:val="21"/>
                      <w:szCs w:val="21"/>
                      <w:highlight w:val="none"/>
                      <w:u w:val="single" w:color="auto"/>
                    </w:rPr>
                    <w:t>氨氮</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经化粪池处理达标后排入湖南汨罗高新技术产业开发区（循环园区）污水处理厂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破碎</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pH、COD</w:t>
                  </w:r>
                  <w:r>
                    <w:rPr>
                      <w:rFonts w:hint="default" w:ascii="Times New Roman" w:hAnsi="Times New Roman" w:eastAsia="宋体" w:cs="Times New Roman"/>
                      <w:color w:val="auto"/>
                      <w:sz w:val="21"/>
                      <w:szCs w:val="21"/>
                      <w:highlight w:val="none"/>
                      <w:u w:val="single" w:color="auto"/>
                      <w:vertAlign w:val="subscript"/>
                      <w:lang w:val="en-US" w:eastAsia="zh-CN"/>
                    </w:rPr>
                    <w:t>Cr</w:t>
                  </w:r>
                  <w:r>
                    <w:rPr>
                      <w:rFonts w:hint="default" w:ascii="Times New Roman" w:hAnsi="Times New Roman" w:eastAsia="宋体" w:cs="Times New Roman"/>
                      <w:color w:val="auto"/>
                      <w:sz w:val="21"/>
                      <w:szCs w:val="21"/>
                      <w:highlight w:val="none"/>
                      <w:u w:val="single" w:color="auto"/>
                      <w:lang w:val="en-US" w:eastAsia="zh-CN"/>
                    </w:rPr>
                    <w:t>、BOD</w:t>
                  </w:r>
                  <w:r>
                    <w:rPr>
                      <w:rFonts w:hint="default" w:ascii="Times New Roman" w:hAnsi="Times New Roman" w:eastAsia="宋体" w:cs="Times New Roman"/>
                      <w:color w:val="auto"/>
                      <w:sz w:val="21"/>
                      <w:szCs w:val="21"/>
                      <w:highlight w:val="none"/>
                      <w:u w:val="single" w:color="auto"/>
                      <w:vertAlign w:val="subscript"/>
                      <w:lang w:val="en-US" w:eastAsia="zh-CN"/>
                    </w:rPr>
                    <w:t>5</w:t>
                  </w:r>
                  <w:r>
                    <w:rPr>
                      <w:rFonts w:hint="default" w:ascii="Times New Roman" w:hAnsi="Times New Roman" w:eastAsia="宋体" w:cs="Times New Roman"/>
                      <w:color w:val="auto"/>
                      <w:sz w:val="21"/>
                      <w:szCs w:val="21"/>
                      <w:highlight w:val="none"/>
                      <w:u w:val="single" w:color="auto"/>
                      <w:lang w:val="en-US" w:eastAsia="zh-CN"/>
                    </w:rPr>
                    <w:t>、NH</w:t>
                  </w:r>
                  <w:r>
                    <w:rPr>
                      <w:rFonts w:hint="default" w:ascii="Times New Roman" w:hAnsi="Times New Roman" w:eastAsia="宋体" w:cs="Times New Roman"/>
                      <w:color w:val="auto"/>
                      <w:sz w:val="21"/>
                      <w:szCs w:val="21"/>
                      <w:highlight w:val="none"/>
                      <w:u w:val="single" w:color="auto"/>
                      <w:vertAlign w:val="subscript"/>
                      <w:lang w:val="en-US" w:eastAsia="zh-CN"/>
                    </w:rPr>
                    <w:t>3</w:t>
                  </w:r>
                  <w:r>
                    <w:rPr>
                      <w:rFonts w:hint="default" w:ascii="Times New Roman" w:hAnsi="Times New Roman" w:eastAsia="宋体" w:cs="Times New Roman"/>
                      <w:color w:val="auto"/>
                      <w:sz w:val="21"/>
                      <w:szCs w:val="21"/>
                      <w:highlight w:val="none"/>
                      <w:u w:val="single" w:color="auto"/>
                      <w:lang w:val="en-US" w:eastAsia="zh-CN"/>
                    </w:rPr>
                    <w:t>-N、SS、石油类、总磷、总氮</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破碎废水由物料带入后续清洗设备内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single" w:color="auto"/>
                    </w:rPr>
                  </w:pP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原料清洗废水、车间清洁废水等生产废水</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pH、COD</w:t>
                  </w:r>
                  <w:r>
                    <w:rPr>
                      <w:rFonts w:hint="default" w:ascii="Times New Roman" w:hAnsi="Times New Roman" w:eastAsia="宋体" w:cs="Times New Roman"/>
                      <w:color w:val="auto"/>
                      <w:sz w:val="21"/>
                      <w:szCs w:val="21"/>
                      <w:highlight w:val="none"/>
                      <w:u w:val="single" w:color="auto"/>
                      <w:vertAlign w:val="subscript"/>
                      <w:lang w:val="en-US" w:eastAsia="zh-CN"/>
                    </w:rPr>
                    <w:t>Cr</w:t>
                  </w:r>
                  <w:r>
                    <w:rPr>
                      <w:rFonts w:hint="default" w:ascii="Times New Roman" w:hAnsi="Times New Roman" w:eastAsia="宋体" w:cs="Times New Roman"/>
                      <w:color w:val="auto"/>
                      <w:sz w:val="21"/>
                      <w:szCs w:val="21"/>
                      <w:highlight w:val="none"/>
                      <w:u w:val="single" w:color="auto"/>
                      <w:lang w:val="en-US" w:eastAsia="zh-CN"/>
                    </w:rPr>
                    <w:t>、BOD</w:t>
                  </w:r>
                  <w:r>
                    <w:rPr>
                      <w:rFonts w:hint="default" w:ascii="Times New Roman" w:hAnsi="Times New Roman" w:eastAsia="宋体" w:cs="Times New Roman"/>
                      <w:color w:val="auto"/>
                      <w:sz w:val="21"/>
                      <w:szCs w:val="21"/>
                      <w:highlight w:val="none"/>
                      <w:u w:val="single" w:color="auto"/>
                      <w:vertAlign w:val="subscript"/>
                      <w:lang w:val="en-US" w:eastAsia="zh-CN"/>
                    </w:rPr>
                    <w:t>5</w:t>
                  </w:r>
                  <w:r>
                    <w:rPr>
                      <w:rFonts w:hint="default" w:ascii="Times New Roman" w:hAnsi="Times New Roman" w:eastAsia="宋体" w:cs="Times New Roman"/>
                      <w:color w:val="auto"/>
                      <w:sz w:val="21"/>
                      <w:szCs w:val="21"/>
                      <w:highlight w:val="none"/>
                      <w:u w:val="single" w:color="auto"/>
                      <w:lang w:val="en-US" w:eastAsia="zh-CN"/>
                    </w:rPr>
                    <w:t>、NH</w:t>
                  </w:r>
                  <w:r>
                    <w:rPr>
                      <w:rFonts w:hint="default" w:ascii="Times New Roman" w:hAnsi="Times New Roman" w:eastAsia="宋体" w:cs="Times New Roman"/>
                      <w:color w:val="auto"/>
                      <w:sz w:val="21"/>
                      <w:szCs w:val="21"/>
                      <w:highlight w:val="none"/>
                      <w:u w:val="single" w:color="auto"/>
                      <w:vertAlign w:val="subscript"/>
                      <w:lang w:val="en-US" w:eastAsia="zh-CN"/>
                    </w:rPr>
                    <w:t>3</w:t>
                  </w:r>
                  <w:r>
                    <w:rPr>
                      <w:rFonts w:hint="default" w:ascii="Times New Roman" w:hAnsi="Times New Roman" w:eastAsia="宋体" w:cs="Times New Roman"/>
                      <w:color w:val="auto"/>
                      <w:sz w:val="21"/>
                      <w:szCs w:val="21"/>
                      <w:highlight w:val="none"/>
                      <w:u w:val="single" w:color="auto"/>
                      <w:lang w:val="en-US" w:eastAsia="zh-CN"/>
                    </w:rPr>
                    <w:t>-N、SS、石油类、总磷、总氮</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kern w:val="0"/>
                      <w:sz w:val="21"/>
                      <w:szCs w:val="21"/>
                      <w:highlight w:val="none"/>
                      <w:u w:val="single" w:color="auto"/>
                      <w:lang w:val="en-US" w:eastAsia="zh-CN"/>
                    </w:rPr>
                    <w:t>经三级沉淀池沉淀后有限回用，外排部分依托湖南中塑新材料科技有限公司污水处理设施处理达标后，最终排入汨罗高新区再生材料产业园污水处理厂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噪声</w:t>
                  </w: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设备噪声</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Leq（A）</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选用低噪声设备，采取消声、减震、隔声等措施，合理布局。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固废</w:t>
                  </w:r>
                </w:p>
              </w:tc>
              <w:tc>
                <w:tcPr>
                  <w:tcW w:w="14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员工生活</w:t>
                  </w: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生活垃圾</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收集后交由环卫部门统一清运处置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single" w:color="auto"/>
                    </w:rPr>
                  </w:pPr>
                </w:p>
              </w:tc>
              <w:tc>
                <w:tcPr>
                  <w:tcW w:w="141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生产</w:t>
                  </w:r>
                </w:p>
              </w:tc>
              <w:tc>
                <w:tcPr>
                  <w:tcW w:w="14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分选杂质</w:t>
                  </w:r>
                </w:p>
              </w:tc>
              <w:tc>
                <w:tcPr>
                  <w:tcW w:w="14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橡胶等</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收集后外售物资回收公司综合利用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6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single" w:color="auto"/>
                    </w:rPr>
                  </w:pPr>
                </w:p>
              </w:tc>
              <w:tc>
                <w:tcPr>
                  <w:tcW w:w="14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沉淀池</w:t>
                  </w:r>
                  <w:r>
                    <w:rPr>
                      <w:rFonts w:hint="default" w:ascii="Times New Roman" w:hAnsi="Times New Roman" w:eastAsia="宋体" w:cs="Times New Roman"/>
                      <w:color w:val="auto"/>
                      <w:sz w:val="21"/>
                      <w:szCs w:val="21"/>
                      <w:highlight w:val="none"/>
                      <w:u w:val="single" w:color="auto"/>
                      <w:lang w:val="en-US" w:eastAsia="zh-CN"/>
                    </w:rPr>
                    <w:t>沉渣</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收集后交由环卫部门统一清运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single" w:color="auto"/>
                    </w:rPr>
                  </w:pPr>
                </w:p>
              </w:tc>
              <w:tc>
                <w:tcPr>
                  <w:tcW w:w="141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rPr>
                  </w:pPr>
                </w:p>
              </w:tc>
              <w:tc>
                <w:tcPr>
                  <w:tcW w:w="293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废矿物油</w:t>
                  </w:r>
                </w:p>
              </w:tc>
              <w:tc>
                <w:tcPr>
                  <w:tcW w:w="33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收集后暂存于危险废物暂存间，交由有资质的单位处置</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hint="default" w:ascii="Times New Roman" w:hAnsi="Times New Roman" w:eastAsia="宋体" w:cs="Times New Roman"/>
                <w:b/>
                <w:bCs/>
                <w:color w:val="auto"/>
                <w:kern w:val="0"/>
                <w:sz w:val="24"/>
                <w:highlight w:val="none"/>
                <w:u w:val="none" w:color="auto"/>
              </w:rPr>
            </w:pPr>
            <w:r>
              <w:rPr>
                <w:rFonts w:hint="default" w:ascii="Times New Roman" w:hAnsi="Times New Roman" w:eastAsia="宋体" w:cs="Times New Roman"/>
                <w:b/>
                <w:bCs/>
                <w:color w:val="auto"/>
                <w:kern w:val="0"/>
                <w:sz w:val="24"/>
                <w:highlight w:val="none"/>
                <w:u w:val="none" w:color="auto"/>
              </w:rPr>
              <w:t>营运期物料平衡</w:t>
            </w:r>
          </w:p>
          <w:p>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rPr>
              <w:t>本项目物料平衡表见下表</w:t>
            </w:r>
            <w:r>
              <w:rPr>
                <w:rFonts w:hint="default" w:ascii="Times New Roman" w:hAnsi="Times New Roman" w:eastAsia="宋体" w:cs="Times New Roman"/>
                <w:color w:val="auto"/>
                <w:sz w:val="24"/>
                <w:highlight w:val="none"/>
                <w:u w:val="none" w:color="auto"/>
                <w:lang w:eastAsia="zh-CN"/>
              </w:rPr>
              <w:t>。</w:t>
            </w:r>
          </w:p>
          <w:p>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w:t>
            </w:r>
            <w:r>
              <w:rPr>
                <w:rFonts w:hint="eastAsia" w:cs="Times New Roman"/>
                <w:b/>
                <w:color w:val="auto"/>
                <w:sz w:val="21"/>
                <w:szCs w:val="21"/>
                <w:highlight w:val="none"/>
                <w:u w:val="none" w:color="auto"/>
                <w:lang w:val="en-US" w:eastAsia="zh-CN"/>
              </w:rPr>
              <w:t>8</w:t>
            </w:r>
            <w:r>
              <w:rPr>
                <w:rFonts w:hint="default" w:ascii="Times New Roman" w:hAnsi="Times New Roman" w:eastAsia="宋体" w:cs="Times New Roman"/>
                <w:b/>
                <w:color w:val="auto"/>
                <w:sz w:val="21"/>
                <w:szCs w:val="21"/>
                <w:highlight w:val="none"/>
                <w:u w:val="none" w:color="auto"/>
              </w:rPr>
              <w:t xml:space="preserve"> 生产物料平衡表 </w:t>
            </w:r>
          </w:p>
          <w:tbl>
            <w:tblPr>
              <w:tblStyle w:val="4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837"/>
              <w:gridCol w:w="1176"/>
              <w:gridCol w:w="1277"/>
              <w:gridCol w:w="1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9" w:type="dxa"/>
                  <w:gridSpan w:val="2"/>
                  <w:tcBorders>
                    <w:left w:val="single" w:color="auto" w:sz="0" w:space="0"/>
                  </w:tcBorders>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入 料</w:t>
                  </w:r>
                </w:p>
              </w:tc>
              <w:tc>
                <w:tcPr>
                  <w:tcW w:w="4313" w:type="dxa"/>
                  <w:gridSpan w:val="3"/>
                  <w:tcBorders>
                    <w:right w:val="single" w:color="auto" w:sz="12" w:space="0"/>
                  </w:tcBorders>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出 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名称</w:t>
                  </w:r>
                </w:p>
              </w:tc>
              <w:tc>
                <w:tcPr>
                  <w:tcW w:w="1837" w:type="dxa"/>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年投入量（t/a）</w:t>
                  </w:r>
                </w:p>
              </w:tc>
              <w:tc>
                <w:tcPr>
                  <w:tcW w:w="2453" w:type="dxa"/>
                  <w:gridSpan w:val="2"/>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物料去向</w:t>
                  </w:r>
                </w:p>
              </w:tc>
              <w:tc>
                <w:tcPr>
                  <w:tcW w:w="1860" w:type="dxa"/>
                  <w:tcBorders>
                    <w:right w:val="single" w:color="auto" w:sz="12" w:space="0"/>
                  </w:tcBorders>
                  <w:noWrap/>
                  <w:vAlign w:val="center"/>
                </w:tcPr>
                <w:p>
                  <w:pPr>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年产出量（t/a）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废塑料、废开关插座</w:t>
                  </w:r>
                </w:p>
              </w:tc>
              <w:tc>
                <w:tcPr>
                  <w:tcW w:w="1837" w:type="dxa"/>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bidi="ar"/>
                    </w:rPr>
                  </w:pPr>
                  <w:r>
                    <w:rPr>
                      <w:rFonts w:hint="eastAsia" w:cs="Times New Roman"/>
                      <w:color w:val="auto"/>
                      <w:sz w:val="21"/>
                      <w:szCs w:val="21"/>
                      <w:highlight w:val="none"/>
                      <w:u w:val="single" w:color="auto"/>
                      <w:lang w:val="en-US" w:eastAsia="zh-CN" w:bidi="ar"/>
                    </w:rPr>
                    <w:t>72000</w:t>
                  </w:r>
                </w:p>
              </w:tc>
              <w:tc>
                <w:tcPr>
                  <w:tcW w:w="2453" w:type="dxa"/>
                  <w:gridSpan w:val="2"/>
                  <w:vAlign w:val="center"/>
                </w:tcPr>
                <w:p>
                  <w:pPr>
                    <w:jc w:val="center"/>
                    <w:textAlignment w:val="center"/>
                    <w:rPr>
                      <w:rFonts w:hint="eastAsia" w:ascii="Times New Roman" w:hAnsi="Times New Roman" w:eastAsia="宋体" w:cs="Times New Roman"/>
                      <w:color w:val="auto"/>
                      <w:sz w:val="21"/>
                      <w:szCs w:val="21"/>
                      <w:highlight w:val="none"/>
                      <w:u w:val="single" w:color="auto"/>
                      <w:lang w:eastAsia="zh-CN" w:bidi="ar"/>
                    </w:rPr>
                  </w:pPr>
                  <w:r>
                    <w:rPr>
                      <w:rFonts w:hint="eastAsia" w:cs="Times New Roman"/>
                      <w:color w:val="auto"/>
                      <w:sz w:val="21"/>
                      <w:szCs w:val="21"/>
                      <w:highlight w:val="none"/>
                      <w:u w:val="single" w:color="auto"/>
                      <w:lang w:val="en-US" w:eastAsia="zh-CN" w:bidi="ar"/>
                    </w:rPr>
                    <w:t>塑料片</w:t>
                  </w:r>
                </w:p>
              </w:tc>
              <w:tc>
                <w:tcPr>
                  <w:tcW w:w="1860" w:type="dxa"/>
                  <w:tcBorders>
                    <w:right w:val="single" w:color="auto" w:sz="12" w:space="0"/>
                  </w:tcBorders>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bidi="ar"/>
                    </w:rPr>
                  </w:pPr>
                  <w:r>
                    <w:rPr>
                      <w:rFonts w:hint="eastAsia" w:cs="Times New Roman"/>
                      <w:color w:val="auto"/>
                      <w:sz w:val="21"/>
                      <w:szCs w:val="21"/>
                      <w:highlight w:val="none"/>
                      <w:u w:val="single" w:color="auto"/>
                      <w:lang w:val="en-US" w:eastAsia="zh-CN" w:bidi="ar"/>
                    </w:rPr>
                    <w:t>42240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PAC、PAM</w:t>
                  </w:r>
                </w:p>
              </w:tc>
              <w:tc>
                <w:tcPr>
                  <w:tcW w:w="1837" w:type="dxa"/>
                  <w:vAlign w:val="center"/>
                </w:tcPr>
                <w:p>
                  <w:pPr>
                    <w:jc w:val="center"/>
                    <w:textAlignment w:val="center"/>
                    <w:rPr>
                      <w:rFonts w:hint="default"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6</w:t>
                  </w:r>
                </w:p>
              </w:tc>
              <w:tc>
                <w:tcPr>
                  <w:tcW w:w="2453" w:type="dxa"/>
                  <w:gridSpan w:val="2"/>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废铜</w:t>
                  </w:r>
                </w:p>
              </w:tc>
              <w:tc>
                <w:tcPr>
                  <w:tcW w:w="1860" w:type="dxa"/>
                  <w:tcBorders>
                    <w:right w:val="single" w:color="auto" w:sz="12" w:space="0"/>
                  </w:tcBorders>
                  <w:vAlign w:val="center"/>
                </w:tcPr>
                <w:p>
                  <w:pPr>
                    <w:pStyle w:val="114"/>
                    <w:kinsoku w:val="0"/>
                    <w:overflowPunct w:val="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eastAsia" w:cs="Times New Roman"/>
                      <w:color w:val="auto"/>
                      <w:sz w:val="21"/>
                      <w:szCs w:val="21"/>
                      <w:highlight w:val="none"/>
                      <w:u w:val="single" w:color="auto"/>
                      <w:lang w:val="en-US" w:eastAsia="zh-CN"/>
                    </w:rPr>
                  </w:pPr>
                </w:p>
              </w:tc>
              <w:tc>
                <w:tcPr>
                  <w:tcW w:w="1837" w:type="dxa"/>
                  <w:vAlign w:val="center"/>
                </w:tcPr>
                <w:p>
                  <w:pPr>
                    <w:jc w:val="center"/>
                    <w:textAlignment w:val="center"/>
                    <w:rPr>
                      <w:rFonts w:hint="eastAsia" w:cs="Times New Roman"/>
                      <w:color w:val="auto"/>
                      <w:sz w:val="21"/>
                      <w:szCs w:val="21"/>
                      <w:highlight w:val="none"/>
                      <w:u w:val="single" w:color="auto"/>
                      <w:lang w:val="en-US" w:eastAsia="zh-CN" w:bidi="ar"/>
                    </w:rPr>
                  </w:pPr>
                </w:p>
              </w:tc>
              <w:tc>
                <w:tcPr>
                  <w:tcW w:w="2453" w:type="dxa"/>
                  <w:gridSpan w:val="2"/>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废铁</w:t>
                  </w:r>
                </w:p>
              </w:tc>
              <w:tc>
                <w:tcPr>
                  <w:tcW w:w="1860" w:type="dxa"/>
                  <w:tcBorders>
                    <w:right w:val="single" w:color="auto" w:sz="12" w:space="0"/>
                  </w:tcBorders>
                  <w:vAlign w:val="center"/>
                </w:tcPr>
                <w:p>
                  <w:pPr>
                    <w:pStyle w:val="114"/>
                    <w:kinsoku w:val="0"/>
                    <w:overflowPunct w:val="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10800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eastAsia" w:cs="Times New Roman"/>
                      <w:color w:val="auto"/>
                      <w:sz w:val="21"/>
                      <w:szCs w:val="21"/>
                      <w:highlight w:val="none"/>
                      <w:u w:val="single" w:color="auto"/>
                      <w:lang w:val="en-US" w:eastAsia="zh-CN"/>
                    </w:rPr>
                  </w:pPr>
                </w:p>
              </w:tc>
              <w:tc>
                <w:tcPr>
                  <w:tcW w:w="1837" w:type="dxa"/>
                  <w:vAlign w:val="center"/>
                </w:tcPr>
                <w:p>
                  <w:pPr>
                    <w:jc w:val="center"/>
                    <w:textAlignment w:val="center"/>
                    <w:rPr>
                      <w:rFonts w:hint="eastAsia" w:cs="Times New Roman"/>
                      <w:color w:val="auto"/>
                      <w:sz w:val="21"/>
                      <w:szCs w:val="21"/>
                      <w:highlight w:val="none"/>
                      <w:u w:val="single" w:color="auto"/>
                      <w:lang w:val="en-US" w:eastAsia="zh-CN" w:bidi="ar"/>
                    </w:rPr>
                  </w:pPr>
                </w:p>
              </w:tc>
              <w:tc>
                <w:tcPr>
                  <w:tcW w:w="2453" w:type="dxa"/>
                  <w:gridSpan w:val="2"/>
                  <w:vAlign w:val="center"/>
                </w:tcPr>
                <w:p>
                  <w:pPr>
                    <w:pStyle w:val="114"/>
                    <w:kinsoku w:val="0"/>
                    <w:overflowPunct w:val="0"/>
                    <w:jc w:val="center"/>
                    <w:rPr>
                      <w:rFonts w:hint="eastAsia"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废铝</w:t>
                  </w:r>
                </w:p>
              </w:tc>
              <w:tc>
                <w:tcPr>
                  <w:tcW w:w="1860" w:type="dxa"/>
                  <w:tcBorders>
                    <w:right w:val="single" w:color="auto" w:sz="12" w:space="0"/>
                  </w:tcBorders>
                  <w:vAlign w:val="center"/>
                </w:tcPr>
                <w:p>
                  <w:pPr>
                    <w:pStyle w:val="114"/>
                    <w:kinsoku w:val="0"/>
                    <w:overflowPunct w:val="0"/>
                    <w:jc w:val="center"/>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eastAsia" w:cs="Times New Roman"/>
                      <w:color w:val="auto"/>
                      <w:sz w:val="21"/>
                      <w:szCs w:val="21"/>
                      <w:highlight w:val="none"/>
                      <w:u w:val="single" w:color="auto"/>
                      <w:lang w:val="en-US" w:eastAsia="zh-CN"/>
                    </w:rPr>
                  </w:pPr>
                </w:p>
              </w:tc>
              <w:tc>
                <w:tcPr>
                  <w:tcW w:w="1837" w:type="dxa"/>
                  <w:vAlign w:val="center"/>
                </w:tcPr>
                <w:p>
                  <w:pPr>
                    <w:jc w:val="center"/>
                    <w:textAlignment w:val="center"/>
                    <w:rPr>
                      <w:rFonts w:hint="eastAsia" w:cs="Times New Roman"/>
                      <w:color w:val="auto"/>
                      <w:sz w:val="21"/>
                      <w:szCs w:val="21"/>
                      <w:highlight w:val="none"/>
                      <w:u w:val="single" w:color="auto"/>
                      <w:lang w:val="en-US" w:eastAsia="zh-CN" w:bidi="ar"/>
                    </w:rPr>
                  </w:pPr>
                </w:p>
              </w:tc>
              <w:tc>
                <w:tcPr>
                  <w:tcW w:w="2453" w:type="dxa"/>
                  <w:gridSpan w:val="2"/>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粉尘</w:t>
                  </w:r>
                </w:p>
              </w:tc>
              <w:tc>
                <w:tcPr>
                  <w:tcW w:w="1860" w:type="dxa"/>
                  <w:tcBorders>
                    <w:right w:val="single" w:color="auto" w:sz="12" w:space="0"/>
                  </w:tcBorders>
                  <w:vAlign w:val="center"/>
                </w:tcPr>
                <w:p>
                  <w:pPr>
                    <w:pStyle w:val="114"/>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0.864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p>
              </w:tc>
              <w:tc>
                <w:tcPr>
                  <w:tcW w:w="1837" w:type="dxa"/>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p>
              </w:tc>
              <w:tc>
                <w:tcPr>
                  <w:tcW w:w="1176" w:type="dxa"/>
                  <w:vMerge w:val="restart"/>
                  <w:vAlign w:val="center"/>
                </w:tcPr>
                <w:p>
                  <w:pPr>
                    <w:jc w:val="center"/>
                    <w:textAlignment w:val="center"/>
                    <w:rPr>
                      <w:rFonts w:hint="default" w:ascii="Times New Roman" w:hAnsi="Times New Roman" w:eastAsia="宋体" w:cs="Times New Roman"/>
                      <w:color w:val="auto"/>
                      <w:sz w:val="21"/>
                      <w:szCs w:val="21"/>
                      <w:highlight w:val="none"/>
                      <w:u w:val="single" w:color="auto"/>
                      <w:lang w:bidi="ar"/>
                    </w:rPr>
                  </w:pPr>
                  <w:r>
                    <w:rPr>
                      <w:rFonts w:hint="default" w:ascii="Times New Roman" w:hAnsi="Times New Roman" w:eastAsia="宋体" w:cs="Times New Roman"/>
                      <w:color w:val="auto"/>
                      <w:sz w:val="21"/>
                      <w:szCs w:val="21"/>
                      <w:highlight w:val="none"/>
                      <w:u w:val="single" w:color="auto"/>
                      <w:lang w:bidi="ar"/>
                    </w:rPr>
                    <w:t>固废</w:t>
                  </w:r>
                </w:p>
              </w:tc>
              <w:tc>
                <w:tcPr>
                  <w:tcW w:w="1277" w:type="dxa"/>
                  <w:vAlign w:val="center"/>
                </w:tcPr>
                <w:p>
                  <w:pPr>
                    <w:jc w:val="center"/>
                    <w:textAlignment w:val="center"/>
                    <w:rPr>
                      <w:rFonts w:hint="default" w:ascii="Times New Roman" w:hAnsi="Times New Roman" w:eastAsia="宋体" w:cs="Times New Roman"/>
                      <w:color w:val="auto"/>
                      <w:sz w:val="21"/>
                      <w:szCs w:val="21"/>
                      <w:highlight w:val="none"/>
                      <w:u w:val="single" w:color="auto"/>
                      <w:lang w:bidi="ar"/>
                    </w:rPr>
                  </w:pPr>
                  <w:r>
                    <w:rPr>
                      <w:rFonts w:hint="default" w:ascii="Times New Roman" w:hAnsi="Times New Roman" w:eastAsia="宋体" w:cs="Times New Roman"/>
                      <w:color w:val="auto"/>
                      <w:sz w:val="21"/>
                      <w:szCs w:val="21"/>
                      <w:highlight w:val="none"/>
                      <w:u w:val="single" w:color="auto"/>
                      <w:lang w:bidi="ar"/>
                    </w:rPr>
                    <w:t>分选杂质</w:t>
                  </w:r>
                </w:p>
              </w:tc>
              <w:tc>
                <w:tcPr>
                  <w:tcW w:w="1860" w:type="dxa"/>
                  <w:tcBorders>
                    <w:right w:val="single" w:color="auto" w:sz="12" w:space="0"/>
                  </w:tcBorders>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17984.306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p>
              </w:tc>
              <w:tc>
                <w:tcPr>
                  <w:tcW w:w="1837" w:type="dxa"/>
                  <w:vAlign w:val="center"/>
                </w:tcPr>
                <w:p>
                  <w:pPr>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
                    </w:rPr>
                  </w:pPr>
                </w:p>
              </w:tc>
              <w:tc>
                <w:tcPr>
                  <w:tcW w:w="1176" w:type="dxa"/>
                  <w:vMerge w:val="continue"/>
                  <w:vAlign w:val="center"/>
                </w:tcPr>
                <w:p>
                  <w:pPr>
                    <w:jc w:val="center"/>
                    <w:textAlignment w:val="center"/>
                    <w:rPr>
                      <w:rFonts w:hint="default" w:ascii="Times New Roman" w:hAnsi="Times New Roman" w:eastAsia="宋体" w:cs="Times New Roman"/>
                      <w:color w:val="auto"/>
                      <w:sz w:val="21"/>
                      <w:szCs w:val="21"/>
                      <w:highlight w:val="none"/>
                      <w:u w:val="single" w:color="auto"/>
                      <w:lang w:bidi="ar"/>
                    </w:rPr>
                  </w:pPr>
                </w:p>
              </w:tc>
              <w:tc>
                <w:tcPr>
                  <w:tcW w:w="1277" w:type="dxa"/>
                  <w:vAlign w:val="center"/>
                </w:tcPr>
                <w:p>
                  <w:pPr>
                    <w:jc w:val="center"/>
                    <w:textAlignment w:val="center"/>
                    <w:rPr>
                      <w:rFonts w:hint="eastAsia" w:ascii="Times New Roman" w:hAnsi="Times New Roman" w:eastAsia="宋体" w:cs="Times New Roman"/>
                      <w:color w:val="auto"/>
                      <w:kern w:val="2"/>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沉淀污泥</w:t>
                  </w:r>
                </w:p>
              </w:tc>
              <w:tc>
                <w:tcPr>
                  <w:tcW w:w="1860" w:type="dxa"/>
                  <w:tcBorders>
                    <w:right w:val="single" w:color="auto" w:sz="12" w:space="0"/>
                  </w:tcBorders>
                  <w:vAlign w:val="center"/>
                </w:tcPr>
                <w:p>
                  <w:pPr>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20.83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总投入</w:t>
                  </w:r>
                </w:p>
              </w:tc>
              <w:tc>
                <w:tcPr>
                  <w:tcW w:w="1837" w:type="dxa"/>
                  <w:noWrap/>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72006</w:t>
                  </w:r>
                </w:p>
              </w:tc>
              <w:tc>
                <w:tcPr>
                  <w:tcW w:w="2453" w:type="dxa"/>
                  <w:gridSpan w:val="2"/>
                  <w:noWrap/>
                  <w:vAlign w:val="center"/>
                </w:tcPr>
                <w:p>
                  <w:pPr>
                    <w:jc w:val="center"/>
                    <w:textAlignment w:val="center"/>
                    <w:rPr>
                      <w:rFonts w:hint="default" w:ascii="Times New Roman" w:hAnsi="Times New Roman" w:eastAsia="宋体" w:cs="Times New Roman"/>
                      <w:color w:val="auto"/>
                      <w:sz w:val="21"/>
                      <w:szCs w:val="21"/>
                      <w:highlight w:val="none"/>
                      <w:u w:val="single" w:color="auto"/>
                      <w:lang w:bidi="ar"/>
                    </w:rPr>
                  </w:pPr>
                  <w:r>
                    <w:rPr>
                      <w:rFonts w:hint="default" w:ascii="Times New Roman" w:hAnsi="Times New Roman" w:eastAsia="宋体" w:cs="Times New Roman"/>
                      <w:color w:val="auto"/>
                      <w:sz w:val="21"/>
                      <w:szCs w:val="21"/>
                      <w:highlight w:val="none"/>
                      <w:u w:val="single" w:color="auto"/>
                      <w:lang w:bidi="ar"/>
                    </w:rPr>
                    <w:t>总产出</w:t>
                  </w:r>
                </w:p>
              </w:tc>
              <w:tc>
                <w:tcPr>
                  <w:tcW w:w="1860" w:type="dxa"/>
                  <w:tcBorders>
                    <w:right w:val="single" w:color="auto" w:sz="12" w:space="0"/>
                  </w:tcBorders>
                  <w:noWrap/>
                  <w:vAlign w:val="center"/>
                </w:tcPr>
                <w:p>
                  <w:pPr>
                    <w:jc w:val="center"/>
                    <w:textAlignment w:val="center"/>
                    <w:rPr>
                      <w:rFonts w:hint="default" w:ascii="Times New Roman" w:hAnsi="Times New Roman" w:eastAsia="宋体" w:cs="Times New Roman"/>
                      <w:color w:val="auto"/>
                      <w:sz w:val="21"/>
                      <w:szCs w:val="21"/>
                      <w:highlight w:val="none"/>
                      <w:u w:val="single" w:color="auto"/>
                      <w:lang w:val="en-US" w:eastAsia="zh-CN" w:bidi="ar"/>
                    </w:rPr>
                  </w:pPr>
                  <w:r>
                    <w:rPr>
                      <w:rFonts w:hint="eastAsia" w:cs="Times New Roman"/>
                      <w:color w:val="auto"/>
                      <w:sz w:val="21"/>
                      <w:szCs w:val="21"/>
                      <w:highlight w:val="none"/>
                      <w:u w:val="single" w:color="auto"/>
                      <w:lang w:val="en-US" w:eastAsia="zh-CN" w:bidi="ar"/>
                    </w:rPr>
                    <w:t>72006</w:t>
                  </w:r>
                </w:p>
              </w:tc>
            </w:tr>
          </w:tbl>
          <w:p>
            <w:pPr>
              <w:spacing w:line="500" w:lineRule="exact"/>
              <w:rPr>
                <w:rFonts w:hint="default" w:ascii="Times New Roman" w:hAnsi="Times New Roman" w:eastAsia="宋体" w:cs="Times New Roman"/>
                <w:b/>
                <w:color w:val="auto"/>
                <w:highlight w:val="none"/>
                <w:u w:val="none" w:color="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51" w:type="pct"/>
            <w:vAlign w:val="center"/>
          </w:tcPr>
          <w:p>
            <w:pPr>
              <w:pStyle w:val="39"/>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bCs/>
                <w:color w:val="auto"/>
                <w:kern w:val="2"/>
                <w:szCs w:val="24"/>
                <w:highlight w:val="none"/>
                <w:u w:val="none" w:color="auto"/>
              </w:rPr>
              <w:t>与项目有关的原有环境污染问题</w:t>
            </w:r>
          </w:p>
        </w:tc>
        <w:tc>
          <w:tcPr>
            <w:tcW w:w="4748" w:type="pct"/>
          </w:tcPr>
          <w:p>
            <w:pPr>
              <w:adjustRightInd w:val="0"/>
              <w:snapToGrid w:val="0"/>
              <w:spacing w:line="360" w:lineRule="auto"/>
              <w:ind w:firstLine="480" w:firstLineChars="200"/>
              <w:rPr>
                <w:rFonts w:hint="default" w:ascii="Times New Roman" w:hAnsi="Times New Roman" w:eastAsia="宋体" w:cs="Times New Roman"/>
                <w:color w:val="auto"/>
                <w:u w:val="none" w:color="auto"/>
              </w:rPr>
            </w:pPr>
          </w:p>
          <w:p>
            <w:pPr>
              <w:adjustRightInd w:val="0"/>
              <w:snapToGrid w:val="0"/>
              <w:spacing w:line="360" w:lineRule="auto"/>
              <w:ind w:firstLine="480" w:firstLineChars="200"/>
              <w:rPr>
                <w:rFonts w:hint="default" w:ascii="Times New Roman" w:hAnsi="Times New Roman" w:eastAsia="宋体" w:cs="Times New Roman"/>
                <w:color w:val="auto"/>
                <w:u w:val="none" w:color="auto"/>
              </w:rPr>
            </w:pPr>
          </w:p>
          <w:p>
            <w:pPr>
              <w:adjustRightInd w:val="0"/>
              <w:snapToGrid w:val="0"/>
              <w:spacing w:line="360" w:lineRule="auto"/>
              <w:ind w:firstLine="480" w:firstLineChars="20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本项目为新建项目，</w:t>
            </w:r>
            <w:r>
              <w:rPr>
                <w:rFonts w:hint="default" w:ascii="Times New Roman" w:hAnsi="Times New Roman" w:eastAsia="宋体" w:cs="Times New Roman"/>
                <w:color w:val="auto"/>
                <w:u w:val="none" w:color="auto"/>
                <w:lang w:val="en-US" w:eastAsia="zh-CN"/>
              </w:rPr>
              <w:t>租赁湖南中塑新材料科技有限公司现有已建成的标准厂房进行建设，项目位于汨罗高新技术产业开发区内，经现场踏勘，项目拟租赁的标准厂房现为空置状态，</w:t>
            </w:r>
            <w:r>
              <w:rPr>
                <w:rFonts w:hint="default" w:ascii="Times New Roman" w:hAnsi="Times New Roman" w:eastAsia="宋体" w:cs="Times New Roman"/>
                <w:color w:val="auto"/>
                <w:u w:val="none" w:color="auto"/>
              </w:rPr>
              <w:t>无与本项目有关的原有环境污染问题。</w:t>
            </w:r>
          </w:p>
          <w:p>
            <w:pPr>
              <w:adjustRightInd w:val="0"/>
              <w:snapToGrid w:val="0"/>
              <w:spacing w:line="360" w:lineRule="auto"/>
              <w:rPr>
                <w:rFonts w:hint="default" w:ascii="Times New Roman" w:hAnsi="Times New Roman" w:eastAsia="宋体" w:cs="Times New Roman"/>
                <w:color w:val="auto"/>
                <w:kern w:val="0"/>
                <w:sz w:val="24"/>
                <w:szCs w:val="24"/>
                <w:u w:val="none" w:color="auto"/>
                <w:lang w:val="en-US" w:eastAsia="zh-CN" w:bidi="ar"/>
              </w:rPr>
            </w:pPr>
          </w:p>
        </w:tc>
      </w:tr>
    </w:tbl>
    <w:p>
      <w:pPr>
        <w:pStyle w:val="39"/>
        <w:jc w:val="center"/>
        <w:rPr>
          <w:rFonts w:hint="default" w:ascii="Times New Roman" w:hAnsi="Times New Roman" w:eastAsia="宋体" w:cs="Times New Roman"/>
          <w:snapToGrid w:val="0"/>
          <w:color w:val="auto"/>
          <w:sz w:val="36"/>
          <w:szCs w:val="36"/>
          <w:highlight w:val="none"/>
          <w:u w:val="none" w:color="auto"/>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9"/>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0"/>
          <w:szCs w:val="30"/>
          <w:highlight w:val="none"/>
          <w:u w:val="none" w:color="auto"/>
        </w:rPr>
      </w:pPr>
    </w:p>
    <w:p>
      <w:pPr>
        <w:pStyle w:val="8"/>
        <w:bidi w:val="0"/>
        <w:rPr>
          <w:rFonts w:hint="default" w:ascii="Times New Roman" w:hAnsi="Times New Roman" w:eastAsia="宋体" w:cs="Times New Roman"/>
          <w:color w:val="auto"/>
          <w:highlight w:val="none"/>
          <w:u w:val="none" w:color="auto"/>
        </w:rPr>
      </w:pPr>
      <w:bookmarkStart w:id="13" w:name="_Toc22688"/>
      <w:r>
        <w:rPr>
          <w:rFonts w:hint="default" w:ascii="Times New Roman" w:hAnsi="Times New Roman" w:eastAsia="宋体" w:cs="Times New Roman"/>
          <w:color w:val="auto"/>
          <w:highlight w:val="none"/>
          <w:u w:val="none" w:color="auto"/>
        </w:rPr>
        <w:t>三、区域环境质量现状、环境保护目标及评价标准</w:t>
      </w:r>
      <w:bookmarkEnd w:id="13"/>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区域</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环境</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质量</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现状</w:t>
            </w:r>
          </w:p>
        </w:tc>
        <w:tc>
          <w:tcPr>
            <w:tcW w:w="4555" w:type="pct"/>
          </w:tcPr>
          <w:p>
            <w:pPr>
              <w:spacing w:line="500" w:lineRule="exact"/>
              <w:ind w:firstLine="481" w:firstLineChars="20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一、环境空气质量现状</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（1）区域达标情况</w:t>
            </w:r>
          </w:p>
          <w:p>
            <w:pPr>
              <w:pStyle w:val="102"/>
              <w:spacing w:line="500" w:lineRule="exact"/>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根据《建设项目环境影响报告表编制技术指南（污染影响类）（试行）》规定：</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根据岳阳市生态环境局公开发布的《岳阳市2023年度生态环境质量公报》</w:t>
            </w:r>
            <w:r>
              <w:rPr>
                <w:rFonts w:hint="default" w:ascii="Times New Roman" w:hAnsi="Times New Roman" w:cs="Times New Roman"/>
                <w:color w:val="auto"/>
                <w:sz w:val="24"/>
                <w:szCs w:val="24"/>
                <w:u w:val="none" w:color="auto"/>
                <w:lang w:val="en-US" w:eastAsia="zh-CN"/>
              </w:rPr>
              <w:t>，</w:t>
            </w:r>
            <w:r>
              <w:rPr>
                <w:rFonts w:hint="eastAsia" w:cs="Times New Roman"/>
                <w:color w:val="auto"/>
                <w:sz w:val="24"/>
                <w:szCs w:val="24"/>
                <w:u w:val="none" w:color="auto"/>
                <w:lang w:val="en-US" w:eastAsia="zh-CN"/>
              </w:rPr>
              <w:t>汨罗市2023年环境空气质量数据</w:t>
            </w:r>
            <w:r>
              <w:rPr>
                <w:rFonts w:hint="default" w:ascii="Times New Roman" w:hAnsi="Times New Roman" w:cs="Times New Roman"/>
                <w:color w:val="auto"/>
                <w:sz w:val="24"/>
                <w:szCs w:val="24"/>
                <w:u w:val="none" w:color="auto"/>
                <w:lang w:val="en-US" w:eastAsia="zh-CN"/>
              </w:rPr>
              <w:t>统计结果如下。</w:t>
            </w:r>
          </w:p>
          <w:p>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表3-1  202</w:t>
            </w:r>
            <w:r>
              <w:rPr>
                <w:rFonts w:hint="eastAsia" w:cs="Times New Roman"/>
                <w:b/>
                <w:color w:val="auto"/>
                <w:sz w:val="21"/>
                <w:szCs w:val="21"/>
                <w:highlight w:val="none"/>
                <w:u w:val="none" w:color="auto"/>
                <w:lang w:val="en-US" w:eastAsia="zh-CN"/>
              </w:rPr>
              <w:t>3</w:t>
            </w:r>
            <w:r>
              <w:rPr>
                <w:rFonts w:hint="default" w:ascii="Times New Roman" w:hAnsi="Times New Roman" w:eastAsia="宋体" w:cs="Times New Roman"/>
                <w:b/>
                <w:color w:val="auto"/>
                <w:sz w:val="21"/>
                <w:szCs w:val="21"/>
                <w:highlight w:val="none"/>
                <w:u w:val="none" w:color="auto"/>
              </w:rPr>
              <w:t>年区域环境空气质量现状评价表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38"/>
              <w:gridCol w:w="1986"/>
              <w:gridCol w:w="1301"/>
              <w:gridCol w:w="1301"/>
              <w:gridCol w:w="870"/>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16"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所在</w:t>
                  </w:r>
                </w:p>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w:t>
                  </w: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w:t>
                  </w:r>
                </w:p>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年评价指标</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现状浓度（ug/m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标准值（ug/m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超标</w:t>
                  </w:r>
                </w:p>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倍数</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16" w:type="pct"/>
                  <w:vMerge w:val="restar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汨罗市</w:t>
                  </w: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5</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60</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6" w:type="pct"/>
                  <w:vMerge w:val="continue"/>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2</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14</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49</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6" w:type="pct"/>
                  <w:vMerge w:val="continue"/>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33</w:t>
                  </w:r>
                </w:p>
              </w:tc>
              <w:tc>
                <w:tcPr>
                  <w:tcW w:w="812" w:type="pct"/>
                  <w:tcBorders>
                    <w:tl2br w:val="nil"/>
                    <w:tr2bl w:val="nil"/>
                  </w:tcBorders>
                  <w:vAlign w:val="center"/>
                </w:tcPr>
                <w:p>
                  <w:pPr>
                    <w:pStyle w:val="280"/>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3</w:t>
                  </w:r>
                  <w:r>
                    <w:rPr>
                      <w:rFonts w:hint="eastAsia" w:cs="Times New Roman"/>
                      <w:color w:val="auto"/>
                      <w:sz w:val="21"/>
                      <w:szCs w:val="21"/>
                      <w:highlight w:val="none"/>
                      <w:u w:val="none" w:color="auto"/>
                      <w:lang w:val="en-US" w:eastAsia="zh-CN"/>
                    </w:rPr>
                    <w:t>5</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6" w:type="pct"/>
                  <w:vMerge w:val="continue"/>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95百分位数日平均质量浓度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900</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4000</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16" w:type="pct"/>
                  <w:vMerge w:val="continue"/>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O</w:t>
                  </w:r>
                  <w:r>
                    <w:rPr>
                      <w:rFonts w:hint="default" w:ascii="Times New Roman" w:hAnsi="Times New Roman" w:eastAsia="宋体" w:cs="Times New Roman"/>
                      <w:color w:val="auto"/>
                      <w:sz w:val="21"/>
                      <w:szCs w:val="21"/>
                      <w:highlight w:val="none"/>
                      <w:u w:val="none" w:color="auto"/>
                      <w:vertAlign w:val="subscript"/>
                    </w:rPr>
                    <w:t>3</w:t>
                  </w:r>
                </w:p>
              </w:tc>
              <w:tc>
                <w:tcPr>
                  <w:tcW w:w="123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90百分位数最大8小时平均质量浓度</w:t>
                  </w:r>
                </w:p>
              </w:tc>
              <w:tc>
                <w:tcPr>
                  <w:tcW w:w="13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136</w:t>
                  </w:r>
                </w:p>
              </w:tc>
              <w:tc>
                <w:tcPr>
                  <w:tcW w:w="81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160</w:t>
                  </w:r>
                </w:p>
              </w:tc>
              <w:tc>
                <w:tcPr>
                  <w:tcW w:w="54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bl>
          <w:p>
            <w:pPr>
              <w:pStyle w:val="10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highlight w:val="none"/>
                <w:u w:val="none" w:color="auto"/>
              </w:rPr>
            </w:pPr>
            <w:r>
              <w:rPr>
                <w:rFonts w:hint="default" w:ascii="Times New Roman" w:hAnsi="Times New Roman" w:cs="Times New Roman"/>
                <w:color w:val="auto"/>
                <w:sz w:val="24"/>
                <w:szCs w:val="24"/>
                <w:u w:val="none" w:color="auto"/>
                <w:lang w:eastAsia="zh-CN"/>
              </w:rPr>
              <w:t>由上表可知，项目所在区域的监测因子均达到《环境空气质量标准》（</w:t>
            </w:r>
            <w:r>
              <w:rPr>
                <w:rFonts w:hint="default" w:ascii="Times New Roman" w:hAnsi="Times New Roman" w:cs="Times New Roman"/>
                <w:color w:val="auto"/>
                <w:sz w:val="24"/>
                <w:szCs w:val="24"/>
                <w:u w:val="none" w:color="auto"/>
                <w:lang w:val="en-US" w:eastAsia="zh-CN"/>
              </w:rPr>
              <w:t>GB3095-2012</w:t>
            </w:r>
            <w:r>
              <w:rPr>
                <w:rFonts w:hint="default" w:ascii="Times New Roman" w:hAnsi="Times New Roman" w:cs="Times New Roman"/>
                <w:color w:val="auto"/>
                <w:sz w:val="24"/>
                <w:szCs w:val="24"/>
                <w:u w:val="none" w:color="auto"/>
                <w:lang w:eastAsia="zh-CN"/>
              </w:rPr>
              <w:t>）二级标准要求，区域环境质量较好，属于达标区。</w:t>
            </w:r>
          </w:p>
          <w:p>
            <w:pPr>
              <w:pStyle w:val="102"/>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（2）特征污染物环质量现状评价</w:t>
            </w:r>
          </w:p>
          <w:p>
            <w:pPr>
              <w:pStyle w:val="102"/>
              <w:spacing w:line="360" w:lineRule="auto"/>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 （污染影响类）（试行）》，</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排放国家、地方环境空气质量标准中有标准限值要求的特征污染物时，引用建设项目周边5千米范围内近3年的现有监测数据，无相关数据的选择当季主导风向下风向1个点位补充不少于3天的监测数据。根据建设项目所在环境功能区及适用的国家、地方环境质量标准，以及地方环境质量管理要求评价大气环境质量现状达标情况。</w:t>
            </w:r>
            <w:r>
              <w:rPr>
                <w:rFonts w:hint="default" w:ascii="Times New Roman" w:hAnsi="Times New Roman" w:eastAsia="宋体" w:cs="Times New Roman"/>
                <w:color w:val="auto"/>
                <w:highlight w:val="none"/>
                <w:u w:val="none" w:color="auto"/>
                <w:lang w:eastAsia="zh-CN"/>
              </w:rPr>
              <w:t>”</w:t>
            </w:r>
          </w:p>
          <w:p>
            <w:pPr>
              <w:pStyle w:val="102"/>
              <w:spacing w:line="360" w:lineRule="auto"/>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eastAsia="宋体" w:cs="Times New Roman"/>
                <w:color w:val="auto"/>
                <w:highlight w:val="none"/>
                <w:u w:val="none" w:color="auto"/>
                <w:lang w:val="en-US" w:eastAsia="zh-CN"/>
              </w:rPr>
              <w:t>特征污染物</w:t>
            </w:r>
            <w:r>
              <w:rPr>
                <w:rFonts w:hint="default" w:ascii="Times New Roman" w:hAnsi="Times New Roman" w:eastAsia="宋体" w:cs="Times New Roman"/>
                <w:color w:val="auto"/>
                <w:highlight w:val="none"/>
                <w:u w:val="none" w:color="auto"/>
              </w:rPr>
              <w:t>引用数据</w:t>
            </w:r>
          </w:p>
          <w:p>
            <w:pPr>
              <w:pStyle w:val="102"/>
              <w:spacing w:line="360" w:lineRule="auto"/>
              <w:jc w:val="both"/>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none" w:color="auto"/>
              </w:rPr>
              <w:t>本项目</w:t>
            </w:r>
            <w:r>
              <w:rPr>
                <w:rFonts w:hint="default" w:ascii="Times New Roman" w:hAnsi="Times New Roman" w:eastAsia="宋体" w:cs="Times New Roman"/>
                <w:color w:val="auto"/>
                <w:sz w:val="24"/>
                <w:szCs w:val="24"/>
                <w:u w:val="none" w:color="auto"/>
                <w:lang w:val="en-US" w:eastAsia="zh-CN"/>
              </w:rPr>
              <w:t>特征污染物颗粒物</w:t>
            </w:r>
            <w:r>
              <w:rPr>
                <w:rFonts w:hint="default" w:ascii="Times New Roman" w:hAnsi="Times New Roman" w:eastAsia="宋体" w:cs="Times New Roman"/>
                <w:color w:val="auto"/>
                <w:sz w:val="24"/>
                <w:szCs w:val="24"/>
                <w:u w:val="none" w:color="auto"/>
              </w:rPr>
              <w:t>引用《</w:t>
            </w:r>
            <w:r>
              <w:rPr>
                <w:rFonts w:hint="eastAsia" w:cs="Times New Roman"/>
                <w:color w:val="auto"/>
                <w:sz w:val="24"/>
                <w:szCs w:val="24"/>
                <w:u w:val="none" w:color="auto"/>
                <w:lang w:val="en-US" w:eastAsia="zh-CN"/>
              </w:rPr>
              <w:t>汨罗高新技术产业开发区扩区规划环境影响报告书</w:t>
            </w:r>
            <w:r>
              <w:rPr>
                <w:rFonts w:hint="default" w:ascii="Times New Roman" w:hAnsi="Times New Roman" w:eastAsia="宋体" w:cs="Times New Roman"/>
                <w:color w:val="auto"/>
                <w:sz w:val="24"/>
                <w:szCs w:val="24"/>
                <w:u w:val="none" w:color="auto"/>
              </w:rPr>
              <w:t>》中委托</w:t>
            </w:r>
            <w:r>
              <w:rPr>
                <w:rFonts w:hint="eastAsia" w:cs="Times New Roman"/>
                <w:color w:val="auto"/>
                <w:sz w:val="24"/>
                <w:szCs w:val="24"/>
                <w:u w:val="none" w:color="auto"/>
                <w:lang w:val="en-US" w:eastAsia="zh-CN"/>
              </w:rPr>
              <w:t>湖南桓泓监测技术有限公司</w:t>
            </w:r>
            <w:r>
              <w:rPr>
                <w:rFonts w:hint="default" w:ascii="Times New Roman" w:hAnsi="Times New Roman" w:eastAsia="宋体" w:cs="Times New Roman"/>
                <w:color w:val="auto"/>
                <w:sz w:val="24"/>
                <w:szCs w:val="24"/>
                <w:u w:val="none" w:color="auto"/>
                <w:lang w:val="en-US" w:eastAsia="zh-CN"/>
              </w:rPr>
              <w:t>于</w:t>
            </w:r>
            <w:r>
              <w:rPr>
                <w:rFonts w:hint="default" w:ascii="Times New Roman" w:hAnsi="Times New Roman" w:eastAsia="宋体" w:cs="Times New Roman"/>
                <w:color w:val="auto"/>
                <w:sz w:val="24"/>
                <w:szCs w:val="24"/>
                <w:u w:val="none" w:color="auto"/>
              </w:rPr>
              <w:t>20</w:t>
            </w:r>
            <w:r>
              <w:rPr>
                <w:rFonts w:hint="default" w:ascii="Times New Roman" w:hAnsi="Times New Roman" w:eastAsia="宋体" w:cs="Times New Roman"/>
                <w:color w:val="auto"/>
                <w:sz w:val="24"/>
                <w:szCs w:val="24"/>
                <w:u w:val="none" w:color="auto"/>
                <w:lang w:val="en-US" w:eastAsia="zh-CN"/>
              </w:rPr>
              <w:t>23</w:t>
            </w:r>
            <w:r>
              <w:rPr>
                <w:rFonts w:hint="default" w:ascii="Times New Roman" w:hAnsi="Times New Roman" w:eastAsia="宋体" w:cs="Times New Roman"/>
                <w:color w:val="auto"/>
                <w:sz w:val="24"/>
                <w:szCs w:val="24"/>
                <w:u w:val="none" w:color="auto"/>
              </w:rPr>
              <w:t>年</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月</w:t>
            </w:r>
            <w:r>
              <w:rPr>
                <w:rFonts w:hint="eastAsia" w:cs="Times New Roman"/>
                <w:color w:val="auto"/>
                <w:sz w:val="24"/>
                <w:szCs w:val="24"/>
                <w:u w:val="none" w:color="auto"/>
                <w:lang w:val="en-US" w:eastAsia="zh-CN"/>
              </w:rPr>
              <w:t>24</w:t>
            </w:r>
            <w:r>
              <w:rPr>
                <w:rFonts w:hint="default" w:ascii="Times New Roman" w:hAnsi="Times New Roman" w:eastAsia="宋体" w:cs="Times New Roman"/>
                <w:color w:val="auto"/>
                <w:sz w:val="24"/>
                <w:szCs w:val="24"/>
                <w:u w:val="none" w:color="auto"/>
              </w:rPr>
              <w:t>日~</w:t>
            </w:r>
            <w:r>
              <w:rPr>
                <w:rFonts w:hint="eastAsia"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月</w:t>
            </w:r>
            <w:r>
              <w:rPr>
                <w:rFonts w:hint="eastAsia" w:cs="Times New Roman"/>
                <w:color w:val="auto"/>
                <w:sz w:val="24"/>
                <w:szCs w:val="24"/>
                <w:u w:val="none" w:color="auto"/>
                <w:lang w:val="en-US" w:eastAsia="zh-CN"/>
              </w:rPr>
              <w:t>30</w:t>
            </w:r>
            <w:r>
              <w:rPr>
                <w:rFonts w:hint="default" w:ascii="Times New Roman" w:hAnsi="Times New Roman" w:eastAsia="宋体" w:cs="Times New Roman"/>
                <w:color w:val="auto"/>
                <w:sz w:val="24"/>
                <w:szCs w:val="24"/>
                <w:u w:val="none" w:color="auto"/>
              </w:rPr>
              <w:t>日对</w:t>
            </w:r>
            <w:r>
              <w:rPr>
                <w:rFonts w:hint="default" w:ascii="Times New Roman" w:hAnsi="Times New Roman" w:eastAsia="宋体" w:cs="Times New Roman"/>
                <w:color w:val="auto"/>
                <w:sz w:val="24"/>
                <w:szCs w:val="24"/>
                <w:u w:val="none" w:color="auto"/>
                <w:lang w:val="en-US" w:eastAsia="zh-CN"/>
              </w:rPr>
              <w:t>区域</w:t>
            </w:r>
            <w:r>
              <w:rPr>
                <w:rFonts w:hint="default" w:ascii="Times New Roman" w:hAnsi="Times New Roman" w:eastAsia="宋体" w:cs="Times New Roman"/>
                <w:color w:val="auto"/>
                <w:sz w:val="24"/>
                <w:szCs w:val="24"/>
                <w:u w:val="none" w:color="auto"/>
              </w:rPr>
              <w:t>环境空气质量进行的质量监测数据</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检测点位为“G</w:t>
            </w:r>
            <w:r>
              <w:rPr>
                <w:rFonts w:hint="eastAsia" w:cs="Times New Roman"/>
                <w:color w:val="auto"/>
                <w:sz w:val="24"/>
                <w:szCs w:val="24"/>
                <w:u w:val="none" w:color="auto"/>
                <w:lang w:val="en-US" w:eastAsia="zh-CN"/>
              </w:rPr>
              <w:t>3新桥村（新市街社区）</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位于</w:t>
            </w:r>
            <w:r>
              <w:rPr>
                <w:rFonts w:hint="default" w:ascii="Times New Roman" w:hAnsi="Times New Roman" w:eastAsia="宋体" w:cs="Times New Roman"/>
                <w:color w:val="auto"/>
                <w:sz w:val="24"/>
                <w:szCs w:val="24"/>
                <w:u w:val="single" w:color="auto"/>
                <w:lang w:val="en-US" w:eastAsia="zh-CN"/>
              </w:rPr>
              <w:t>本项目西</w:t>
            </w:r>
            <w:r>
              <w:rPr>
                <w:rFonts w:hint="eastAsia" w:cs="Times New Roman"/>
                <w:color w:val="auto"/>
                <w:sz w:val="24"/>
                <w:szCs w:val="24"/>
                <w:u w:val="single" w:color="auto"/>
                <w:lang w:val="en-US" w:eastAsia="zh-CN"/>
              </w:rPr>
              <w:t>南</w:t>
            </w:r>
            <w:r>
              <w:rPr>
                <w:rFonts w:hint="default" w:ascii="Times New Roman" w:hAnsi="Times New Roman" w:eastAsia="宋体" w:cs="Times New Roman"/>
                <w:color w:val="auto"/>
                <w:sz w:val="24"/>
                <w:szCs w:val="24"/>
                <w:u w:val="single" w:color="auto"/>
                <w:lang w:val="en-US" w:eastAsia="zh-CN"/>
              </w:rPr>
              <w:t>侧</w:t>
            </w:r>
            <w:r>
              <w:rPr>
                <w:rFonts w:hint="eastAsia" w:cs="Times New Roman"/>
                <w:color w:val="auto"/>
                <w:sz w:val="24"/>
                <w:szCs w:val="24"/>
                <w:u w:val="single" w:color="auto"/>
                <w:lang w:val="en-US" w:eastAsia="zh-CN"/>
              </w:rPr>
              <w:t>1810</w:t>
            </w:r>
            <w:r>
              <w:rPr>
                <w:rFonts w:hint="default" w:ascii="Times New Roman" w:hAnsi="Times New Roman" w:eastAsia="宋体" w:cs="Times New Roman"/>
                <w:color w:val="auto"/>
                <w:sz w:val="24"/>
                <w:szCs w:val="24"/>
                <w:u w:val="single" w:color="auto"/>
                <w:lang w:val="en-US" w:eastAsia="zh-CN"/>
              </w:rPr>
              <w:t>m，</w:t>
            </w:r>
            <w:r>
              <w:rPr>
                <w:rFonts w:hint="eastAsia" w:cs="Times New Roman"/>
                <w:color w:val="auto"/>
                <w:sz w:val="24"/>
                <w:szCs w:val="24"/>
                <w:u w:val="single" w:color="auto"/>
                <w:lang w:val="en-US" w:eastAsia="zh-CN"/>
              </w:rPr>
              <w:t>“G4桥墩村”位于本项目东南侧3365m，</w:t>
            </w:r>
            <w:r>
              <w:rPr>
                <w:rFonts w:hint="default" w:ascii="Times New Roman" w:hAnsi="Times New Roman" w:eastAsia="宋体" w:cs="Times New Roman"/>
                <w:color w:val="auto"/>
                <w:sz w:val="24"/>
                <w:szCs w:val="24"/>
                <w:u w:val="single" w:color="auto"/>
                <w:lang w:val="en-US" w:eastAsia="zh-CN"/>
              </w:rPr>
              <w:t>在本项目周边5km范围以内，检测时间为</w:t>
            </w:r>
            <w:r>
              <w:rPr>
                <w:rFonts w:hint="default" w:ascii="Times New Roman" w:hAnsi="Times New Roman" w:eastAsia="宋体" w:cs="Times New Roman"/>
                <w:color w:val="auto"/>
                <w:sz w:val="24"/>
                <w:szCs w:val="24"/>
                <w:u w:val="single" w:color="auto"/>
              </w:rPr>
              <w:t>2023年</w:t>
            </w:r>
            <w:r>
              <w:rPr>
                <w:rFonts w:hint="eastAsia" w:cs="Times New Roman"/>
                <w:color w:val="auto"/>
                <w:sz w:val="24"/>
                <w:szCs w:val="24"/>
                <w:u w:val="single" w:color="auto"/>
                <w:lang w:val="en-US" w:eastAsia="zh-CN"/>
              </w:rPr>
              <w:t>5</w:t>
            </w:r>
            <w:r>
              <w:rPr>
                <w:rFonts w:hint="default" w:ascii="Times New Roman" w:hAnsi="Times New Roman" w:eastAsia="宋体" w:cs="Times New Roman"/>
                <w:color w:val="auto"/>
                <w:sz w:val="24"/>
                <w:szCs w:val="24"/>
                <w:u w:val="single" w:color="auto"/>
              </w:rPr>
              <w:t>月</w:t>
            </w:r>
            <w:r>
              <w:rPr>
                <w:rFonts w:hint="eastAsia" w:cs="Times New Roman"/>
                <w:color w:val="auto"/>
                <w:sz w:val="24"/>
                <w:szCs w:val="24"/>
                <w:u w:val="single" w:color="auto"/>
                <w:lang w:val="en-US" w:eastAsia="zh-CN"/>
              </w:rPr>
              <w:t>24</w:t>
            </w:r>
            <w:r>
              <w:rPr>
                <w:rFonts w:hint="default" w:ascii="Times New Roman" w:hAnsi="Times New Roman" w:eastAsia="宋体" w:cs="Times New Roman"/>
                <w:color w:val="auto"/>
                <w:sz w:val="24"/>
                <w:szCs w:val="24"/>
                <w:u w:val="single" w:color="auto"/>
              </w:rPr>
              <w:t>日～</w:t>
            </w:r>
            <w:r>
              <w:rPr>
                <w:rFonts w:hint="eastAsia" w:cs="Times New Roman"/>
                <w:color w:val="auto"/>
                <w:sz w:val="24"/>
                <w:szCs w:val="24"/>
                <w:u w:val="single" w:color="auto"/>
                <w:lang w:val="en-US" w:eastAsia="zh-CN"/>
              </w:rPr>
              <w:t>5</w:t>
            </w:r>
            <w:r>
              <w:rPr>
                <w:rFonts w:hint="default" w:ascii="Times New Roman" w:hAnsi="Times New Roman" w:eastAsia="宋体" w:cs="Times New Roman"/>
                <w:color w:val="auto"/>
                <w:sz w:val="24"/>
                <w:szCs w:val="24"/>
                <w:u w:val="single" w:color="auto"/>
              </w:rPr>
              <w:t>月</w:t>
            </w:r>
            <w:r>
              <w:rPr>
                <w:rFonts w:hint="eastAsia" w:cs="Times New Roman"/>
                <w:color w:val="auto"/>
                <w:sz w:val="24"/>
                <w:szCs w:val="24"/>
                <w:u w:val="single" w:color="auto"/>
                <w:lang w:val="en-US" w:eastAsia="zh-CN"/>
              </w:rPr>
              <w:t>30</w:t>
            </w:r>
            <w:r>
              <w:rPr>
                <w:rFonts w:hint="default" w:ascii="Times New Roman" w:hAnsi="Times New Roman" w:eastAsia="宋体" w:cs="Times New Roman"/>
                <w:color w:val="auto"/>
                <w:sz w:val="24"/>
                <w:szCs w:val="24"/>
                <w:u w:val="single" w:color="auto"/>
              </w:rPr>
              <w:t>日</w:t>
            </w:r>
            <w:r>
              <w:rPr>
                <w:rFonts w:hint="default" w:ascii="Times New Roman" w:hAnsi="Times New Roman" w:eastAsia="宋体" w:cs="Times New Roman"/>
                <w:color w:val="auto"/>
                <w:sz w:val="24"/>
                <w:szCs w:val="24"/>
                <w:u w:val="single" w:color="auto"/>
                <w:lang w:val="en-US" w:eastAsia="zh-CN"/>
              </w:rPr>
              <w:t>在近三年以内，故本项目引用监测数据可行</w:t>
            </w:r>
            <w:r>
              <w:rPr>
                <w:rFonts w:hint="default" w:ascii="Times New Roman" w:hAnsi="Times New Roman" w:eastAsia="宋体" w:cs="Times New Roman"/>
                <w:color w:val="auto"/>
                <w:sz w:val="24"/>
                <w:szCs w:val="24"/>
                <w:u w:val="single" w:color="auto"/>
              </w:rPr>
              <w:t>。</w:t>
            </w:r>
          </w:p>
          <w:p>
            <w:pPr>
              <w:pStyle w:val="102"/>
              <w:spacing w:line="360" w:lineRule="auto"/>
              <w:jc w:val="both"/>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监测点位信息和监测结果具体如表3-2和表3-3所示。</w:t>
            </w:r>
          </w:p>
          <w:p>
            <w:pPr>
              <w:wordWrap w:val="0"/>
              <w:adjustRightInd w:val="0"/>
              <w:snapToGrid w:val="0"/>
              <w:spacing w:line="240" w:lineRule="auto"/>
              <w:ind w:firstLine="482"/>
              <w:jc w:val="center"/>
              <w:rPr>
                <w:rFonts w:hint="default" w:ascii="Times New Roman" w:hAnsi="Times New Roman" w:eastAsia="宋体" w:cs="Times New Roman"/>
                <w:b/>
                <w:bCs/>
                <w:color w:val="auto"/>
                <w:sz w:val="24"/>
                <w:u w:val="single" w:color="auto"/>
              </w:rPr>
            </w:pPr>
            <w:r>
              <w:rPr>
                <w:rFonts w:hint="default" w:ascii="Times New Roman" w:hAnsi="Times New Roman" w:eastAsia="宋体" w:cs="Times New Roman"/>
                <w:b/>
                <w:color w:val="auto"/>
                <w:sz w:val="21"/>
                <w:szCs w:val="21"/>
                <w:u w:val="single" w:color="auto"/>
              </w:rPr>
              <w:t>表3-2  监测点位基本信息</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560"/>
              <w:gridCol w:w="1035"/>
              <w:gridCol w:w="1425"/>
              <w:gridCol w:w="1280"/>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91"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监测点位</w:t>
                  </w:r>
                </w:p>
              </w:tc>
              <w:tc>
                <w:tcPr>
                  <w:tcW w:w="974"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监测点</w:t>
                  </w:r>
                  <w:r>
                    <w:rPr>
                      <w:rFonts w:hint="default" w:ascii="Times New Roman" w:hAnsi="Times New Roman" w:eastAsia="宋体" w:cs="Times New Roman"/>
                      <w:color w:val="auto"/>
                      <w:sz w:val="21"/>
                      <w:szCs w:val="21"/>
                      <w:u w:val="single" w:color="auto"/>
                      <w:lang w:val="en-US" w:eastAsia="zh-CN"/>
                    </w:rPr>
                    <w:t>经纬度</w:t>
                  </w:r>
                  <w:r>
                    <w:rPr>
                      <w:rFonts w:hint="default" w:ascii="Times New Roman" w:hAnsi="Times New Roman" w:eastAsia="宋体" w:cs="Times New Roman"/>
                      <w:color w:val="auto"/>
                      <w:sz w:val="21"/>
                      <w:szCs w:val="21"/>
                      <w:u w:val="single" w:color="auto"/>
                    </w:rPr>
                    <w:t>坐标</w:t>
                  </w:r>
                </w:p>
              </w:tc>
              <w:tc>
                <w:tcPr>
                  <w:tcW w:w="646"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监测因子</w:t>
                  </w:r>
                </w:p>
              </w:tc>
              <w:tc>
                <w:tcPr>
                  <w:tcW w:w="889"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监测时段</w:t>
                  </w:r>
                </w:p>
              </w:tc>
              <w:tc>
                <w:tcPr>
                  <w:tcW w:w="799"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相对</w:t>
                  </w:r>
                  <w:r>
                    <w:rPr>
                      <w:rFonts w:hint="default" w:ascii="Times New Roman" w:hAnsi="Times New Roman" w:eastAsia="宋体" w:cs="Times New Roman"/>
                      <w:color w:val="auto"/>
                      <w:sz w:val="21"/>
                      <w:szCs w:val="21"/>
                      <w:u w:val="single" w:color="auto"/>
                      <w:lang w:val="en-US" w:eastAsia="zh-CN"/>
                    </w:rPr>
                    <w:t>本项目</w:t>
                  </w:r>
                  <w:r>
                    <w:rPr>
                      <w:rFonts w:hint="default" w:ascii="Times New Roman" w:hAnsi="Times New Roman" w:eastAsia="宋体" w:cs="Times New Roman"/>
                      <w:color w:val="auto"/>
                      <w:sz w:val="21"/>
                      <w:szCs w:val="21"/>
                      <w:u w:val="single" w:color="auto"/>
                    </w:rPr>
                    <w:t>厂址方位</w:t>
                  </w:r>
                  <w:r>
                    <w:rPr>
                      <w:rFonts w:hint="default" w:ascii="Times New Roman" w:hAnsi="Times New Roman" w:eastAsia="宋体" w:cs="Times New Roman"/>
                      <w:color w:val="auto"/>
                      <w:sz w:val="21"/>
                      <w:szCs w:val="21"/>
                      <w:u w:val="single" w:color="auto"/>
                      <w:lang w:val="en-US" w:eastAsia="zh-CN"/>
                    </w:rPr>
                    <w:t>及距离</w:t>
                  </w:r>
                </w:p>
              </w:tc>
              <w:tc>
                <w:tcPr>
                  <w:tcW w:w="799"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位于本项目主导风向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1"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G</w:t>
                  </w:r>
                  <w:r>
                    <w:rPr>
                      <w:rFonts w:hint="eastAsia" w:cs="Times New Roman"/>
                      <w:color w:val="auto"/>
                      <w:sz w:val="21"/>
                      <w:szCs w:val="21"/>
                      <w:u w:val="single" w:color="auto"/>
                      <w:lang w:val="en-US" w:eastAsia="zh-CN"/>
                    </w:rPr>
                    <w:t>3新桥村（新市街社区）</w:t>
                  </w:r>
                </w:p>
              </w:tc>
              <w:tc>
                <w:tcPr>
                  <w:tcW w:w="974"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E</w:t>
                  </w:r>
                  <w:r>
                    <w:rPr>
                      <w:rFonts w:hint="default" w:ascii="Times New Roman" w:hAnsi="Times New Roman" w:eastAsia="宋体" w:cs="Times New Roman"/>
                      <w:color w:val="auto"/>
                      <w:sz w:val="21"/>
                      <w:szCs w:val="21"/>
                      <w:u w:val="single" w:color="auto"/>
                    </w:rPr>
                    <w:t>113.</w:t>
                  </w:r>
                  <w:r>
                    <w:rPr>
                      <w:rFonts w:hint="eastAsia" w:cs="Times New Roman"/>
                      <w:color w:val="auto"/>
                      <w:sz w:val="21"/>
                      <w:szCs w:val="21"/>
                      <w:u w:val="single" w:color="auto"/>
                      <w:lang w:val="en-US" w:eastAsia="zh-CN"/>
                    </w:rPr>
                    <w:t>167688</w:t>
                  </w:r>
                  <w:r>
                    <w:rPr>
                      <w:rFonts w:hint="default" w:ascii="Times New Roman" w:hAnsi="Times New Roman" w:eastAsia="宋体" w:cs="Times New Roman"/>
                      <w:color w:val="auto"/>
                      <w:sz w:val="21"/>
                      <w:szCs w:val="21"/>
                      <w:u w:val="single" w:color="auto"/>
                    </w:rPr>
                    <w:t>°</w:t>
                  </w:r>
                </w:p>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N</w:t>
                  </w:r>
                  <w:r>
                    <w:rPr>
                      <w:rFonts w:hint="default" w:ascii="Times New Roman" w:hAnsi="Times New Roman" w:eastAsia="宋体" w:cs="Times New Roman"/>
                      <w:color w:val="auto"/>
                      <w:sz w:val="21"/>
                      <w:szCs w:val="21"/>
                      <w:u w:val="single" w:color="auto"/>
                    </w:rPr>
                    <w:t>28.</w:t>
                  </w:r>
                  <w:r>
                    <w:rPr>
                      <w:rFonts w:hint="eastAsia" w:cs="Times New Roman"/>
                      <w:color w:val="auto"/>
                      <w:sz w:val="21"/>
                      <w:szCs w:val="21"/>
                      <w:u w:val="single" w:color="auto"/>
                      <w:lang w:val="en-US" w:eastAsia="zh-CN"/>
                    </w:rPr>
                    <w:t>750432</w:t>
                  </w:r>
                  <w:r>
                    <w:rPr>
                      <w:rFonts w:hint="default" w:ascii="Times New Roman" w:hAnsi="Times New Roman" w:eastAsia="宋体" w:cs="Times New Roman"/>
                      <w:color w:val="auto"/>
                      <w:sz w:val="21"/>
                      <w:szCs w:val="21"/>
                      <w:u w:val="single" w:color="auto"/>
                    </w:rPr>
                    <w:t>°</w:t>
                  </w:r>
                </w:p>
              </w:tc>
              <w:tc>
                <w:tcPr>
                  <w:tcW w:w="646" w:type="pct"/>
                  <w:vMerge w:val="restar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TSP（24h均值）</w:t>
                  </w:r>
                </w:p>
              </w:tc>
              <w:tc>
                <w:tcPr>
                  <w:tcW w:w="889" w:type="pct"/>
                  <w:vMerge w:val="restar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2023.0</w:t>
                  </w:r>
                  <w:r>
                    <w:rPr>
                      <w:rFonts w:hint="eastAsia"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24</w:t>
                  </w:r>
                  <w:r>
                    <w:rPr>
                      <w:rFonts w:hint="default" w:ascii="Times New Roman" w:hAnsi="Times New Roman" w:eastAsia="宋体" w:cs="Times New Roman"/>
                      <w:color w:val="auto"/>
                      <w:sz w:val="21"/>
                      <w:szCs w:val="21"/>
                      <w:u w:val="single" w:color="auto"/>
                      <w:lang w:val="en-US" w:eastAsia="zh-CN"/>
                    </w:rPr>
                    <w:t>~</w:t>
                  </w:r>
                </w:p>
                <w:p>
                  <w:pPr>
                    <w:pStyle w:val="281"/>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2023.0</w:t>
                  </w:r>
                  <w:r>
                    <w:rPr>
                      <w:rFonts w:hint="eastAsia"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30</w:t>
                  </w:r>
                </w:p>
              </w:tc>
              <w:tc>
                <w:tcPr>
                  <w:tcW w:w="799"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西</w:t>
                  </w:r>
                  <w:r>
                    <w:rPr>
                      <w:rFonts w:hint="eastAsia" w:cs="Times New Roman"/>
                      <w:color w:val="auto"/>
                      <w:sz w:val="21"/>
                      <w:szCs w:val="21"/>
                      <w:u w:val="single" w:color="auto"/>
                      <w:lang w:val="en-US" w:eastAsia="zh-CN"/>
                    </w:rPr>
                    <w:t>南</w:t>
                  </w:r>
                  <w:r>
                    <w:rPr>
                      <w:rFonts w:hint="default" w:ascii="Times New Roman" w:hAnsi="Times New Roman" w:eastAsia="宋体" w:cs="Times New Roman"/>
                      <w:color w:val="auto"/>
                      <w:sz w:val="21"/>
                      <w:szCs w:val="21"/>
                      <w:u w:val="single" w:color="auto"/>
                      <w:lang w:val="en-US" w:eastAsia="zh-CN"/>
                    </w:rPr>
                    <w:t>，</w:t>
                  </w:r>
                  <w:r>
                    <w:rPr>
                      <w:rFonts w:hint="eastAsia" w:cs="Times New Roman"/>
                      <w:color w:val="auto"/>
                      <w:sz w:val="21"/>
                      <w:szCs w:val="21"/>
                      <w:u w:val="single" w:color="auto"/>
                      <w:lang w:val="en-US" w:eastAsia="zh-CN"/>
                    </w:rPr>
                    <w:t>1810</w:t>
                  </w:r>
                  <w:r>
                    <w:rPr>
                      <w:rFonts w:hint="default" w:ascii="Times New Roman" w:hAnsi="Times New Roman" w:eastAsia="宋体" w:cs="Times New Roman"/>
                      <w:color w:val="auto"/>
                      <w:sz w:val="21"/>
                      <w:szCs w:val="21"/>
                      <w:u w:val="single" w:color="auto"/>
                      <w:lang w:val="en-US"/>
                    </w:rPr>
                    <w:t>m</w:t>
                  </w:r>
                </w:p>
              </w:tc>
              <w:tc>
                <w:tcPr>
                  <w:tcW w:w="799"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侧风向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1"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G4桥墩村</w:t>
                  </w:r>
                </w:p>
              </w:tc>
              <w:tc>
                <w:tcPr>
                  <w:tcW w:w="974" w:type="pct"/>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E</w:t>
                  </w:r>
                  <w:r>
                    <w:rPr>
                      <w:rFonts w:hint="default" w:ascii="Times New Roman" w:hAnsi="Times New Roman" w:eastAsia="宋体" w:cs="Times New Roman"/>
                      <w:color w:val="auto"/>
                      <w:sz w:val="21"/>
                      <w:szCs w:val="21"/>
                      <w:u w:val="single" w:color="auto"/>
                    </w:rPr>
                    <w:t>113.</w:t>
                  </w:r>
                  <w:r>
                    <w:rPr>
                      <w:rFonts w:hint="eastAsia" w:cs="Times New Roman"/>
                      <w:color w:val="auto"/>
                      <w:sz w:val="21"/>
                      <w:szCs w:val="21"/>
                      <w:u w:val="single" w:color="auto"/>
                      <w:lang w:val="en-US" w:eastAsia="zh-CN"/>
                    </w:rPr>
                    <w:t>187787</w:t>
                  </w:r>
                  <w:r>
                    <w:rPr>
                      <w:rFonts w:hint="default" w:ascii="Times New Roman" w:hAnsi="Times New Roman" w:eastAsia="宋体" w:cs="Times New Roman"/>
                      <w:color w:val="auto"/>
                      <w:sz w:val="21"/>
                      <w:szCs w:val="21"/>
                      <w:u w:val="single" w:color="auto"/>
                    </w:rPr>
                    <w:t>°</w:t>
                  </w:r>
                </w:p>
                <w:p>
                  <w:pPr>
                    <w:pStyle w:val="281"/>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N</w:t>
                  </w:r>
                  <w:r>
                    <w:rPr>
                      <w:rFonts w:hint="default" w:ascii="Times New Roman" w:hAnsi="Times New Roman" w:eastAsia="宋体" w:cs="Times New Roman"/>
                      <w:color w:val="auto"/>
                      <w:sz w:val="21"/>
                      <w:szCs w:val="21"/>
                      <w:u w:val="single" w:color="auto"/>
                    </w:rPr>
                    <w:t>28.</w:t>
                  </w:r>
                  <w:r>
                    <w:rPr>
                      <w:rFonts w:hint="eastAsia" w:cs="Times New Roman"/>
                      <w:color w:val="auto"/>
                      <w:sz w:val="21"/>
                      <w:szCs w:val="21"/>
                      <w:u w:val="single" w:color="auto"/>
                      <w:lang w:val="en-US" w:eastAsia="zh-CN"/>
                    </w:rPr>
                    <w:t>735838</w:t>
                  </w:r>
                  <w:r>
                    <w:rPr>
                      <w:rFonts w:hint="default" w:ascii="Times New Roman" w:hAnsi="Times New Roman" w:eastAsia="宋体" w:cs="Times New Roman"/>
                      <w:color w:val="auto"/>
                      <w:sz w:val="21"/>
                      <w:szCs w:val="21"/>
                      <w:u w:val="single" w:color="auto"/>
                    </w:rPr>
                    <w:t>°</w:t>
                  </w:r>
                </w:p>
              </w:tc>
              <w:tc>
                <w:tcPr>
                  <w:tcW w:w="646" w:type="pct"/>
                  <w:vMerge w:val="continue"/>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p>
              </w:tc>
              <w:tc>
                <w:tcPr>
                  <w:tcW w:w="889" w:type="pct"/>
                  <w:vMerge w:val="continue"/>
                  <w:tcBorders>
                    <w:tl2br w:val="nil"/>
                    <w:tr2bl w:val="nil"/>
                  </w:tcBorders>
                  <w:noWrap w:val="0"/>
                  <w:vAlign w:val="center"/>
                </w:tcPr>
                <w:p>
                  <w:pPr>
                    <w:pStyle w:val="281"/>
                    <w:jc w:val="center"/>
                    <w:rPr>
                      <w:rFonts w:hint="default" w:ascii="Times New Roman" w:hAnsi="Times New Roman" w:eastAsia="宋体" w:cs="Times New Roman"/>
                      <w:color w:val="auto"/>
                      <w:sz w:val="21"/>
                      <w:szCs w:val="21"/>
                      <w:u w:val="single" w:color="auto"/>
                      <w:lang w:val="en-US" w:eastAsia="zh-CN"/>
                    </w:rPr>
                  </w:pPr>
                </w:p>
              </w:tc>
              <w:tc>
                <w:tcPr>
                  <w:tcW w:w="799" w:type="pct"/>
                  <w:tcBorders>
                    <w:tl2br w:val="nil"/>
                    <w:tr2bl w:val="nil"/>
                  </w:tcBorders>
                  <w:noWrap w:val="0"/>
                  <w:vAlign w:val="center"/>
                </w:tcPr>
                <w:p>
                  <w:pPr>
                    <w:pStyle w:val="281"/>
                    <w:jc w:val="center"/>
                    <w:rPr>
                      <w:rFonts w:hint="default" w:eastAsia="宋体"/>
                      <w:color w:val="auto"/>
                      <w:sz w:val="21"/>
                      <w:u w:val="single" w:color="auto"/>
                      <w:lang w:val="en-US" w:eastAsia="zh-CN"/>
                    </w:rPr>
                  </w:pPr>
                  <w:r>
                    <w:rPr>
                      <w:rFonts w:hint="eastAsia"/>
                      <w:color w:val="auto"/>
                      <w:sz w:val="21"/>
                      <w:u w:val="single" w:color="auto"/>
                      <w:lang w:val="en-US" w:eastAsia="zh-CN"/>
                    </w:rPr>
                    <w:t>东南，3365m</w:t>
                  </w:r>
                </w:p>
              </w:tc>
              <w:tc>
                <w:tcPr>
                  <w:tcW w:w="799" w:type="pct"/>
                  <w:tcBorders>
                    <w:tl2br w:val="nil"/>
                    <w:tr2bl w:val="nil"/>
                  </w:tcBorders>
                  <w:noWrap w:val="0"/>
                  <w:vAlign w:val="center"/>
                </w:tcPr>
                <w:p>
                  <w:pPr>
                    <w:pStyle w:val="281"/>
                    <w:jc w:val="center"/>
                    <w:rPr>
                      <w:rFonts w:hint="eastAsia" w:eastAsia="宋体"/>
                      <w:color w:val="auto"/>
                      <w:sz w:val="21"/>
                      <w:u w:val="single" w:color="auto"/>
                      <w:lang w:val="en-US" w:eastAsia="zh-CN"/>
                    </w:rPr>
                  </w:pPr>
                  <w:r>
                    <w:rPr>
                      <w:rFonts w:hint="eastAsia"/>
                      <w:color w:val="auto"/>
                      <w:sz w:val="21"/>
                      <w:u w:val="single" w:color="auto"/>
                      <w:lang w:val="en-US" w:eastAsia="zh-CN"/>
                    </w:rPr>
                    <w:t>下风向</w:t>
                  </w:r>
                </w:p>
              </w:tc>
            </w:tr>
          </w:tbl>
          <w:p>
            <w:pPr>
              <w:wordWrap w:val="0"/>
              <w:spacing w:line="240" w:lineRule="auto"/>
              <w:ind w:firstLine="422"/>
              <w:jc w:val="center"/>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表3-3  其它污染物环境质量现状监测结果（单位：mg/m</w:t>
            </w:r>
            <w:r>
              <w:rPr>
                <w:rFonts w:hint="default" w:ascii="Times New Roman" w:hAnsi="Times New Roman" w:eastAsia="宋体" w:cs="Times New Roman"/>
                <w:b/>
                <w:color w:val="auto"/>
                <w:sz w:val="21"/>
                <w:szCs w:val="21"/>
                <w:u w:val="single" w:color="auto"/>
                <w:vertAlign w:val="superscript"/>
              </w:rPr>
              <w:t>3</w:t>
            </w:r>
            <w:r>
              <w:rPr>
                <w:rFonts w:hint="default" w:ascii="Times New Roman" w:hAnsi="Times New Roman" w:eastAsia="宋体" w:cs="Times New Roman"/>
                <w:b/>
                <w:color w:val="auto"/>
                <w:sz w:val="21"/>
                <w:szCs w:val="21"/>
                <w:u w:val="single" w:color="auto"/>
              </w:rPr>
              <w:t>）</w:t>
            </w:r>
          </w:p>
          <w:tbl>
            <w:tblPr>
              <w:tblStyle w:val="43"/>
              <w:tblW w:w="8036"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31"/>
              <w:gridCol w:w="1230"/>
              <w:gridCol w:w="1140"/>
              <w:gridCol w:w="843"/>
              <w:gridCol w:w="1137"/>
              <w:gridCol w:w="990"/>
              <w:gridCol w:w="1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监测点位</w:t>
                  </w:r>
                </w:p>
              </w:tc>
              <w:tc>
                <w:tcPr>
                  <w:tcW w:w="765"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监测时间</w:t>
                  </w:r>
                </w:p>
              </w:tc>
              <w:tc>
                <w:tcPr>
                  <w:tcW w:w="709"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监测项目</w:t>
                  </w:r>
                </w:p>
              </w:tc>
              <w:tc>
                <w:tcPr>
                  <w:tcW w:w="524"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单位</w:t>
                  </w:r>
                </w:p>
              </w:tc>
              <w:tc>
                <w:tcPr>
                  <w:tcW w:w="707"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监测结果</w:t>
                  </w:r>
                </w:p>
              </w:tc>
              <w:tc>
                <w:tcPr>
                  <w:tcW w:w="615"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标准限值</w:t>
                  </w:r>
                </w:p>
              </w:tc>
              <w:tc>
                <w:tcPr>
                  <w:tcW w:w="849"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G</w:t>
                  </w:r>
                  <w:r>
                    <w:rPr>
                      <w:rFonts w:hint="eastAsia" w:cs="Times New Roman"/>
                      <w:color w:val="auto"/>
                      <w:sz w:val="21"/>
                      <w:szCs w:val="21"/>
                      <w:u w:val="single" w:color="auto"/>
                      <w:lang w:val="en-US" w:eastAsia="zh-CN"/>
                    </w:rPr>
                    <w:t>3新桥村（新市街社区）</w:t>
                  </w:r>
                </w:p>
              </w:tc>
              <w:tc>
                <w:tcPr>
                  <w:tcW w:w="765" w:type="pct"/>
                  <w:vMerge w:val="restar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2023.05.24~05.30</w:t>
                  </w:r>
                </w:p>
              </w:tc>
              <w:tc>
                <w:tcPr>
                  <w:tcW w:w="70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TSP</w:t>
                  </w:r>
                </w:p>
              </w:tc>
              <w:tc>
                <w:tcPr>
                  <w:tcW w:w="524" w:type="pct"/>
                  <w:vMerge w:val="restar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mg/m</w:t>
                  </w:r>
                  <w:r>
                    <w:rPr>
                      <w:rFonts w:hint="default" w:ascii="Times New Roman" w:hAnsi="Times New Roman" w:eastAsia="宋体" w:cs="Times New Roman"/>
                      <w:color w:val="auto"/>
                      <w:sz w:val="21"/>
                      <w:szCs w:val="21"/>
                      <w:u w:val="single" w:color="auto"/>
                      <w:vertAlign w:val="superscript"/>
                    </w:rPr>
                    <w:t>3</w:t>
                  </w:r>
                </w:p>
              </w:tc>
              <w:tc>
                <w:tcPr>
                  <w:tcW w:w="707"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0.118~0.126</w:t>
                  </w:r>
                </w:p>
              </w:tc>
              <w:tc>
                <w:tcPr>
                  <w:tcW w:w="615" w:type="pct"/>
                  <w:vMerge w:val="restar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0.3</w:t>
                  </w:r>
                </w:p>
              </w:tc>
              <w:tc>
                <w:tcPr>
                  <w:tcW w:w="849"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G4桥墩村</w:t>
                  </w:r>
                </w:p>
              </w:tc>
              <w:tc>
                <w:tcPr>
                  <w:tcW w:w="765" w:type="pct"/>
                  <w:vMerge w:val="continue"/>
                  <w:tcBorders>
                    <w:tl2br w:val="nil"/>
                    <w:tr2bl w:val="nil"/>
                  </w:tcBorders>
                  <w:noWrap w:val="0"/>
                  <w:vAlign w:val="center"/>
                </w:tcPr>
                <w:p>
                  <w:pPr>
                    <w:pStyle w:val="280"/>
                    <w:rPr>
                      <w:rFonts w:hint="eastAsia" w:cs="Times New Roman"/>
                      <w:color w:val="auto"/>
                      <w:sz w:val="21"/>
                      <w:szCs w:val="21"/>
                      <w:u w:val="single" w:color="auto"/>
                      <w:lang w:val="en-US" w:eastAsia="zh-CN"/>
                    </w:rPr>
                  </w:pPr>
                </w:p>
              </w:tc>
              <w:tc>
                <w:tcPr>
                  <w:tcW w:w="709" w:type="pct"/>
                  <w:vMerge w:val="continue"/>
                  <w:tcBorders>
                    <w:tl2br w:val="nil"/>
                    <w:tr2bl w:val="nil"/>
                  </w:tcBorders>
                  <w:noWrap w:val="0"/>
                  <w:vAlign w:val="center"/>
                </w:tcPr>
                <w:p>
                  <w:pPr>
                    <w:jc w:val="center"/>
                    <w:rPr>
                      <w:rFonts w:hint="eastAsia" w:cs="Times New Roman"/>
                      <w:color w:val="auto"/>
                      <w:sz w:val="21"/>
                      <w:szCs w:val="21"/>
                      <w:u w:val="single" w:color="auto"/>
                      <w:lang w:val="en-US" w:eastAsia="zh-CN"/>
                    </w:rPr>
                  </w:pPr>
                </w:p>
              </w:tc>
              <w:tc>
                <w:tcPr>
                  <w:tcW w:w="524" w:type="pct"/>
                  <w:vMerge w:val="continue"/>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rPr>
                  </w:pPr>
                </w:p>
              </w:tc>
              <w:tc>
                <w:tcPr>
                  <w:tcW w:w="707" w:type="pct"/>
                  <w:tcBorders>
                    <w:tl2br w:val="nil"/>
                    <w:tr2bl w:val="nil"/>
                  </w:tcBorders>
                  <w:noWrap w:val="0"/>
                  <w:vAlign w:val="center"/>
                </w:tcPr>
                <w:p>
                  <w:pPr>
                    <w:pStyle w:val="280"/>
                    <w:rPr>
                      <w:rFonts w:hint="default" w:cs="Times New Roman"/>
                      <w:color w:val="auto"/>
                      <w:sz w:val="21"/>
                      <w:szCs w:val="21"/>
                      <w:u w:val="single" w:color="auto"/>
                      <w:lang w:val="en-US" w:eastAsia="zh-CN"/>
                    </w:rPr>
                  </w:pPr>
                  <w:r>
                    <w:rPr>
                      <w:rFonts w:hint="eastAsia" w:cs="Times New Roman"/>
                      <w:color w:val="auto"/>
                      <w:sz w:val="21"/>
                      <w:szCs w:val="21"/>
                      <w:u w:val="single" w:color="auto"/>
                      <w:lang w:val="en-US" w:eastAsia="zh-CN"/>
                    </w:rPr>
                    <w:t>0.102~0.120</w:t>
                  </w:r>
                </w:p>
              </w:tc>
              <w:tc>
                <w:tcPr>
                  <w:tcW w:w="615" w:type="pct"/>
                  <w:vMerge w:val="continue"/>
                  <w:tcBorders>
                    <w:tl2br w:val="nil"/>
                    <w:tr2bl w:val="nil"/>
                  </w:tcBorders>
                  <w:noWrap w:val="0"/>
                  <w:vAlign w:val="center"/>
                </w:tcPr>
                <w:p>
                  <w:pPr>
                    <w:pStyle w:val="280"/>
                    <w:rPr>
                      <w:rFonts w:hint="default" w:ascii="Times New Roman" w:hAnsi="Times New Roman" w:eastAsia="宋体" w:cs="Times New Roman"/>
                      <w:color w:val="auto"/>
                      <w:sz w:val="21"/>
                      <w:szCs w:val="21"/>
                      <w:u w:val="single" w:color="auto"/>
                      <w:lang w:val="en-US" w:eastAsia="zh-CN"/>
                    </w:rPr>
                  </w:pPr>
                </w:p>
              </w:tc>
              <w:tc>
                <w:tcPr>
                  <w:tcW w:w="849" w:type="pct"/>
                  <w:tcBorders>
                    <w:tl2br w:val="nil"/>
                    <w:tr2bl w:val="nil"/>
                  </w:tcBorders>
                  <w:noWrap w:val="0"/>
                  <w:vAlign w:val="center"/>
                </w:tcPr>
                <w:p>
                  <w:pPr>
                    <w:pStyle w:val="280"/>
                    <w:rPr>
                      <w:rFonts w:hint="eastAsia"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达标</w:t>
                  </w:r>
                </w:p>
              </w:tc>
            </w:tr>
          </w:tbl>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u w:val="none" w:color="auto"/>
              </w:rPr>
              <w:t>根据监测结果可知，</w:t>
            </w:r>
            <w:r>
              <w:rPr>
                <w:rFonts w:hint="default" w:ascii="Times New Roman" w:hAnsi="Times New Roman" w:eastAsia="宋体" w:cs="Times New Roman"/>
                <w:color w:val="auto"/>
                <w:sz w:val="24"/>
                <w:szCs w:val="24"/>
                <w:u w:val="none" w:color="auto"/>
                <w:lang w:val="en-US" w:eastAsia="zh-CN"/>
              </w:rPr>
              <w:t>项目区域所在地</w:t>
            </w:r>
            <w:r>
              <w:rPr>
                <w:rFonts w:hint="default" w:ascii="Times New Roman" w:hAnsi="Times New Roman" w:eastAsia="宋体" w:cs="Times New Roman"/>
                <w:color w:val="auto"/>
                <w:u w:val="none" w:color="auto"/>
              </w:rPr>
              <w:t>TSP</w:t>
            </w:r>
            <w:r>
              <w:rPr>
                <w:rFonts w:hint="default" w:ascii="Times New Roman" w:hAnsi="Times New Roman" w:eastAsia="宋体" w:cs="Times New Roman"/>
                <w:color w:val="auto"/>
                <w:u w:val="none" w:color="auto"/>
                <w:lang w:val="en-US" w:eastAsia="zh-CN"/>
              </w:rPr>
              <w:t>24h均值能</w:t>
            </w:r>
            <w:r>
              <w:rPr>
                <w:rFonts w:hint="default" w:ascii="Times New Roman" w:hAnsi="Times New Roman" w:eastAsia="宋体" w:cs="Times New Roman"/>
                <w:color w:val="auto"/>
                <w:u w:val="none" w:color="auto"/>
              </w:rPr>
              <w:t>满足《环境空气质量标准》（GB3095-2012）二级标准</w:t>
            </w:r>
            <w:r>
              <w:rPr>
                <w:rFonts w:hint="default" w:ascii="Times New Roman" w:hAnsi="Times New Roman" w:eastAsia="宋体" w:cs="Times New Roman"/>
                <w:color w:val="auto"/>
                <w:u w:val="none" w:color="auto"/>
                <w:lang w:val="en-US" w:eastAsia="zh-CN"/>
              </w:rPr>
              <w:t>要求</w:t>
            </w:r>
            <w:r>
              <w:rPr>
                <w:rFonts w:hint="default" w:ascii="Times New Roman" w:hAnsi="Times New Roman" w:eastAsia="宋体" w:cs="Times New Roman"/>
                <w:color w:val="auto"/>
                <w:sz w:val="24"/>
                <w:szCs w:val="24"/>
                <w:u w:val="none" w:color="auto"/>
              </w:rPr>
              <w:t>。</w:t>
            </w:r>
          </w:p>
          <w:p>
            <w:pPr>
              <w:spacing w:line="360" w:lineRule="auto"/>
              <w:ind w:firstLine="481" w:firstLineChars="20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二、地表水环境质量现状</w:t>
            </w:r>
          </w:p>
          <w:p>
            <w:pPr>
              <w:pStyle w:val="273"/>
              <w:spacing w:line="360" w:lineRule="auto"/>
              <w:ind w:firstLine="48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按照《建设项目环境影响报告表编制技术指南（污染影响类）（试行）》中的规定：“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highlight w:val="none"/>
                <w:u w:val="none" w:color="auto"/>
                <w:lang w:eastAsia="zh-CN"/>
              </w:rPr>
              <w:t>。</w:t>
            </w:r>
          </w:p>
          <w:p>
            <w:pPr>
              <w:pStyle w:val="273"/>
              <w:spacing w:line="360" w:lineRule="auto"/>
              <w:ind w:firstLine="480"/>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single" w:color="auto"/>
                <w:lang w:val="en-US" w:eastAsia="zh-CN"/>
              </w:rPr>
              <w:t>本项目位于</w:t>
            </w:r>
            <w:r>
              <w:rPr>
                <w:rFonts w:hint="default" w:ascii="Times New Roman" w:hAnsi="Times New Roman" w:eastAsia="宋体" w:cs="Times New Roman"/>
                <w:color w:val="auto"/>
                <w:kern w:val="0"/>
                <w:highlight w:val="none"/>
                <w:u w:val="single" w:color="auto"/>
                <w:lang w:eastAsia="zh-CN"/>
              </w:rPr>
              <w:t>湖南省岳阳市汨罗市湖南汨罗高新技术产业开发区新市片区中塑新材料公司内1</w:t>
            </w:r>
            <w:r>
              <w:rPr>
                <w:rFonts w:hint="eastAsia" w:cs="Times New Roman"/>
                <w:color w:val="auto"/>
                <w:kern w:val="0"/>
                <w:highlight w:val="none"/>
                <w:u w:val="single" w:color="auto"/>
                <w:lang w:val="en-US" w:eastAsia="zh-CN"/>
              </w:rPr>
              <w:t>4</w:t>
            </w:r>
            <w:r>
              <w:rPr>
                <w:rFonts w:hint="default" w:ascii="Times New Roman" w:hAnsi="Times New Roman" w:eastAsia="宋体" w:cs="Times New Roman"/>
                <w:color w:val="auto"/>
                <w:kern w:val="0"/>
                <w:highlight w:val="none"/>
                <w:u w:val="single" w:color="auto"/>
                <w:lang w:eastAsia="zh-CN"/>
              </w:rPr>
              <w:t>栋厂房</w:t>
            </w:r>
            <w:r>
              <w:rPr>
                <w:rFonts w:hint="eastAsia" w:cs="Times New Roman"/>
                <w:color w:val="auto"/>
                <w:kern w:val="0"/>
                <w:highlight w:val="none"/>
                <w:u w:val="single" w:color="auto"/>
                <w:lang w:eastAsia="zh-CN"/>
              </w:rPr>
              <w:t>，</w:t>
            </w:r>
            <w:r>
              <w:rPr>
                <w:rFonts w:hint="eastAsia" w:cs="Times New Roman"/>
                <w:color w:val="auto"/>
                <w:kern w:val="0"/>
                <w:highlight w:val="none"/>
                <w:u w:val="single" w:color="auto"/>
                <w:lang w:val="en-US" w:eastAsia="zh-CN"/>
              </w:rPr>
              <w:t>项目东侧130m的为湄江河（车队河）。为了了解本项目区域地表水环境质量，本次评价引用《汨罗高新技术产业开发区扩区规划环境影响报告书》中对湄江河的现状监测数据。</w:t>
            </w:r>
          </w:p>
          <w:p>
            <w:pPr>
              <w:pStyle w:val="27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color w:val="auto"/>
                <w:sz w:val="21"/>
                <w:szCs w:val="21"/>
                <w:u w:val="single" w:color="auto"/>
              </w:rPr>
              <w:t>表3-</w:t>
            </w:r>
            <w:r>
              <w:rPr>
                <w:rFonts w:hint="eastAsia" w:cs="Times New Roman"/>
                <w:b/>
                <w:color w:val="auto"/>
                <w:sz w:val="21"/>
                <w:szCs w:val="21"/>
                <w:u w:val="single" w:color="auto"/>
                <w:lang w:val="en-US" w:eastAsia="zh-CN"/>
              </w:rPr>
              <w:t>4 地表水</w:t>
            </w:r>
            <w:r>
              <w:rPr>
                <w:rFonts w:hint="default" w:ascii="Times New Roman" w:hAnsi="Times New Roman" w:eastAsia="宋体" w:cs="Times New Roman"/>
                <w:b/>
                <w:color w:val="auto"/>
                <w:sz w:val="21"/>
                <w:szCs w:val="21"/>
                <w:u w:val="single" w:color="auto"/>
              </w:rPr>
              <w:t>监测点位基本信息</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810"/>
              <w:gridCol w:w="1080"/>
              <w:gridCol w:w="3780"/>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Borders>
                    <w:top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监测点位</w:t>
                  </w:r>
                </w:p>
              </w:tc>
              <w:tc>
                <w:tcPr>
                  <w:tcW w:w="810" w:type="dxa"/>
                  <w:tcBorders>
                    <w:top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水体</w:t>
                  </w:r>
                </w:p>
              </w:tc>
              <w:tc>
                <w:tcPr>
                  <w:tcW w:w="1080" w:type="dxa"/>
                  <w:tcBorders>
                    <w:top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监测时间</w:t>
                  </w:r>
                </w:p>
              </w:tc>
              <w:tc>
                <w:tcPr>
                  <w:tcW w:w="3780" w:type="dxa"/>
                  <w:tcBorders>
                    <w:top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监测因子</w:t>
                  </w:r>
                </w:p>
              </w:tc>
              <w:tc>
                <w:tcPr>
                  <w:tcW w:w="1007" w:type="dxa"/>
                  <w:tcBorders>
                    <w:top w:val="single" w:color="auto" w:sz="12" w:space="0"/>
                    <w:right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eastAsia" w:cs="Times New Roman"/>
                      <w:color w:val="auto"/>
                      <w:sz w:val="21"/>
                      <w:szCs w:val="21"/>
                      <w:highlight w:val="none"/>
                      <w:u w:val="single" w:color="auto"/>
                      <w:vertAlign w:val="baseline"/>
                      <w:lang w:val="en-US" w:eastAsia="zh-CN"/>
                    </w:rPr>
                    <w:t>水功能区划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Borders>
                    <w:left w:val="single" w:color="auto" w:sz="4" w:space="0"/>
                    <w:bottom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W5园区规划区上游750m</w:t>
                  </w:r>
                </w:p>
              </w:tc>
              <w:tc>
                <w:tcPr>
                  <w:tcW w:w="810" w:type="dxa"/>
                  <w:tcBorders>
                    <w:bottom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湄江</w:t>
                  </w:r>
                </w:p>
              </w:tc>
              <w:tc>
                <w:tcPr>
                  <w:tcW w:w="1080" w:type="dxa"/>
                  <w:tcBorders>
                    <w:bottom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2023.5.24~26</w:t>
                  </w:r>
                </w:p>
              </w:tc>
              <w:tc>
                <w:tcPr>
                  <w:tcW w:w="3780" w:type="dxa"/>
                  <w:tcBorders>
                    <w:bottom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eastAsia" w:cs="Times New Roman"/>
                      <w:color w:val="auto"/>
                      <w:sz w:val="21"/>
                      <w:szCs w:val="21"/>
                      <w:highlight w:val="none"/>
                      <w:u w:val="single" w:color="auto"/>
                      <w:vertAlign w:val="baseline"/>
                      <w:lang w:val="en-US" w:eastAsia="zh-CN"/>
                    </w:rPr>
                    <w:t>pH、SS、溶解氧、高锰酸盐指数、COD</w:t>
                  </w:r>
                  <w:r>
                    <w:rPr>
                      <w:rFonts w:hint="eastAsia" w:cs="Times New Roman"/>
                      <w:color w:val="auto"/>
                      <w:sz w:val="21"/>
                      <w:szCs w:val="21"/>
                      <w:highlight w:val="none"/>
                      <w:u w:val="single" w:color="auto"/>
                      <w:vertAlign w:val="subscript"/>
                      <w:lang w:val="en-US" w:eastAsia="zh-CN"/>
                    </w:rPr>
                    <w:t>Cr</w:t>
                  </w:r>
                  <w:r>
                    <w:rPr>
                      <w:rFonts w:hint="eastAsia" w:cs="Times New Roman"/>
                      <w:color w:val="auto"/>
                      <w:sz w:val="21"/>
                      <w:szCs w:val="21"/>
                      <w:highlight w:val="none"/>
                      <w:u w:val="single" w:color="auto"/>
                      <w:vertAlign w:val="baseline"/>
                      <w:lang w:val="en-US" w:eastAsia="zh-CN"/>
                    </w:rPr>
                    <w:t>、BOD</w:t>
                  </w:r>
                  <w:r>
                    <w:rPr>
                      <w:rFonts w:hint="eastAsia" w:cs="Times New Roman"/>
                      <w:color w:val="auto"/>
                      <w:sz w:val="21"/>
                      <w:szCs w:val="21"/>
                      <w:highlight w:val="none"/>
                      <w:u w:val="single" w:color="auto"/>
                      <w:vertAlign w:val="subscript"/>
                      <w:lang w:val="en-US" w:eastAsia="zh-CN"/>
                    </w:rPr>
                    <w:t>5</w:t>
                  </w:r>
                  <w:r>
                    <w:rPr>
                      <w:rFonts w:hint="eastAsia" w:cs="Times New Roman"/>
                      <w:color w:val="auto"/>
                      <w:sz w:val="21"/>
                      <w:szCs w:val="21"/>
                      <w:highlight w:val="none"/>
                      <w:u w:val="single" w:color="auto"/>
                      <w:vertAlign w:val="baseline"/>
                      <w:lang w:val="en-US" w:eastAsia="zh-CN"/>
                    </w:rPr>
                    <w:t>、NH</w:t>
                  </w:r>
                  <w:r>
                    <w:rPr>
                      <w:rFonts w:hint="eastAsia" w:cs="Times New Roman"/>
                      <w:color w:val="auto"/>
                      <w:sz w:val="21"/>
                      <w:szCs w:val="21"/>
                      <w:highlight w:val="none"/>
                      <w:u w:val="single" w:color="auto"/>
                      <w:vertAlign w:val="subscript"/>
                      <w:lang w:val="en-US" w:eastAsia="zh-CN"/>
                    </w:rPr>
                    <w:t>3</w:t>
                  </w:r>
                  <w:r>
                    <w:rPr>
                      <w:rFonts w:hint="eastAsia" w:cs="Times New Roman"/>
                      <w:color w:val="auto"/>
                      <w:sz w:val="21"/>
                      <w:szCs w:val="21"/>
                      <w:highlight w:val="none"/>
                      <w:u w:val="single" w:color="auto"/>
                      <w:vertAlign w:val="baseline"/>
                      <w:lang w:val="en-US" w:eastAsia="zh-CN"/>
                    </w:rPr>
                    <w:t>-N、总磷、总氮、总铜、总锌、挥发酚、石油类、氟化物、氰化物、铅、镉、汞、砷、六价铬、镍、钴、锰、锑、铊、粪大肠菌群、硫化物。</w:t>
                  </w:r>
                </w:p>
              </w:tc>
              <w:tc>
                <w:tcPr>
                  <w:tcW w:w="1007" w:type="dxa"/>
                  <w:tcBorders>
                    <w:bottom w:val="single" w:color="auto" w:sz="12" w:space="0"/>
                    <w:right w:val="single" w:color="auto" w:sz="12" w:space="0"/>
                  </w:tcBorders>
                  <w:vAlign w:val="center"/>
                </w:tcPr>
                <w:p>
                  <w:pPr>
                    <w:pStyle w:val="27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rPr>
                    <w:t>III</w:t>
                  </w:r>
                </w:p>
              </w:tc>
            </w:tr>
          </w:tbl>
          <w:p>
            <w:pPr>
              <w:wordWrap w:val="0"/>
              <w:spacing w:line="240" w:lineRule="auto"/>
              <w:ind w:firstLine="422"/>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表3-</w:t>
            </w:r>
            <w:r>
              <w:rPr>
                <w:rFonts w:hint="eastAsia" w:cs="Times New Roman"/>
                <w:b/>
                <w:color w:val="auto"/>
                <w:sz w:val="21"/>
                <w:szCs w:val="21"/>
                <w:highlight w:val="none"/>
                <w:u w:val="single" w:color="auto"/>
                <w:lang w:val="en-US" w:eastAsia="zh-CN"/>
              </w:rPr>
              <w:t>5</w:t>
            </w:r>
            <w:r>
              <w:rPr>
                <w:rFonts w:hint="default" w:ascii="Times New Roman" w:hAnsi="Times New Roman" w:eastAsia="宋体" w:cs="Times New Roman"/>
                <w:b/>
                <w:color w:val="auto"/>
                <w:sz w:val="21"/>
                <w:szCs w:val="21"/>
                <w:highlight w:val="none"/>
                <w:u w:val="single" w:color="auto"/>
              </w:rPr>
              <w:t xml:space="preserve">  </w:t>
            </w:r>
            <w:r>
              <w:rPr>
                <w:rFonts w:hint="default" w:ascii="Times New Roman" w:hAnsi="Times New Roman" w:eastAsia="宋体" w:cs="Times New Roman"/>
                <w:b/>
                <w:color w:val="auto"/>
                <w:sz w:val="21"/>
                <w:szCs w:val="21"/>
                <w:highlight w:val="none"/>
                <w:u w:val="single" w:color="auto"/>
                <w:lang w:val="en-US" w:eastAsia="zh-CN"/>
              </w:rPr>
              <w:t>湄江河</w:t>
            </w:r>
            <w:r>
              <w:rPr>
                <w:rFonts w:hint="default" w:ascii="Times New Roman" w:hAnsi="Times New Roman" w:eastAsia="宋体" w:cs="Times New Roman"/>
                <w:b/>
                <w:color w:val="auto"/>
                <w:sz w:val="21"/>
                <w:szCs w:val="21"/>
                <w:highlight w:val="none"/>
                <w:u w:val="single" w:color="auto"/>
              </w:rPr>
              <w:t>环境质量现状监测结果（单位：mg/</w:t>
            </w:r>
            <w:r>
              <w:rPr>
                <w:rFonts w:hint="eastAsia" w:cs="Times New Roman"/>
                <w:b/>
                <w:color w:val="auto"/>
                <w:sz w:val="21"/>
                <w:szCs w:val="21"/>
                <w:highlight w:val="none"/>
                <w:u w:val="single" w:color="auto"/>
                <w:lang w:val="en-US" w:eastAsia="zh-CN"/>
              </w:rPr>
              <w:t>L</w:t>
            </w:r>
            <w:r>
              <w:rPr>
                <w:rFonts w:hint="default" w:ascii="Times New Roman" w:hAnsi="Times New Roman" w:eastAsia="宋体" w:cs="Times New Roman"/>
                <w:b/>
                <w:color w:val="auto"/>
                <w:sz w:val="21"/>
                <w:szCs w:val="21"/>
                <w:highlight w:val="none"/>
                <w:u w:val="single" w:color="auto"/>
              </w:rPr>
              <w:t>）</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175"/>
              <w:gridCol w:w="1635"/>
              <w:gridCol w:w="1575"/>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tcBorders>
                    <w:top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监测点位</w:t>
                  </w:r>
                </w:p>
              </w:tc>
              <w:tc>
                <w:tcPr>
                  <w:tcW w:w="2175" w:type="dxa"/>
                  <w:tcBorders>
                    <w:top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监测项目</w:t>
                  </w:r>
                </w:p>
              </w:tc>
              <w:tc>
                <w:tcPr>
                  <w:tcW w:w="1635" w:type="dxa"/>
                  <w:tcBorders>
                    <w:top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检测结果</w:t>
                  </w:r>
                </w:p>
              </w:tc>
              <w:tc>
                <w:tcPr>
                  <w:tcW w:w="1575" w:type="dxa"/>
                  <w:tcBorders>
                    <w:top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标准限值</w:t>
                  </w:r>
                </w:p>
              </w:tc>
              <w:tc>
                <w:tcPr>
                  <w:tcW w:w="1442" w:type="dxa"/>
                  <w:tcBorders>
                    <w:top w:val="single" w:color="auto" w:sz="12" w:space="0"/>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restart"/>
                  <w:tcBorders>
                    <w:left w:val="single" w:color="auto" w:sz="4" w:space="0"/>
                  </w:tcBorders>
                  <w:vAlign w:val="center"/>
                </w:tcPr>
                <w:p>
                  <w:pPr>
                    <w:pStyle w:val="28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湄江河（车对河）</w:t>
                  </w:r>
                </w:p>
                <w:p>
                  <w:pPr>
                    <w:pStyle w:val="28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113</w:t>
                  </w:r>
                  <w:r>
                    <w:rPr>
                      <w:rFonts w:hint="eastAsia" w:cs="Times New Roman"/>
                      <w:color w:val="auto"/>
                      <w:sz w:val="21"/>
                      <w:szCs w:val="21"/>
                      <w:highlight w:val="none"/>
                      <w:u w:val="single" w:color="auto"/>
                      <w:lang w:val="en-US" w:eastAsia="zh-CN"/>
                    </w:rPr>
                    <w:t>.187231</w:t>
                  </w:r>
                  <w:r>
                    <w:rPr>
                      <w:rFonts w:hint="default" w:ascii="Times New Roman" w:hAnsi="Times New Roman" w:eastAsia="宋体" w:cs="Times New Roman"/>
                      <w:color w:val="auto"/>
                      <w:sz w:val="21"/>
                      <w:szCs w:val="21"/>
                      <w:highlight w:val="none"/>
                      <w:u w:val="single" w:color="auto"/>
                      <w:lang w:val="en-US" w:eastAsia="zh-CN"/>
                    </w:rPr>
                    <w:t>°E</w:t>
                  </w:r>
                </w:p>
                <w:p>
                  <w:pPr>
                    <w:pStyle w:val="28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28</w:t>
                  </w:r>
                  <w:r>
                    <w:rPr>
                      <w:rFonts w:hint="eastAsia" w:cs="Times New Roman"/>
                      <w:color w:val="auto"/>
                      <w:sz w:val="21"/>
                      <w:szCs w:val="21"/>
                      <w:highlight w:val="none"/>
                      <w:u w:val="single" w:color="auto"/>
                      <w:lang w:val="en-US" w:eastAsia="zh-CN"/>
                    </w:rPr>
                    <w:t>.739571</w:t>
                  </w:r>
                  <w:r>
                    <w:rPr>
                      <w:rFonts w:hint="default" w:ascii="Times New Roman" w:hAnsi="Times New Roman" w:eastAsia="宋体" w:cs="Times New Roman"/>
                      <w:color w:val="auto"/>
                      <w:sz w:val="21"/>
                      <w:szCs w:val="21"/>
                      <w:highlight w:val="none"/>
                      <w:u w:val="single" w:color="auto"/>
                      <w:lang w:val="en-US" w:eastAsia="zh-CN"/>
                    </w:rPr>
                    <w:t>°″N</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水温（℃）</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27.1~28.3</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default" w:ascii="Times New Roman" w:hAnsi="Times New Roman" w:eastAsia="宋体" w:cs="Times New Roman"/>
                      <w:color w:val="auto"/>
                      <w:sz w:val="21"/>
                      <w:szCs w:val="21"/>
                      <w:highlight w:val="none"/>
                      <w:u w:val="single" w:color="auto"/>
                      <w:lang w:val="en-US" w:eastAsia="zh-CN"/>
                    </w:rPr>
                    <w:t>pH</w:t>
                  </w:r>
                  <w:r>
                    <w:rPr>
                      <w:rFonts w:hint="eastAsia" w:cs="Times New Roman"/>
                      <w:color w:val="auto"/>
                      <w:sz w:val="21"/>
                      <w:szCs w:val="21"/>
                      <w:highlight w:val="none"/>
                      <w:u w:val="single" w:color="auto"/>
                      <w:lang w:val="en-US" w:eastAsia="zh-CN"/>
                    </w:rPr>
                    <w:t>（无量纲）</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7.1~7.3</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6~9</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SS</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23~24</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DO</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7.2~7.4</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高锰酸盐指数</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1.4~1.5</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≤6</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COD</w:t>
                  </w:r>
                  <w:r>
                    <w:rPr>
                      <w:rFonts w:hint="eastAsia" w:cs="Times New Roman"/>
                      <w:b w:val="0"/>
                      <w:bCs/>
                      <w:color w:val="auto"/>
                      <w:sz w:val="21"/>
                      <w:szCs w:val="21"/>
                      <w:highlight w:val="none"/>
                      <w:u w:val="single" w:color="auto"/>
                      <w:vertAlign w:val="subscript"/>
                      <w:lang w:val="en-US" w:eastAsia="zh-CN"/>
                    </w:rPr>
                    <w:t>cr</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14~15</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≤20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BOD</w:t>
                  </w:r>
                  <w:r>
                    <w:rPr>
                      <w:rFonts w:hint="eastAsia" w:cs="Times New Roman"/>
                      <w:b w:val="0"/>
                      <w:bCs/>
                      <w:color w:val="auto"/>
                      <w:sz w:val="21"/>
                      <w:szCs w:val="21"/>
                      <w:highlight w:val="none"/>
                      <w:u w:val="single" w:color="auto"/>
                      <w:vertAlign w:val="subscript"/>
                      <w:lang w:val="en-US" w:eastAsia="zh-CN"/>
                    </w:rPr>
                    <w:t>5</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3.0~3.2</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≤4</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lang w:val="en-US" w:eastAsia="zh-CN"/>
                    </w:rPr>
                    <w:t>氨氮</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0.477~0.490</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lang w:val="en-US" w:eastAsia="zh-CN"/>
                    </w:rPr>
                    <w:t>总磷</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0.16~0.17</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≤0.2</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总氮</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0.62~0.66</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铜</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0.05L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锌</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0.05L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挥发酚</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0.0003L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石油类</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0.03~0.03</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氟化物</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0.271~0.76</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氰化物</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0.004L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≤0.2</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铅</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0.001L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镉</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0.0001L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汞</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0.00004L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≤0.0001</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砷</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0.0003L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六价铬</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0.004L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镍</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0.005L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≤0.02</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钴</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0.002L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锰</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0.01L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≤0.1</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锑</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0.0002L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≤0.005</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铊</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0.00003L</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≤0.0001</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Merge w:val="continue"/>
                  <w:tcBorders>
                    <w:lef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粪大肠菌群（MPN/L）</w:t>
                  </w:r>
                </w:p>
              </w:tc>
              <w:tc>
                <w:tcPr>
                  <w:tcW w:w="16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700~850</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≤10000</w:t>
                  </w:r>
                </w:p>
              </w:tc>
              <w:tc>
                <w:tcPr>
                  <w:tcW w:w="1442" w:type="dxa"/>
                  <w:tcBorders>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dxa"/>
                  <w:vMerge w:val="continue"/>
                  <w:tcBorders>
                    <w:left w:val="single" w:color="auto" w:sz="4" w:space="0"/>
                    <w:bottom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p>
              </w:tc>
              <w:tc>
                <w:tcPr>
                  <w:tcW w:w="2175" w:type="dxa"/>
                  <w:tcBorders>
                    <w:bottom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硫化物</w:t>
                  </w:r>
                </w:p>
              </w:tc>
              <w:tc>
                <w:tcPr>
                  <w:tcW w:w="1635" w:type="dxa"/>
                  <w:tcBorders>
                    <w:bottom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eastAsia="zh-CN"/>
                    </w:rPr>
                  </w:pPr>
                  <w:r>
                    <w:rPr>
                      <w:rFonts w:hint="eastAsia" w:cs="Times New Roman"/>
                      <w:b w:val="0"/>
                      <w:bCs/>
                      <w:color w:val="auto"/>
                      <w:sz w:val="21"/>
                      <w:szCs w:val="21"/>
                      <w:highlight w:val="none"/>
                      <w:u w:val="single" w:color="auto"/>
                      <w:vertAlign w:val="baseline"/>
                      <w:lang w:val="en-US" w:eastAsia="zh-CN"/>
                    </w:rPr>
                    <w:t>0.01L</w:t>
                  </w:r>
                </w:p>
              </w:tc>
              <w:tc>
                <w:tcPr>
                  <w:tcW w:w="1575" w:type="dxa"/>
                  <w:tcBorders>
                    <w:bottom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lang w:val="en-US"/>
                    </w:rPr>
                  </w:pPr>
                  <w:r>
                    <w:rPr>
                      <w:rFonts w:hint="eastAsia" w:cs="Times New Roman"/>
                      <w:b w:val="0"/>
                      <w:bCs/>
                      <w:color w:val="auto"/>
                      <w:sz w:val="21"/>
                      <w:szCs w:val="21"/>
                      <w:highlight w:val="none"/>
                      <w:u w:val="single" w:color="auto"/>
                      <w:vertAlign w:val="baseline"/>
                      <w:lang w:val="en-US" w:eastAsia="zh-CN"/>
                    </w:rPr>
                    <w:t>≤0.2</w:t>
                  </w:r>
                </w:p>
              </w:tc>
              <w:tc>
                <w:tcPr>
                  <w:tcW w:w="1442" w:type="dxa"/>
                  <w:tcBorders>
                    <w:bottom w:val="single" w:color="auto" w:sz="12" w:space="0"/>
                    <w:right w:val="single" w:color="auto" w:sz="1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u w:val="single" w:color="auto"/>
                      <w:vertAlign w:val="baseline"/>
                    </w:rPr>
                  </w:pPr>
                  <w:r>
                    <w:rPr>
                      <w:rFonts w:hint="eastAsia" w:cs="Times New Roman"/>
                      <w:b w:val="0"/>
                      <w:bCs/>
                      <w:color w:val="auto"/>
                      <w:sz w:val="21"/>
                      <w:szCs w:val="21"/>
                      <w:highlight w:val="none"/>
                      <w:u w:val="single" w:color="auto"/>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val="0"/>
                <w:bCs w:val="0"/>
                <w:color w:val="auto"/>
                <w:highlight w:val="none"/>
                <w:u w:val="single" w:color="auto"/>
                <w:lang w:val="en-US" w:eastAsia="zh-CN"/>
              </w:rPr>
            </w:pPr>
            <w:r>
              <w:rPr>
                <w:rFonts w:hint="default" w:ascii="Times New Roman" w:hAnsi="Times New Roman" w:eastAsia="宋体" w:cs="Times New Roman"/>
                <w:b w:val="0"/>
                <w:bCs w:val="0"/>
                <w:color w:val="auto"/>
                <w:highlight w:val="none"/>
                <w:u w:val="single" w:color="auto"/>
                <w:lang w:val="en-US" w:eastAsia="zh-CN"/>
              </w:rPr>
              <w:t>监测结果表明，湄江河地表水环境质量符合</w:t>
            </w:r>
            <w:r>
              <w:rPr>
                <w:rFonts w:hint="default" w:ascii="Times New Roman" w:hAnsi="Times New Roman" w:eastAsia="宋体" w:cs="Times New Roman"/>
                <w:b w:val="0"/>
                <w:bCs w:val="0"/>
                <w:color w:val="auto"/>
                <w:sz w:val="24"/>
                <w:highlight w:val="none"/>
                <w:u w:val="single" w:color="auto"/>
              </w:rPr>
              <w:t>《地表水环境质量标准》（GB3838-2002）表1中III类水质标准</w:t>
            </w:r>
            <w:r>
              <w:rPr>
                <w:rFonts w:hint="default" w:ascii="Times New Roman" w:hAnsi="Times New Roman" w:eastAsia="宋体" w:cs="Times New Roman"/>
                <w:b w:val="0"/>
                <w:bCs w:val="0"/>
                <w:color w:val="auto"/>
                <w:sz w:val="24"/>
                <w:highlight w:val="none"/>
                <w:u w:val="single" w:color="auto"/>
                <w:lang w:val="en-US" w:eastAsia="zh-CN"/>
              </w:rPr>
              <w:t>要求。</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三、</w:t>
            </w:r>
            <w:r>
              <w:rPr>
                <w:rFonts w:hint="default" w:ascii="Times New Roman" w:hAnsi="Times New Roman" w:eastAsia="宋体" w:cs="Times New Roman"/>
                <w:b/>
                <w:bCs/>
                <w:color w:val="auto"/>
                <w:highlight w:val="none"/>
                <w:u w:val="none" w:color="auto"/>
              </w:rPr>
              <w:t>声环境</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highlight w:val="none"/>
                <w:u w:val="none" w:color="auto"/>
              </w:rPr>
              <w:t>根据《建设项目环境影响报告表编制技术指南（污染影响类）（试行）》规定：</w:t>
            </w:r>
            <w:r>
              <w:rPr>
                <w:rFonts w:hint="default" w:ascii="Times New Roman" w:hAnsi="Times New Roman" w:eastAsia="宋体" w:cs="Times New Roman"/>
                <w:color w:val="auto"/>
                <w:sz w:val="24"/>
                <w:highlight w:val="none"/>
                <w:u w:val="none" w:color="auto"/>
                <w:lang w:bidi="ar"/>
              </w:rPr>
              <w:t>厂界外周边 50 米范围内存在声环境保护目标的建设项目，应监测保护目标声环境质量现状并评价达标情况。各点位应监测昼夜间噪声，监测时间不少于 1 天，项目夜间不生产则仅监测昼间噪声。</w:t>
            </w:r>
            <w:r>
              <w:rPr>
                <w:rFonts w:hint="default" w:ascii="Times New Roman" w:hAnsi="Times New Roman" w:eastAsia="宋体" w:cs="Times New Roman"/>
                <w:bCs/>
                <w:color w:val="auto"/>
                <w:sz w:val="24"/>
                <w:szCs w:val="22"/>
                <w:highlight w:val="none"/>
                <w:u w:val="none" w:color="auto"/>
              </w:rPr>
              <w:t>本项目厂界外周边50米范围内不存在声环境保护目标，</w:t>
            </w:r>
            <w:r>
              <w:rPr>
                <w:rFonts w:hint="default" w:ascii="Times New Roman" w:hAnsi="Times New Roman" w:eastAsia="宋体" w:cs="Times New Roman"/>
                <w:bCs/>
                <w:color w:val="auto"/>
                <w:sz w:val="24"/>
                <w:szCs w:val="22"/>
                <w:highlight w:val="none"/>
                <w:u w:val="none" w:color="auto"/>
                <w:lang w:val="en-US" w:eastAsia="zh-CN"/>
              </w:rPr>
              <w:t>因此</w:t>
            </w:r>
            <w:r>
              <w:rPr>
                <w:rFonts w:hint="default" w:ascii="Times New Roman" w:hAnsi="Times New Roman" w:eastAsia="宋体" w:cs="Times New Roman"/>
                <w:bCs/>
                <w:color w:val="auto"/>
                <w:sz w:val="24"/>
                <w:szCs w:val="22"/>
                <w:highlight w:val="none"/>
                <w:u w:val="none" w:color="auto"/>
              </w:rPr>
              <w:t>无需监测保护目标声环境质量现状并评价达标情况。</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四、</w:t>
            </w:r>
            <w:r>
              <w:rPr>
                <w:rFonts w:hint="default" w:ascii="Times New Roman" w:hAnsi="Times New Roman" w:eastAsia="宋体" w:cs="Times New Roman"/>
                <w:b/>
                <w:bCs/>
                <w:color w:val="auto"/>
                <w:highlight w:val="none"/>
                <w:u w:val="none" w:color="auto"/>
              </w:rPr>
              <w:t>生态环境</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highlight w:val="none"/>
                <w:u w:val="none" w:color="auto"/>
              </w:rPr>
              <w:t>根据《建设项目环境影响报告表编制技术指南（污染影响类）（试行）》规定：</w:t>
            </w:r>
            <w:r>
              <w:rPr>
                <w:rFonts w:hint="default" w:ascii="Times New Roman" w:hAnsi="Times New Roman" w:eastAsia="宋体" w:cs="Times New Roman"/>
                <w:color w:val="auto"/>
                <w:highlight w:val="none"/>
                <w:u w:val="none" w:color="auto"/>
              </w:rPr>
              <w:t>产业园区外建设项目新增用地且用地范围内含有生态环境保护目标时，应进行生态现状调查。</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本项目位于</w:t>
            </w:r>
            <w:r>
              <w:rPr>
                <w:rFonts w:hint="default" w:ascii="Times New Roman" w:hAnsi="Times New Roman" w:eastAsia="宋体" w:cs="Times New Roman"/>
                <w:color w:val="auto"/>
                <w:highlight w:val="none"/>
                <w:u w:val="none" w:color="auto"/>
                <w:lang w:eastAsia="zh-CN"/>
              </w:rPr>
              <w:t>湖南省岳阳市汨罗市湖南汨罗高新技术产业开发区新市片区中塑新材料公司内1</w:t>
            </w:r>
            <w:r>
              <w:rPr>
                <w:rFonts w:hint="eastAsia"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lang w:eastAsia="zh-CN"/>
              </w:rPr>
              <w:t>栋厂房，</w:t>
            </w:r>
            <w:r>
              <w:rPr>
                <w:rFonts w:hint="default" w:ascii="Times New Roman" w:hAnsi="Times New Roman" w:eastAsia="宋体" w:cs="Times New Roman"/>
                <w:color w:val="auto"/>
                <w:highlight w:val="none"/>
                <w:u w:val="none" w:color="auto"/>
                <w:lang w:val="en-US" w:eastAsia="zh-CN"/>
              </w:rPr>
              <w:t>属于</w:t>
            </w:r>
            <w:r>
              <w:rPr>
                <w:rFonts w:hint="default" w:ascii="Times New Roman" w:hAnsi="Times New Roman" w:eastAsia="宋体" w:cs="Times New Roman"/>
                <w:color w:val="auto"/>
                <w:highlight w:val="none"/>
                <w:u w:val="none" w:color="auto"/>
              </w:rPr>
              <w:t>汨罗高新技术产业开发区，</w:t>
            </w:r>
            <w:r>
              <w:rPr>
                <w:rFonts w:hint="default" w:ascii="Times New Roman" w:hAnsi="Times New Roman" w:eastAsia="宋体" w:cs="Times New Roman"/>
                <w:color w:val="auto"/>
                <w:highlight w:val="none"/>
                <w:u w:val="none" w:color="auto"/>
                <w:lang w:val="en-US" w:eastAsia="zh-CN"/>
              </w:rPr>
              <w:t>租赁现有厂房进行建设，</w:t>
            </w:r>
            <w:r>
              <w:rPr>
                <w:rFonts w:hint="default" w:ascii="Times New Roman" w:hAnsi="Times New Roman" w:eastAsia="宋体" w:cs="Times New Roman"/>
                <w:color w:val="auto"/>
                <w:highlight w:val="none"/>
                <w:u w:val="none" w:color="auto"/>
              </w:rPr>
              <w:t>不新增土地，</w:t>
            </w:r>
            <w:r>
              <w:rPr>
                <w:rFonts w:hint="default" w:ascii="Times New Roman" w:hAnsi="Times New Roman" w:eastAsia="宋体" w:cs="Times New Roman"/>
                <w:color w:val="auto"/>
                <w:highlight w:val="none"/>
                <w:u w:val="none" w:color="auto"/>
                <w:lang w:val="en-US" w:eastAsia="zh-CN"/>
              </w:rPr>
              <w:t>项目区域周边主要为工业企业，</w:t>
            </w:r>
            <w:r>
              <w:rPr>
                <w:rFonts w:hint="default" w:ascii="Times New Roman" w:hAnsi="Times New Roman" w:eastAsia="宋体" w:cs="Times New Roman"/>
                <w:color w:val="auto"/>
                <w:highlight w:val="none"/>
                <w:u w:val="none" w:color="auto"/>
              </w:rPr>
              <w:t>区域内及周边主要植被为人工绿化树种，在工程区内无珍稀野生动植物存在，生态环境一般。</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五</w:t>
            </w:r>
            <w:r>
              <w:rPr>
                <w:rFonts w:hint="default" w:ascii="Times New Roman" w:hAnsi="Times New Roman" w:eastAsia="宋体" w:cs="Times New Roman"/>
                <w:b/>
                <w:bCs/>
                <w:color w:val="auto"/>
                <w:highlight w:val="none"/>
                <w:u w:val="none" w:color="auto"/>
              </w:rPr>
              <w:t>、地下水、土壤环境</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Cs/>
                <w:color w:val="auto"/>
                <w:highlight w:val="none"/>
                <w:u w:val="none" w:color="auto"/>
              </w:rPr>
            </w:pPr>
            <w:r>
              <w:rPr>
                <w:rFonts w:hint="default" w:ascii="Times New Roman" w:hAnsi="Times New Roman" w:eastAsia="宋体" w:cs="Times New Roman"/>
                <w:bCs/>
                <w:color w:val="auto"/>
                <w:highlight w:val="none"/>
                <w:u w:val="none" w:color="auto"/>
              </w:rPr>
              <w:t>根据《建设项目环境影响报告表编制技术指南（污染影响类）（试行）》中具体编制要求“原则上不开展环境质量现状调查。建设项目存在地下水、土壤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本项目位于</w:t>
            </w:r>
            <w:r>
              <w:rPr>
                <w:rFonts w:hint="default" w:ascii="Times New Roman" w:hAnsi="Times New Roman" w:eastAsia="宋体" w:cs="Times New Roman"/>
                <w:color w:val="auto"/>
                <w:highlight w:val="none"/>
                <w:u w:val="none" w:color="auto"/>
              </w:rPr>
              <w:t>汨罗高新技术产业开发区</w:t>
            </w:r>
            <w:r>
              <w:rPr>
                <w:rFonts w:hint="default" w:ascii="Times New Roman" w:hAnsi="Times New Roman" w:eastAsia="宋体" w:cs="Times New Roman"/>
                <w:color w:val="auto"/>
                <w:sz w:val="24"/>
                <w:szCs w:val="24"/>
                <w:highlight w:val="none"/>
                <w:u w:val="none" w:color="auto"/>
                <w:lang w:val="en-US" w:eastAsia="zh-CN"/>
              </w:rPr>
              <w:t>，租赁现有厂房进行建设，土地性质为工业用地，本项目厂房地面均已进行硬化处理，隔断了地下水、</w:t>
            </w:r>
            <w:r>
              <w:rPr>
                <w:rFonts w:hint="default" w:ascii="Times New Roman" w:hAnsi="Times New Roman" w:eastAsia="宋体" w:cs="Times New Roman"/>
                <w:color w:val="auto"/>
                <w:sz w:val="24"/>
                <w:szCs w:val="24"/>
                <w:highlight w:val="none"/>
                <w:u w:val="none" w:color="auto"/>
              </w:rPr>
              <w:t>土壤污染途径。</w:t>
            </w:r>
            <w:r>
              <w:rPr>
                <w:rFonts w:hint="default" w:ascii="Times New Roman" w:hAnsi="Times New Roman" w:eastAsia="宋体" w:cs="Times New Roman"/>
                <w:color w:val="auto"/>
                <w:sz w:val="24"/>
                <w:szCs w:val="24"/>
                <w:highlight w:val="none"/>
                <w:u w:val="none" w:color="auto"/>
                <w:lang w:val="en-US" w:eastAsia="zh-CN"/>
              </w:rPr>
              <w:t>故本项目可</w:t>
            </w:r>
            <w:r>
              <w:rPr>
                <w:rFonts w:hint="default" w:ascii="Times New Roman" w:hAnsi="Times New Roman" w:eastAsia="宋体" w:cs="Times New Roman"/>
                <w:color w:val="auto"/>
                <w:sz w:val="24"/>
                <w:szCs w:val="24"/>
                <w:highlight w:val="none"/>
                <w:u w:val="none" w:color="auto"/>
              </w:rPr>
              <w:t>不开展</w:t>
            </w:r>
            <w:r>
              <w:rPr>
                <w:rFonts w:hint="default" w:ascii="Times New Roman" w:hAnsi="Times New Roman" w:eastAsia="宋体" w:cs="Times New Roman"/>
                <w:color w:val="auto"/>
                <w:sz w:val="24"/>
                <w:szCs w:val="24"/>
                <w:highlight w:val="none"/>
                <w:u w:val="none" w:color="auto"/>
                <w:lang w:val="en-US" w:eastAsia="zh-CN"/>
              </w:rPr>
              <w:t>地下水、</w:t>
            </w:r>
            <w:r>
              <w:rPr>
                <w:rFonts w:hint="default" w:ascii="Times New Roman" w:hAnsi="Times New Roman" w:eastAsia="宋体" w:cs="Times New Roman"/>
                <w:color w:val="auto"/>
                <w:sz w:val="24"/>
                <w:szCs w:val="24"/>
                <w:highlight w:val="none"/>
                <w:u w:val="none" w:color="auto"/>
              </w:rPr>
              <w:t>土壤环境现状调查。</w:t>
            </w:r>
          </w:p>
          <w:p>
            <w:pPr>
              <w:pStyle w:val="126"/>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lang w:val="en-US" w:eastAsia="zh-CN"/>
              </w:rPr>
              <w:t>六</w:t>
            </w:r>
            <w:r>
              <w:rPr>
                <w:rFonts w:hint="default" w:ascii="Times New Roman" w:hAnsi="Times New Roman" w:eastAsia="宋体" w:cs="Times New Roman"/>
                <w:b/>
                <w:color w:val="auto"/>
                <w:highlight w:val="none"/>
                <w:u w:val="none" w:color="auto"/>
              </w:rPr>
              <w:t>、电磁辐射</w:t>
            </w:r>
          </w:p>
          <w:p>
            <w:pPr>
              <w:pStyle w:val="126"/>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本项目为</w:t>
            </w:r>
            <w:r>
              <w:rPr>
                <w:rFonts w:hint="eastAsia" w:cs="Times New Roman"/>
                <w:color w:val="auto"/>
                <w:highlight w:val="none"/>
                <w:u w:val="none" w:color="auto"/>
                <w:lang w:val="en-US" w:eastAsia="zh-CN"/>
              </w:rPr>
              <w:t>塑料破碎清洗项目</w:t>
            </w:r>
            <w:r>
              <w:rPr>
                <w:rFonts w:hint="default" w:ascii="Times New Roman" w:hAnsi="Times New Roman" w:eastAsia="宋体" w:cs="Times New Roman"/>
                <w:color w:val="auto"/>
                <w:highlight w:val="none"/>
                <w:u w:val="none" w:color="auto"/>
              </w:rPr>
              <w:t>，不涉及电磁辐射。</w:t>
            </w:r>
          </w:p>
          <w:p>
            <w:pPr>
              <w:spacing w:line="500" w:lineRule="exact"/>
              <w:ind w:firstLine="480" w:firstLineChars="200"/>
              <w:rPr>
                <w:rFonts w:hint="default" w:ascii="Times New Roman" w:hAnsi="Times New Roman" w:eastAsia="宋体" w:cs="Times New Roman"/>
                <w:color w:val="auto"/>
                <w:sz w:val="24"/>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444" w:type="pct"/>
            <w:vAlign w:val="center"/>
          </w:tcPr>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环境</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保护</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目标</w:t>
            </w:r>
          </w:p>
        </w:tc>
        <w:tc>
          <w:tcPr>
            <w:tcW w:w="4555" w:type="pct"/>
            <w:vAlign w:val="center"/>
          </w:tcPr>
          <w:p>
            <w:pPr>
              <w:pStyle w:val="279"/>
              <w:numPr>
                <w:ilvl w:val="0"/>
                <w:numId w:val="0"/>
              </w:num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本项目位于汨罗高新技术产业开发区，</w:t>
            </w:r>
            <w:r>
              <w:rPr>
                <w:rFonts w:hint="default" w:ascii="Times New Roman" w:hAnsi="Times New Roman" w:eastAsia="宋体" w:cs="Times New Roman"/>
                <w:color w:val="auto"/>
                <w:highlight w:val="none"/>
                <w:u w:val="none" w:color="auto"/>
                <w:lang w:val="en-US" w:eastAsia="zh-CN"/>
              </w:rPr>
              <w:t>租赁现有厂房进行建设</w:t>
            </w:r>
            <w:r>
              <w:rPr>
                <w:rFonts w:hint="default" w:ascii="Times New Roman" w:hAnsi="Times New Roman" w:eastAsia="宋体" w:cs="Times New Roman"/>
                <w:color w:val="auto"/>
                <w:highlight w:val="none"/>
                <w:u w:val="none" w:color="auto"/>
              </w:rPr>
              <w:t>。</w:t>
            </w:r>
            <w:r>
              <w:rPr>
                <w:rFonts w:hint="eastAsia" w:cs="Times New Roman"/>
                <w:color w:val="auto"/>
                <w:highlight w:val="none"/>
                <w:u w:val="none" w:color="auto"/>
                <w:lang w:val="en-US" w:eastAsia="zh-CN"/>
              </w:rPr>
              <w:t>本项目周边主要环境保护目标如下。</w:t>
            </w:r>
          </w:p>
          <w:p>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6</w:t>
            </w:r>
            <w:r>
              <w:rPr>
                <w:rFonts w:hint="default" w:ascii="Times New Roman" w:hAnsi="Times New Roman" w:eastAsia="宋体" w:cs="Times New Roman"/>
                <w:b/>
                <w:color w:val="auto"/>
                <w:sz w:val="21"/>
                <w:szCs w:val="21"/>
                <w:highlight w:val="none"/>
                <w:u w:val="none" w:color="auto"/>
              </w:rPr>
              <w:t xml:space="preserve"> 项目周边主要环境敏感</w:t>
            </w:r>
            <w:r>
              <w:rPr>
                <w:rFonts w:hint="default" w:ascii="Times New Roman" w:hAnsi="Times New Roman" w:eastAsia="宋体" w:cs="Times New Roman"/>
                <w:b/>
                <w:color w:val="auto"/>
                <w:sz w:val="21"/>
                <w:szCs w:val="21"/>
                <w:highlight w:val="none"/>
                <w:u w:val="none" w:color="auto"/>
                <w:lang w:val="en-US" w:eastAsia="zh-CN"/>
              </w:rPr>
              <w:t>保护</w:t>
            </w:r>
            <w:r>
              <w:rPr>
                <w:rFonts w:hint="default" w:ascii="Times New Roman" w:hAnsi="Times New Roman" w:eastAsia="宋体" w:cs="Times New Roman"/>
                <w:b/>
                <w:color w:val="auto"/>
                <w:sz w:val="21"/>
                <w:szCs w:val="21"/>
                <w:highlight w:val="none"/>
                <w:u w:val="none" w:color="auto"/>
              </w:rPr>
              <w:t>目标一览表</w:t>
            </w:r>
          </w:p>
          <w:tbl>
            <w:tblPr>
              <w:tblStyle w:val="4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6"/>
              <w:gridCol w:w="1126"/>
              <w:gridCol w:w="1558"/>
              <w:gridCol w:w="878"/>
              <w:gridCol w:w="634"/>
              <w:gridCol w:w="1174"/>
              <w:gridCol w:w="20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环境要素</w:t>
                  </w:r>
                </w:p>
              </w:tc>
              <w:tc>
                <w:tcPr>
                  <w:tcW w:w="70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保护对象</w:t>
                  </w:r>
                </w:p>
              </w:tc>
              <w:tc>
                <w:tcPr>
                  <w:tcW w:w="9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b/>
                      <w:color w:val="auto"/>
                      <w:sz w:val="21"/>
                      <w:szCs w:val="21"/>
                      <w:highlight w:val="none"/>
                      <w:u w:val="none" w:color="auto"/>
                      <w:lang w:bidi="ar"/>
                    </w:rPr>
                    <w:t>经纬度坐标</w:t>
                  </w:r>
                </w:p>
              </w:tc>
              <w:tc>
                <w:tcPr>
                  <w:tcW w:w="54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val="en-US" w:eastAsia="zh-CN" w:bidi="ar"/>
                    </w:rPr>
                    <w:t>功能/</w:t>
                  </w:r>
                  <w:r>
                    <w:rPr>
                      <w:rFonts w:hint="default" w:ascii="Times New Roman" w:hAnsi="Times New Roman" w:eastAsia="宋体" w:cs="Times New Roman"/>
                      <w:b/>
                      <w:color w:val="auto"/>
                      <w:sz w:val="21"/>
                      <w:szCs w:val="21"/>
                      <w:highlight w:val="none"/>
                      <w:u w:val="none" w:color="auto"/>
                      <w:lang w:bidi="ar"/>
                    </w:rPr>
                    <w:t>规模</w:t>
                  </w:r>
                </w:p>
              </w:tc>
              <w:tc>
                <w:tcPr>
                  <w:tcW w:w="3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相对位置</w:t>
                  </w:r>
                </w:p>
              </w:tc>
              <w:tc>
                <w:tcPr>
                  <w:tcW w:w="73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与项目厂界距离</w:t>
                  </w:r>
                </w:p>
              </w:tc>
              <w:tc>
                <w:tcPr>
                  <w:tcW w:w="12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b/>
                      <w:color w:val="auto"/>
                      <w:sz w:val="21"/>
                      <w:szCs w:val="21"/>
                      <w:highlight w:val="none"/>
                      <w:u w:val="none" w:color="auto"/>
                      <w:lang w:bidi="ar"/>
                    </w:rPr>
                    <w:t>保护级（类）别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声环境</w:t>
                  </w:r>
                </w:p>
              </w:tc>
              <w:tc>
                <w:tcPr>
                  <w:tcW w:w="3353" w:type="pct"/>
                  <w:gridSpan w:val="5"/>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本项目厂界外50m范围内无声环境保护目标</w:t>
                  </w:r>
                </w:p>
              </w:tc>
              <w:tc>
                <w:tcPr>
                  <w:tcW w:w="12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rPr>
                    <w:t>《声环境质量标准》（GB3096-2008）2类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环境空气</w:t>
                  </w:r>
                </w:p>
              </w:tc>
              <w:tc>
                <w:tcPr>
                  <w:tcW w:w="70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钟家坪</w:t>
                  </w:r>
                </w:p>
              </w:tc>
              <w:tc>
                <w:tcPr>
                  <w:tcW w:w="9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113.182462°</w:t>
                  </w:r>
                  <w:bookmarkStart w:id="14" w:name="OLE_LINK5"/>
                  <w:r>
                    <w:rPr>
                      <w:rFonts w:hint="eastAsia" w:cs="Times New Roman"/>
                      <w:b w:val="0"/>
                      <w:bCs w:val="0"/>
                      <w:color w:val="auto"/>
                      <w:sz w:val="21"/>
                      <w:szCs w:val="21"/>
                      <w:highlight w:val="none"/>
                      <w:u w:val="none" w:color="auto"/>
                      <w:lang w:val="en-US" w:eastAsia="zh-CN"/>
                    </w:rPr>
                    <w:t>E</w:t>
                  </w:r>
                  <w:bookmarkEnd w:id="14"/>
                  <w:r>
                    <w:rPr>
                      <w:rFonts w:hint="eastAsia" w:cs="Times New Roman"/>
                      <w:b w:val="0"/>
                      <w:bCs w:val="0"/>
                      <w:color w:val="auto"/>
                      <w:sz w:val="21"/>
                      <w:szCs w:val="21"/>
                      <w:highlight w:val="none"/>
                      <w:u w:val="none" w:color="auto"/>
                      <w:lang w:val="en-US" w:eastAsia="zh-CN"/>
                    </w:rPr>
                    <w:t>，28.765419°N</w:t>
                  </w:r>
                </w:p>
              </w:tc>
              <w:tc>
                <w:tcPr>
                  <w:tcW w:w="54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居民，5户，约20人</w:t>
                  </w:r>
                </w:p>
              </w:tc>
              <w:tc>
                <w:tcPr>
                  <w:tcW w:w="3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东南侧</w:t>
                  </w:r>
                </w:p>
              </w:tc>
              <w:tc>
                <w:tcPr>
                  <w:tcW w:w="73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450~500</w:t>
                  </w:r>
                </w:p>
              </w:tc>
              <w:tc>
                <w:tcPr>
                  <w:tcW w:w="12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bidi="ar"/>
                    </w:rPr>
                    <w:t>《环境空气质量标准》（GB3095-2012）及其修改单二级标准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bidi="ar"/>
                    </w:rPr>
                    <w:t>地表</w:t>
                  </w:r>
                  <w:r>
                    <w:rPr>
                      <w:rFonts w:hint="default" w:ascii="Times New Roman" w:hAnsi="Times New Roman" w:eastAsia="宋体" w:cs="Times New Roman"/>
                      <w:color w:val="auto"/>
                      <w:sz w:val="21"/>
                      <w:szCs w:val="21"/>
                      <w:highlight w:val="none"/>
                      <w:u w:val="none" w:color="auto"/>
                      <w:lang w:bidi="ar"/>
                    </w:rPr>
                    <w:t>水环境</w:t>
                  </w:r>
                </w:p>
              </w:tc>
              <w:tc>
                <w:tcPr>
                  <w:tcW w:w="703" w:type="pct"/>
                  <w:tcBorders>
                    <w:tl2br w:val="nil"/>
                    <w:tr2bl w:val="nil"/>
                  </w:tcBorders>
                  <w:vAlign w:val="center"/>
                </w:tcPr>
                <w:p>
                  <w:pPr>
                    <w:pStyle w:val="101"/>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汨罗江</w:t>
                  </w:r>
                </w:p>
              </w:tc>
              <w:tc>
                <w:tcPr>
                  <w:tcW w:w="973"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113.168725°</w:t>
                  </w:r>
                  <w:r>
                    <w:rPr>
                      <w:rFonts w:hint="eastAsia" w:cs="Times New Roman"/>
                      <w:b w:val="0"/>
                      <w:bCs w:val="0"/>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，28.788300°</w:t>
                  </w:r>
                  <w:r>
                    <w:rPr>
                      <w:rFonts w:hint="eastAsia" w:cs="Times New Roman"/>
                      <w:color w:val="auto"/>
                      <w:sz w:val="21"/>
                      <w:szCs w:val="21"/>
                      <w:highlight w:val="none"/>
                      <w:u w:val="none" w:color="auto"/>
                      <w:lang w:val="en-US" w:eastAsia="zh-CN"/>
                    </w:rPr>
                    <w:t>N</w:t>
                  </w:r>
                </w:p>
              </w:tc>
              <w:tc>
                <w:tcPr>
                  <w:tcW w:w="548"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渔业用水</w:t>
                  </w:r>
                </w:p>
              </w:tc>
              <w:tc>
                <w:tcPr>
                  <w:tcW w:w="3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bidi="ar"/>
                    </w:rPr>
                    <w:t>北</w:t>
                  </w:r>
                  <w:r>
                    <w:rPr>
                      <w:rFonts w:hint="default" w:ascii="Times New Roman" w:hAnsi="Times New Roman" w:eastAsia="宋体" w:cs="Times New Roman"/>
                      <w:color w:val="auto"/>
                      <w:sz w:val="21"/>
                      <w:szCs w:val="21"/>
                      <w:highlight w:val="none"/>
                      <w:u w:val="none" w:color="auto"/>
                      <w:lang w:bidi="ar"/>
                    </w:rPr>
                    <w:t>侧</w:t>
                  </w:r>
                </w:p>
              </w:tc>
              <w:tc>
                <w:tcPr>
                  <w:tcW w:w="73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bidi="ar"/>
                    </w:rPr>
                    <w:t>2</w:t>
                  </w:r>
                  <w:r>
                    <w:rPr>
                      <w:rFonts w:hint="eastAsia" w:cs="Times New Roman"/>
                      <w:color w:val="auto"/>
                      <w:sz w:val="21"/>
                      <w:szCs w:val="21"/>
                      <w:highlight w:val="none"/>
                      <w:u w:val="none" w:color="auto"/>
                      <w:lang w:val="en-US" w:eastAsia="zh-CN" w:bidi="ar"/>
                    </w:rPr>
                    <w:t>59</w:t>
                  </w:r>
                  <w:r>
                    <w:rPr>
                      <w:rFonts w:hint="default" w:ascii="Times New Roman" w:hAnsi="Times New Roman" w:eastAsia="宋体" w:cs="Times New Roman"/>
                      <w:color w:val="auto"/>
                      <w:sz w:val="21"/>
                      <w:szCs w:val="21"/>
                      <w:highlight w:val="none"/>
                      <w:u w:val="none" w:color="auto"/>
                      <w:lang w:bidi="ar"/>
                    </w:rPr>
                    <w:t>0m</w:t>
                  </w:r>
                </w:p>
              </w:tc>
              <w:tc>
                <w:tcPr>
                  <w:tcW w:w="1273"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《地表水环境质量标准》（GB3838-2002）Ⅲ类水质标准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p>
              </w:tc>
              <w:tc>
                <w:tcPr>
                  <w:tcW w:w="703"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车对河</w:t>
                  </w:r>
                </w:p>
                <w:p>
                  <w:pPr>
                    <w:pStyle w:val="101"/>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湄江河</w:t>
                  </w:r>
                  <w:r>
                    <w:rPr>
                      <w:rFonts w:hint="default" w:ascii="Times New Roman" w:hAnsi="Times New Roman" w:eastAsia="宋体" w:cs="Times New Roman"/>
                      <w:color w:val="auto"/>
                      <w:sz w:val="21"/>
                      <w:szCs w:val="21"/>
                      <w:highlight w:val="none"/>
                      <w:u w:val="none" w:color="auto"/>
                      <w:lang w:eastAsia="zh-CN"/>
                    </w:rPr>
                    <w:t>）</w:t>
                  </w:r>
                </w:p>
              </w:tc>
              <w:tc>
                <w:tcPr>
                  <w:tcW w:w="9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113.179046</w:t>
                  </w:r>
                  <w:r>
                    <w:rPr>
                      <w:rFonts w:hint="default" w:ascii="Times New Roman" w:hAnsi="Times New Roman" w:eastAsia="宋体" w:cs="Times New Roman"/>
                      <w:color w:val="auto"/>
                      <w:sz w:val="21"/>
                      <w:szCs w:val="21"/>
                      <w:highlight w:val="none"/>
                      <w:u w:val="none" w:color="auto"/>
                      <w:lang w:val="en-US" w:eastAsia="zh-CN"/>
                    </w:rPr>
                    <w:t>°，N28.764479°</w:t>
                  </w:r>
                </w:p>
              </w:tc>
              <w:tc>
                <w:tcPr>
                  <w:tcW w:w="548"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渔业用水</w:t>
                  </w:r>
                </w:p>
              </w:tc>
              <w:tc>
                <w:tcPr>
                  <w:tcW w:w="3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东侧</w:t>
                  </w:r>
                </w:p>
              </w:tc>
              <w:tc>
                <w:tcPr>
                  <w:tcW w:w="732"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130</w:t>
                  </w:r>
                  <w:r>
                    <w:rPr>
                      <w:rFonts w:hint="default" w:ascii="Times New Roman" w:hAnsi="Times New Roman" w:eastAsia="宋体" w:cs="Times New Roman"/>
                      <w:color w:val="auto"/>
                      <w:sz w:val="21"/>
                      <w:szCs w:val="21"/>
                      <w:highlight w:val="none"/>
                      <w:u w:val="none" w:color="auto"/>
                      <w:lang w:val="en-US" w:eastAsia="zh-CN" w:bidi="ar"/>
                    </w:rPr>
                    <w:t>m</w:t>
                  </w:r>
                </w:p>
              </w:tc>
              <w:tc>
                <w:tcPr>
                  <w:tcW w:w="1273"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地下水环境</w:t>
                  </w:r>
                </w:p>
              </w:tc>
              <w:tc>
                <w:tcPr>
                  <w:tcW w:w="3353" w:type="pct"/>
                  <w:gridSpan w:val="5"/>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本项目厂界外500m范围内无地下水集中式饮用水水源和热水、矿泉水、温泉等特殊地下水资源。</w:t>
                  </w:r>
                </w:p>
              </w:tc>
              <w:tc>
                <w:tcPr>
                  <w:tcW w:w="12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val="en-US" w:bidi="ar"/>
                    </w:rPr>
                    <w:t>《地下水质量标准》（GB/T14848-2017）中Ⅲ类标准要求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生态环境</w:t>
                  </w:r>
                </w:p>
              </w:tc>
              <w:tc>
                <w:tcPr>
                  <w:tcW w:w="4626" w:type="pct"/>
                  <w:gridSpan w:val="6"/>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bidi="ar"/>
                    </w:rPr>
                  </w:pPr>
                  <w:r>
                    <w:rPr>
                      <w:rFonts w:hint="default" w:ascii="Times New Roman" w:hAnsi="Times New Roman" w:eastAsia="宋体" w:cs="Times New Roman"/>
                      <w:color w:val="auto"/>
                      <w:sz w:val="21"/>
                      <w:szCs w:val="21"/>
                      <w:highlight w:val="none"/>
                      <w:u w:val="none" w:color="auto"/>
                      <w:lang w:val="en-US" w:eastAsia="zh-CN" w:bidi="ar"/>
                    </w:rPr>
                    <w:t>本项目位于汨罗高新技术产业开发区，租赁现有厂房进行建设，不新增土地占地区域用地现状为工业用地，项目周边300m范围内无自然保护区、国家公园、风景名胜区、湿地公园、森林公园等特殊及重要生态保护目标。</w:t>
                  </w:r>
                </w:p>
              </w:tc>
            </w:tr>
          </w:tbl>
          <w:p>
            <w:pPr>
              <w:spacing w:before="120" w:beforeLines="50"/>
              <w:jc w:val="center"/>
              <w:rPr>
                <w:rFonts w:hint="default" w:ascii="Times New Roman" w:hAnsi="Times New Roman" w:eastAsia="宋体" w:cs="Times New Roman"/>
                <w:b/>
                <w:color w:val="auto"/>
                <w:sz w:val="21"/>
                <w:szCs w:val="21"/>
                <w:highlight w:val="none"/>
                <w:u w:val="none" w:color="auto"/>
              </w:rPr>
            </w:pPr>
          </w:p>
          <w:p>
            <w:pPr>
              <w:spacing w:line="500" w:lineRule="exact"/>
              <w:ind w:firstLine="480" w:firstLineChars="200"/>
              <w:rPr>
                <w:rFonts w:hint="default" w:ascii="Times New Roman" w:hAnsi="Times New Roman" w:eastAsia="宋体" w:cs="Times New Roman"/>
                <w:color w:val="auto"/>
                <w:kern w:val="0"/>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污染</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物排</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放控</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制标</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准</w:t>
            </w:r>
          </w:p>
        </w:tc>
        <w:tc>
          <w:tcPr>
            <w:tcW w:w="4555" w:type="pct"/>
          </w:tcPr>
          <w:p>
            <w:pPr>
              <w:spacing w:line="500" w:lineRule="exact"/>
              <w:ind w:firstLine="481" w:firstLineChars="200"/>
              <w:jc w:val="left"/>
              <w:rPr>
                <w:rStyle w:val="68"/>
                <w:rFonts w:hint="default" w:ascii="Times New Roman" w:hAnsi="Times New Roman" w:eastAsia="宋体" w:cs="Times New Roman"/>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一、大气污染物排放标准</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本项目废气污染物颗粒物</w:t>
            </w:r>
            <w:r>
              <w:rPr>
                <w:rFonts w:hint="default" w:ascii="Times New Roman" w:hAnsi="Times New Roman" w:eastAsia="宋体" w:cs="Times New Roman"/>
                <w:color w:val="auto"/>
                <w:highlight w:val="none"/>
                <w:u w:val="none" w:color="auto"/>
              </w:rPr>
              <w:t>执行《</w:t>
            </w:r>
            <w:r>
              <w:rPr>
                <w:rFonts w:hint="default" w:ascii="Times New Roman" w:hAnsi="Times New Roman" w:eastAsia="宋体" w:cs="Times New Roman"/>
                <w:color w:val="auto"/>
                <w:highlight w:val="none"/>
                <w:u w:val="none" w:color="auto"/>
                <w:lang w:val="en-US" w:eastAsia="zh-CN"/>
              </w:rPr>
              <w:t>大气污染物综合排放标准</w:t>
            </w:r>
            <w:r>
              <w:rPr>
                <w:rFonts w:hint="default" w:ascii="Times New Roman" w:hAnsi="Times New Roman" w:eastAsia="宋体" w:cs="Times New Roman"/>
                <w:color w:val="auto"/>
                <w:highlight w:val="none"/>
                <w:u w:val="none" w:color="auto"/>
              </w:rPr>
              <w:t>》（GB</w:t>
            </w:r>
            <w:r>
              <w:rPr>
                <w:rFonts w:hint="default" w:ascii="Times New Roman" w:hAnsi="Times New Roman" w:eastAsia="宋体" w:cs="Times New Roman"/>
                <w:color w:val="auto"/>
                <w:highlight w:val="none"/>
                <w:u w:val="none" w:color="auto"/>
                <w:lang w:val="en-US" w:eastAsia="zh-CN"/>
              </w:rPr>
              <w:t>16297-1996</w:t>
            </w:r>
            <w:r>
              <w:rPr>
                <w:rFonts w:hint="default" w:ascii="Times New Roman" w:hAnsi="Times New Roman" w:eastAsia="宋体" w:cs="Times New Roman"/>
                <w:color w:val="auto"/>
                <w:highlight w:val="none"/>
                <w:u w:val="none" w:color="auto"/>
              </w:rPr>
              <w:t>）表</w:t>
            </w:r>
            <w:r>
              <w:rPr>
                <w:rFonts w:hint="default"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中</w:t>
            </w:r>
            <w:r>
              <w:rPr>
                <w:rFonts w:hint="default" w:ascii="Times New Roman" w:hAnsi="Times New Roman" w:eastAsia="宋体" w:cs="Times New Roman"/>
                <w:color w:val="auto"/>
                <w:highlight w:val="none"/>
                <w:u w:val="none" w:color="auto"/>
                <w:lang w:val="en-US" w:eastAsia="zh-CN"/>
              </w:rPr>
              <w:t>二级标准及无组织排放监控浓度限值要求</w:t>
            </w:r>
            <w:r>
              <w:rPr>
                <w:rFonts w:hint="default" w:ascii="Times New Roman" w:hAnsi="Times New Roman" w:eastAsia="宋体" w:cs="Times New Roman"/>
                <w:color w:val="auto"/>
                <w:highlight w:val="none"/>
                <w:u w:val="none" w:color="auto"/>
              </w:rPr>
              <w:t>。</w:t>
            </w:r>
          </w:p>
          <w:p>
            <w:pPr>
              <w:spacing w:before="120" w:beforeLines="5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表3-</w:t>
            </w:r>
            <w:r>
              <w:rPr>
                <w:rFonts w:hint="eastAsia" w:cs="Times New Roman"/>
                <w:b/>
                <w:bCs/>
                <w:color w:val="auto"/>
                <w:sz w:val="21"/>
                <w:szCs w:val="21"/>
                <w:highlight w:val="none"/>
                <w:u w:val="none" w:color="auto"/>
                <w:lang w:val="en-US" w:eastAsia="zh-CN"/>
              </w:rPr>
              <w:t>7</w:t>
            </w:r>
            <w:r>
              <w:rPr>
                <w:rFonts w:hint="default" w:ascii="Times New Roman" w:hAnsi="Times New Roman" w:eastAsia="宋体" w:cs="Times New Roman"/>
                <w:b/>
                <w:bCs/>
                <w:color w:val="auto"/>
                <w:sz w:val="21"/>
                <w:szCs w:val="21"/>
                <w:highlight w:val="none"/>
                <w:u w:val="none" w:color="auto"/>
              </w:rPr>
              <w:t xml:space="preserve"> 《大气污染物综合排放标准》（GB16297-1996）</w:t>
            </w:r>
          </w:p>
          <w:tbl>
            <w:tblPr>
              <w:tblStyle w:val="43"/>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213"/>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16"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color w:val="auto"/>
                      <w:sz w:val="21"/>
                      <w:szCs w:val="21"/>
                      <w:highlight w:val="none"/>
                      <w:u w:val="none" w:color="auto"/>
                      <w:vertAlign w:val="baseline"/>
                      <w:lang w:val="en-US" w:eastAsia="zh-CN"/>
                    </w:rPr>
                    <w:t>污染物</w:t>
                  </w:r>
                </w:p>
              </w:tc>
              <w:tc>
                <w:tcPr>
                  <w:tcW w:w="6240" w:type="dxa"/>
                  <w:gridSpan w:val="2"/>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rPr>
                  </w:pPr>
                </w:p>
              </w:tc>
              <w:tc>
                <w:tcPr>
                  <w:tcW w:w="22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eastAsia"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监控点</w:t>
                  </w:r>
                </w:p>
              </w:tc>
              <w:tc>
                <w:tcPr>
                  <w:tcW w:w="4027"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浓度mg/m</w:t>
                  </w:r>
                  <w:r>
                    <w:rPr>
                      <w:rStyle w:val="68"/>
                      <w:rFonts w:hint="eastAsia" w:ascii="Times New Roman" w:hAnsi="Times New Roman" w:eastAsia="宋体" w:cs="Times New Roman"/>
                      <w:b w:val="0"/>
                      <w:bCs/>
                      <w:color w:val="auto"/>
                      <w:sz w:val="21"/>
                      <w:szCs w:val="21"/>
                      <w:highlight w:val="none"/>
                      <w:u w:val="none" w:color="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eastAsia"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颗粒物</w:t>
                  </w:r>
                </w:p>
              </w:tc>
              <w:tc>
                <w:tcPr>
                  <w:tcW w:w="2213"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周界外浓度最高点</w:t>
                  </w:r>
                </w:p>
              </w:tc>
              <w:tc>
                <w:tcPr>
                  <w:tcW w:w="4027"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68"/>
                      <w:rFonts w:hint="default" w:ascii="Times New Roman" w:hAnsi="Times New Roman" w:eastAsia="宋体" w:cs="Times New Roman"/>
                      <w:b w:val="0"/>
                      <w:bCs/>
                      <w:color w:val="auto"/>
                      <w:sz w:val="21"/>
                      <w:szCs w:val="21"/>
                      <w:highlight w:val="none"/>
                      <w:u w:val="none" w:color="auto"/>
                      <w:vertAlign w:val="baseline"/>
                      <w:lang w:val="en-US" w:eastAsia="zh-CN"/>
                    </w:rPr>
                  </w:pPr>
                  <w:r>
                    <w:rPr>
                      <w:rStyle w:val="68"/>
                      <w:rFonts w:hint="eastAsia" w:ascii="Times New Roman" w:hAnsi="Times New Roman" w:eastAsia="宋体" w:cs="Times New Roman"/>
                      <w:b w:val="0"/>
                      <w:bCs/>
                      <w:color w:val="auto"/>
                      <w:sz w:val="21"/>
                      <w:szCs w:val="21"/>
                      <w:highlight w:val="none"/>
                      <w:u w:val="none" w:color="auto"/>
                      <w:vertAlign w:val="baseline"/>
                      <w:lang w:val="en-US" w:eastAsia="zh-CN"/>
                    </w:rPr>
                    <w:t>1.0</w:t>
                  </w:r>
                </w:p>
              </w:tc>
            </w:tr>
          </w:tbl>
          <w:p>
            <w:pPr>
              <w:spacing w:line="500" w:lineRule="exact"/>
              <w:ind w:firstLine="481" w:firstLineChars="200"/>
              <w:jc w:val="left"/>
              <w:rPr>
                <w:rStyle w:val="68"/>
                <w:rFonts w:hint="default" w:ascii="Times New Roman" w:hAnsi="Times New Roman" w:eastAsia="宋体" w:cs="Times New Roman"/>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二、水污染排放标准</w:t>
            </w:r>
          </w:p>
          <w:p>
            <w:pPr>
              <w:spacing w:beforeLines="0" w:afterLines="0" w:line="500" w:lineRule="exact"/>
              <w:ind w:firstLine="480" w:firstLineChars="200"/>
              <w:rPr>
                <w:rFonts w:hint="eastAsia" w:ascii="Times New Roman" w:hAnsi="Times New Roman" w:eastAsia="宋体" w:cs="Times New Roman"/>
                <w:color w:val="auto"/>
                <w:sz w:val="24"/>
                <w:szCs w:val="24"/>
                <w:highlight w:val="none"/>
                <w:u w:val="none" w:color="auto"/>
                <w:lang w:val="en-US" w:eastAsia="zh-CN"/>
              </w:rPr>
            </w:pPr>
            <w:r>
              <w:rPr>
                <w:rFonts w:hint="eastAsia" w:cs="Times New Roman"/>
                <w:color w:val="auto"/>
                <w:highlight w:val="none"/>
                <w:u w:val="none" w:color="auto"/>
                <w:lang w:val="en-US" w:eastAsia="zh-CN"/>
              </w:rPr>
              <w:t>本项目生活污水经化粪池处理后排入湖南汨罗高新技术产业开发区（循环园区）污水处理厂处理。生活污水执行湖南汨罗高新技术产业开发区（循环园区）污水处理厂</w:t>
            </w:r>
            <w:r>
              <w:rPr>
                <w:rFonts w:hint="default" w:ascii="Times New Roman" w:hAnsi="Times New Roman" w:eastAsia="宋体" w:cs="Times New Roman"/>
                <w:color w:val="auto"/>
                <w:sz w:val="24"/>
                <w:szCs w:val="24"/>
                <w:highlight w:val="none"/>
                <w:u w:val="none" w:color="auto"/>
                <w:lang w:val="en-US" w:eastAsia="zh-CN"/>
              </w:rPr>
              <w:t>接管标准</w:t>
            </w:r>
            <w:r>
              <w:rPr>
                <w:rFonts w:hint="default" w:ascii="Times New Roman" w:hAnsi="Times New Roman" w:eastAsia="宋体" w:cs="Times New Roman"/>
                <w:color w:val="auto"/>
                <w:sz w:val="24"/>
                <w:szCs w:val="24"/>
                <w:highlight w:val="none"/>
                <w:u w:val="none" w:color="auto"/>
              </w:rPr>
              <w:t>。</w:t>
            </w:r>
            <w:r>
              <w:rPr>
                <w:rFonts w:hint="eastAsia" w:cs="Times New Roman"/>
                <w:color w:val="auto"/>
                <w:sz w:val="24"/>
                <w:szCs w:val="24"/>
                <w:highlight w:val="none"/>
                <w:u w:val="none" w:color="auto"/>
                <w:lang w:val="en-US" w:eastAsia="zh-CN"/>
              </w:rPr>
              <w:t>生产废水经沉淀池处理后进入湖南中塑新材料科技有限公司处理，</w:t>
            </w:r>
            <w:r>
              <w:rPr>
                <w:rFonts w:hint="default" w:ascii="Times New Roman" w:hAnsi="Times New Roman" w:eastAsia="宋体" w:cs="Times New Roman"/>
                <w:color w:val="auto"/>
                <w:highlight w:val="none"/>
                <w:u w:val="none" w:color="auto"/>
              </w:rPr>
              <w:t>达到再生材料产业园污水处理厂接管标准（未明确接管标准的污染因子需满足《污水综合排放标准》（GB 8978-1996）表4中三级标准）后，排入再生材料产业园污水处理厂进行深度处理</w:t>
            </w:r>
            <w:r>
              <w:rPr>
                <w:rFonts w:hint="eastAsia" w:cs="Times New Roman"/>
                <w:color w:val="auto"/>
                <w:highlight w:val="none"/>
                <w:u w:val="none" w:color="auto"/>
                <w:lang w:eastAsia="zh-CN"/>
              </w:rPr>
              <w:t>。</w:t>
            </w:r>
          </w:p>
          <w:p>
            <w:pPr>
              <w:pStyle w:val="259"/>
              <w:spacing w:beforeLines="0" w:afterLines="0"/>
              <w:rPr>
                <w:rFonts w:hint="default" w:ascii="Times New Roman" w:hAnsi="Times New Roman" w:eastAsia="宋体" w:cs="Times New Roman"/>
                <w:color w:val="auto"/>
                <w:sz w:val="21"/>
                <w:szCs w:val="24"/>
                <w:highlight w:val="none"/>
                <w:u w:val="none" w:color="auto"/>
              </w:rPr>
            </w:pPr>
            <w:r>
              <w:rPr>
                <w:rFonts w:hint="default" w:ascii="Times New Roman" w:hAnsi="Times New Roman" w:eastAsia="宋体" w:cs="Times New Roman"/>
                <w:color w:val="auto"/>
                <w:sz w:val="21"/>
                <w:szCs w:val="24"/>
                <w:highlight w:val="none"/>
                <w:u w:val="none" w:color="auto"/>
              </w:rPr>
              <w:t>表3-</w:t>
            </w:r>
            <w:r>
              <w:rPr>
                <w:rFonts w:hint="eastAsia" w:cs="Times New Roman"/>
                <w:color w:val="auto"/>
                <w:sz w:val="21"/>
                <w:szCs w:val="24"/>
                <w:highlight w:val="none"/>
                <w:u w:val="none" w:color="auto"/>
                <w:lang w:val="en-US" w:eastAsia="zh-CN"/>
              </w:rPr>
              <w:t>8</w:t>
            </w:r>
            <w:r>
              <w:rPr>
                <w:rFonts w:hint="default" w:ascii="Times New Roman" w:hAnsi="Times New Roman" w:eastAsia="宋体" w:cs="Times New Roman"/>
                <w:color w:val="auto"/>
                <w:sz w:val="21"/>
                <w:szCs w:val="24"/>
                <w:highlight w:val="none"/>
                <w:u w:val="none" w:color="auto"/>
              </w:rPr>
              <w:t xml:space="preserve"> </w:t>
            </w:r>
            <w:r>
              <w:rPr>
                <w:rFonts w:hint="default" w:ascii="Times New Roman" w:hAnsi="Times New Roman" w:eastAsia="宋体" w:cs="Times New Roman"/>
                <w:color w:val="auto"/>
                <w:sz w:val="21"/>
                <w:szCs w:val="24"/>
                <w:highlight w:val="none"/>
                <w:u w:val="none" w:color="auto"/>
                <w:lang w:val="en-US" w:eastAsia="zh-CN"/>
              </w:rPr>
              <w:t>生活污水</w:t>
            </w:r>
            <w:r>
              <w:rPr>
                <w:rFonts w:hint="default" w:ascii="Times New Roman" w:hAnsi="Times New Roman" w:eastAsia="宋体" w:cs="Times New Roman"/>
                <w:b/>
                <w:bCs/>
                <w:color w:val="auto"/>
                <w:sz w:val="21"/>
                <w:szCs w:val="21"/>
                <w:highlight w:val="none"/>
                <w:u w:val="none" w:color="auto"/>
              </w:rPr>
              <w:t xml:space="preserve">污染物排放限值 </w:t>
            </w:r>
            <w:r>
              <w:rPr>
                <w:rFonts w:hint="default" w:ascii="Times New Roman" w:hAnsi="Times New Roman" w:eastAsia="宋体" w:cs="Times New Roman"/>
                <w:color w:val="auto"/>
                <w:sz w:val="21"/>
                <w:szCs w:val="24"/>
                <w:highlight w:val="none"/>
                <w:u w:val="none" w:color="auto"/>
              </w:rPr>
              <w:t>单位：mg/L(pH除外)</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01"/>
              <w:gridCol w:w="801"/>
              <w:gridCol w:w="801"/>
              <w:gridCol w:w="801"/>
              <w:gridCol w:w="801"/>
              <w:gridCol w:w="801"/>
              <w:gridCol w:w="801"/>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tcBorders>
                    <w:top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项目</w:t>
                  </w:r>
                </w:p>
              </w:tc>
              <w:tc>
                <w:tcPr>
                  <w:tcW w:w="801" w:type="dxa"/>
                  <w:tcBorders>
                    <w:top w:val="single" w:color="auto" w:sz="12" w:space="0"/>
                  </w:tcBorders>
                  <w:vAlign w:val="center"/>
                </w:tcPr>
                <w:p>
                  <w:pPr>
                    <w:pStyle w:val="259"/>
                    <w:spacing w:beforeLines="0" w:afterLines="0"/>
                    <w:jc w:val="center"/>
                    <w:rPr>
                      <w:rFonts w:hint="eastAsia"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pH</w:t>
                  </w:r>
                </w:p>
              </w:tc>
              <w:tc>
                <w:tcPr>
                  <w:tcW w:w="801" w:type="dxa"/>
                  <w:tcBorders>
                    <w:top w:val="single" w:color="auto" w:sz="12" w:space="0"/>
                  </w:tcBorders>
                  <w:vAlign w:val="center"/>
                </w:tcPr>
                <w:p>
                  <w:pPr>
                    <w:pStyle w:val="259"/>
                    <w:spacing w:beforeLines="0" w:afterLines="0"/>
                    <w:jc w:val="center"/>
                    <w:rPr>
                      <w:rFonts w:hint="eastAsia"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COD</w:t>
                  </w:r>
                  <w:r>
                    <w:rPr>
                      <w:rFonts w:hint="default" w:ascii="Times New Roman" w:hAnsi="Times New Roman" w:eastAsia="宋体" w:cs="Times New Roman"/>
                      <w:color w:val="auto"/>
                      <w:sz w:val="21"/>
                      <w:szCs w:val="21"/>
                      <w:highlight w:val="none"/>
                      <w:u w:val="none" w:color="auto"/>
                      <w:vertAlign w:val="subscript"/>
                    </w:rPr>
                    <w:t>Cr</w:t>
                  </w:r>
                </w:p>
              </w:tc>
              <w:tc>
                <w:tcPr>
                  <w:tcW w:w="801" w:type="dxa"/>
                  <w:tcBorders>
                    <w:top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rPr>
                  </w:pPr>
                  <w:r>
                    <w:rPr>
                      <w:rFonts w:hint="default" w:ascii="Times New Roman" w:hAnsi="Times New Roman" w:eastAsia="宋体" w:cs="Times New Roman"/>
                      <w:b w:val="0"/>
                      <w:bCs/>
                      <w:color w:val="auto"/>
                      <w:sz w:val="21"/>
                      <w:szCs w:val="24"/>
                      <w:highlight w:val="none"/>
                      <w:u w:val="none" w:color="auto"/>
                      <w:vertAlign w:val="baseline"/>
                    </w:rPr>
                    <w:t>BOD</w:t>
                  </w:r>
                  <w:r>
                    <w:rPr>
                      <w:rFonts w:hint="default" w:ascii="Times New Roman" w:hAnsi="Times New Roman" w:eastAsia="宋体" w:cs="Times New Roman"/>
                      <w:b w:val="0"/>
                      <w:bCs/>
                      <w:color w:val="auto"/>
                      <w:sz w:val="21"/>
                      <w:szCs w:val="24"/>
                      <w:highlight w:val="none"/>
                      <w:u w:val="none" w:color="auto"/>
                      <w:vertAlign w:val="subscript"/>
                    </w:rPr>
                    <w:t>5</w:t>
                  </w:r>
                </w:p>
              </w:tc>
              <w:tc>
                <w:tcPr>
                  <w:tcW w:w="801" w:type="dxa"/>
                  <w:tcBorders>
                    <w:top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rPr>
                  </w:pPr>
                  <w:r>
                    <w:rPr>
                      <w:rFonts w:hint="default" w:ascii="Times New Roman" w:hAnsi="Times New Roman" w:eastAsia="宋体" w:cs="Times New Roman"/>
                      <w:b w:val="0"/>
                      <w:bCs/>
                      <w:color w:val="auto"/>
                      <w:sz w:val="21"/>
                      <w:szCs w:val="24"/>
                      <w:highlight w:val="none"/>
                      <w:u w:val="none" w:color="auto"/>
                      <w:vertAlign w:val="baseline"/>
                    </w:rPr>
                    <w:t>氨氮</w:t>
                  </w:r>
                </w:p>
              </w:tc>
              <w:tc>
                <w:tcPr>
                  <w:tcW w:w="801" w:type="dxa"/>
                  <w:tcBorders>
                    <w:top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rPr>
                  </w:pPr>
                  <w:r>
                    <w:rPr>
                      <w:rFonts w:hint="default" w:ascii="Times New Roman" w:hAnsi="Times New Roman" w:eastAsia="宋体" w:cs="Times New Roman"/>
                      <w:b w:val="0"/>
                      <w:bCs/>
                      <w:color w:val="auto"/>
                      <w:sz w:val="21"/>
                      <w:szCs w:val="24"/>
                      <w:highlight w:val="none"/>
                      <w:u w:val="none" w:color="auto"/>
                      <w:vertAlign w:val="baseline"/>
                    </w:rPr>
                    <w:t>TN</w:t>
                  </w:r>
                </w:p>
              </w:tc>
              <w:tc>
                <w:tcPr>
                  <w:tcW w:w="801" w:type="dxa"/>
                  <w:tcBorders>
                    <w:top w:val="single" w:color="auto" w:sz="12" w:space="0"/>
                  </w:tcBorders>
                  <w:vAlign w:val="center"/>
                </w:tcPr>
                <w:p>
                  <w:pPr>
                    <w:pStyle w:val="259"/>
                    <w:spacing w:beforeLines="0" w:afterLines="0"/>
                    <w:jc w:val="center"/>
                    <w:rPr>
                      <w:rFonts w:hint="eastAsia"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TP</w:t>
                  </w:r>
                </w:p>
              </w:tc>
              <w:tc>
                <w:tcPr>
                  <w:tcW w:w="801" w:type="dxa"/>
                  <w:tcBorders>
                    <w:top w:val="single" w:color="auto" w:sz="12" w:space="0"/>
                  </w:tcBorders>
                  <w:vAlign w:val="center"/>
                </w:tcPr>
                <w:p>
                  <w:pPr>
                    <w:pStyle w:val="259"/>
                    <w:spacing w:beforeLines="0" w:afterLines="0"/>
                    <w:jc w:val="center"/>
                    <w:rPr>
                      <w:rFonts w:hint="eastAsia"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SS</w:t>
                  </w:r>
                </w:p>
              </w:tc>
              <w:tc>
                <w:tcPr>
                  <w:tcW w:w="807" w:type="dxa"/>
                  <w:tcBorders>
                    <w:top w:val="single" w:color="auto" w:sz="12" w:space="0"/>
                    <w:right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6" w:type="dxa"/>
                  <w:tcBorders>
                    <w:left w:val="single" w:color="auto" w:sz="4" w:space="0"/>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rPr>
                  </w:pPr>
                  <w:r>
                    <w:rPr>
                      <w:rFonts w:hint="default" w:ascii="Times New Roman" w:hAnsi="Times New Roman" w:eastAsia="宋体" w:cs="Times New Roman"/>
                      <w:b w:val="0"/>
                      <w:bCs/>
                      <w:color w:val="auto"/>
                      <w:sz w:val="18"/>
                      <w:szCs w:val="18"/>
                      <w:highlight w:val="none"/>
                      <w:u w:val="none" w:color="auto"/>
                      <w:vertAlign w:val="baseline"/>
                      <w:lang w:val="en-US"/>
                    </w:rPr>
                    <w:t>湖南汨罗高新技术产业开发区（循环园区）污水处理厂接管标准要求</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6~9</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420</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200</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30</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35</w:t>
                  </w:r>
                </w:p>
              </w:tc>
              <w:tc>
                <w:tcPr>
                  <w:tcW w:w="801" w:type="dxa"/>
                  <w:tcBorders>
                    <w:bottom w:val="single" w:color="auto" w:sz="12" w:space="0"/>
                  </w:tcBorders>
                  <w:vAlign w:val="center"/>
                </w:tcPr>
                <w:p>
                  <w:pPr>
                    <w:pStyle w:val="259"/>
                    <w:spacing w:beforeLines="0" w:afterLines="0"/>
                    <w:jc w:val="center"/>
                    <w:rPr>
                      <w:rFonts w:hint="eastAsia"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4</w:t>
                  </w:r>
                </w:p>
              </w:tc>
              <w:tc>
                <w:tcPr>
                  <w:tcW w:w="801" w:type="dxa"/>
                  <w:tcBorders>
                    <w:bottom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250</w:t>
                  </w:r>
                </w:p>
              </w:tc>
              <w:tc>
                <w:tcPr>
                  <w:tcW w:w="807" w:type="dxa"/>
                  <w:tcBorders>
                    <w:bottom w:val="single" w:color="auto" w:sz="12" w:space="0"/>
                    <w:right w:val="single" w:color="auto" w:sz="12" w:space="0"/>
                  </w:tcBorders>
                  <w:vAlign w:val="center"/>
                </w:tcPr>
                <w:p>
                  <w:pPr>
                    <w:pStyle w:val="259"/>
                    <w:spacing w:beforeLines="0" w:afterLines="0"/>
                    <w:jc w:val="center"/>
                    <w:rPr>
                      <w:rFonts w:hint="default" w:ascii="Times New Roman" w:hAnsi="Times New Roman" w:eastAsia="宋体" w:cs="Times New Roman"/>
                      <w:b w:val="0"/>
                      <w:bCs/>
                      <w:color w:val="auto"/>
                      <w:sz w:val="21"/>
                      <w:szCs w:val="24"/>
                      <w:highlight w:val="none"/>
                      <w:u w:val="none" w:color="auto"/>
                      <w:vertAlign w:val="baseline"/>
                      <w:lang w:val="en-US" w:eastAsia="zh-CN"/>
                    </w:rPr>
                  </w:pPr>
                  <w:r>
                    <w:rPr>
                      <w:rFonts w:hint="eastAsia" w:cs="Times New Roman"/>
                      <w:b w:val="0"/>
                      <w:bCs/>
                      <w:color w:val="auto"/>
                      <w:sz w:val="21"/>
                      <w:szCs w:val="24"/>
                      <w:highlight w:val="none"/>
                      <w:u w:val="none" w:color="auto"/>
                      <w:vertAlign w:val="baseline"/>
                      <w:lang w:val="en-US" w:eastAsia="zh-CN"/>
                    </w:rPr>
                    <w:t>100</w:t>
                  </w:r>
                </w:p>
              </w:tc>
            </w:tr>
          </w:tbl>
          <w:p>
            <w:pPr>
              <w:pStyle w:val="259"/>
              <w:spacing w:beforeLines="0" w:afterLines="0"/>
              <w:rPr>
                <w:rFonts w:hint="default" w:ascii="Times New Roman" w:hAnsi="Times New Roman" w:eastAsia="宋体" w:cs="Times New Roman"/>
                <w:color w:val="auto"/>
                <w:sz w:val="21"/>
                <w:szCs w:val="24"/>
                <w:highlight w:val="none"/>
                <w:u w:val="none" w:color="auto"/>
              </w:rPr>
            </w:pPr>
          </w:p>
          <w:p>
            <w:pPr>
              <w:pStyle w:val="259"/>
              <w:spacing w:beforeLines="0" w:afterLines="0"/>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表3-</w:t>
            </w:r>
            <w:r>
              <w:rPr>
                <w:rFonts w:hint="eastAsia" w:cs="Times New Roman"/>
                <w:color w:val="auto"/>
                <w:sz w:val="21"/>
                <w:szCs w:val="24"/>
                <w:highlight w:val="none"/>
                <w:u w:val="single" w:color="auto"/>
                <w:lang w:val="en-US" w:eastAsia="zh-CN"/>
              </w:rPr>
              <w:t xml:space="preserve">9 </w:t>
            </w:r>
            <w:r>
              <w:rPr>
                <w:rFonts w:hint="default" w:ascii="Times New Roman" w:hAnsi="Times New Roman" w:eastAsia="宋体" w:cs="Times New Roman"/>
                <w:color w:val="auto"/>
                <w:sz w:val="21"/>
                <w:szCs w:val="24"/>
                <w:highlight w:val="none"/>
                <w:u w:val="single" w:color="auto"/>
              </w:rPr>
              <w:t xml:space="preserve"> </w:t>
            </w:r>
            <w:r>
              <w:rPr>
                <w:rFonts w:hint="default" w:ascii="Times New Roman" w:hAnsi="Times New Roman" w:eastAsia="宋体" w:cs="Times New Roman"/>
                <w:b/>
                <w:bCs/>
                <w:color w:val="auto"/>
                <w:sz w:val="21"/>
                <w:szCs w:val="21"/>
                <w:highlight w:val="none"/>
                <w:u w:val="single" w:color="auto"/>
                <w:lang w:val="en-US" w:eastAsia="zh-CN"/>
              </w:rPr>
              <w:t>生产废水</w:t>
            </w:r>
            <w:r>
              <w:rPr>
                <w:rFonts w:hint="default" w:ascii="Times New Roman" w:hAnsi="Times New Roman" w:eastAsia="宋体" w:cs="Times New Roman"/>
                <w:b/>
                <w:bCs/>
                <w:color w:val="auto"/>
                <w:sz w:val="21"/>
                <w:szCs w:val="21"/>
                <w:highlight w:val="none"/>
                <w:u w:val="single" w:color="auto"/>
              </w:rPr>
              <w:t>污染物排放限值 单位：mg/L(pH</w:t>
            </w:r>
            <w:r>
              <w:rPr>
                <w:rFonts w:hint="eastAsia" w:cs="Times New Roman"/>
                <w:b/>
                <w:bCs/>
                <w:color w:val="auto"/>
                <w:sz w:val="21"/>
                <w:szCs w:val="21"/>
                <w:highlight w:val="none"/>
                <w:u w:val="single" w:color="auto"/>
                <w:lang w:val="en-US" w:eastAsia="zh-CN"/>
              </w:rPr>
              <w:t>无量纲</w:t>
            </w:r>
            <w:r>
              <w:rPr>
                <w:rFonts w:hint="default" w:ascii="Times New Roman" w:hAnsi="Times New Roman" w:eastAsia="宋体" w:cs="Times New Roman"/>
                <w:b/>
                <w:bCs/>
                <w:color w:val="auto"/>
                <w:sz w:val="21"/>
                <w:szCs w:val="21"/>
                <w:highlight w:val="none"/>
                <w:u w:val="single" w:color="auto"/>
              </w:rPr>
              <w:t>)</w:t>
            </w:r>
          </w:p>
          <w:tbl>
            <w:tblPr>
              <w:tblStyle w:val="4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74"/>
              <w:gridCol w:w="2058"/>
              <w:gridCol w:w="1955"/>
              <w:gridCol w:w="22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项目</w:t>
                  </w:r>
                </w:p>
              </w:tc>
              <w:tc>
                <w:tcPr>
                  <w:tcW w:w="2058" w:type="dxa"/>
                  <w:tcBorders>
                    <w:tl2br w:val="nil"/>
                    <w:tr2bl w:val="nil"/>
                  </w:tcBorders>
                  <w:vAlign w:val="center"/>
                </w:tcPr>
                <w:p>
                  <w:pPr>
                    <w:kinsoku w:val="0"/>
                    <w:overflowPunct w:val="0"/>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《污水综合排放标准》（GB8978-1996）中三级标准要求</w:t>
                  </w:r>
                </w:p>
              </w:tc>
              <w:tc>
                <w:tcPr>
                  <w:tcW w:w="1955" w:type="dxa"/>
                  <w:tcBorders>
                    <w:tl2br w:val="nil"/>
                    <w:tr2bl w:val="nil"/>
                  </w:tcBorders>
                  <w:vAlign w:val="center"/>
                </w:tcPr>
                <w:p>
                  <w:pPr>
                    <w:kinsoku w:val="0"/>
                    <w:overflowPunct w:val="0"/>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val="0"/>
                      <w:bCs/>
                      <w:color w:val="auto"/>
                      <w:sz w:val="21"/>
                      <w:szCs w:val="21"/>
                      <w:highlight w:val="none"/>
                      <w:u w:val="single" w:color="auto"/>
                    </w:rPr>
                    <w:t>再生材料产业园污水厂接纳标准限值</w:t>
                  </w:r>
                </w:p>
              </w:tc>
              <w:tc>
                <w:tcPr>
                  <w:tcW w:w="2253" w:type="dxa"/>
                  <w:tcBorders>
                    <w:tl2br w:val="nil"/>
                    <w:tr2bl w:val="nil"/>
                  </w:tcBorders>
                  <w:vAlign w:val="center"/>
                </w:tcPr>
                <w:p>
                  <w:pPr>
                    <w:kinsoku w:val="0"/>
                    <w:overflowPunct w:val="0"/>
                    <w:jc w:val="center"/>
                    <w:rPr>
                      <w:rFonts w:hint="default" w:ascii="Times New Roman" w:hAnsi="Times New Roman" w:eastAsia="宋体" w:cs="Times New Roman"/>
                      <w:b/>
                      <w:color w:val="auto"/>
                      <w:sz w:val="21"/>
                      <w:szCs w:val="21"/>
                      <w:highlight w:val="none"/>
                      <w:u w:val="single" w:color="auto"/>
                    </w:rPr>
                  </w:pPr>
                  <w:r>
                    <w:rPr>
                      <w:rFonts w:hint="eastAsia" w:cs="Times New Roman"/>
                      <w:b/>
                      <w:color w:val="auto"/>
                      <w:sz w:val="21"/>
                      <w:szCs w:val="21"/>
                      <w:highlight w:val="none"/>
                      <w:u w:val="single" w:color="auto"/>
                      <w:lang w:val="en-US" w:eastAsia="zh-CN"/>
                    </w:rPr>
                    <w:t>生产废水</w:t>
                  </w:r>
                  <w:r>
                    <w:rPr>
                      <w:rFonts w:hint="default" w:ascii="Times New Roman" w:hAnsi="Times New Roman" w:eastAsia="宋体" w:cs="Times New Roman"/>
                      <w:b/>
                      <w:color w:val="auto"/>
                      <w:sz w:val="21"/>
                      <w:szCs w:val="21"/>
                      <w:highlight w:val="none"/>
                      <w:u w:val="single" w:color="auto"/>
                    </w:rPr>
                    <w:t>排放标准限值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pH</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6～9</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6～9</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COD</w:t>
                  </w:r>
                  <w:r>
                    <w:rPr>
                      <w:rFonts w:hint="default" w:ascii="Times New Roman" w:hAnsi="Times New Roman" w:eastAsia="宋体" w:cs="Times New Roman"/>
                      <w:color w:val="auto"/>
                      <w:sz w:val="21"/>
                      <w:szCs w:val="21"/>
                      <w:highlight w:val="none"/>
                      <w:u w:val="single" w:color="auto"/>
                      <w:vertAlign w:val="subscript"/>
                    </w:rPr>
                    <w:t>Cr</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500</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500</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rPr>
                  </w:pPr>
                  <w:r>
                    <w:rPr>
                      <w:rFonts w:hint="eastAsia" w:cs="Times New Roman"/>
                      <w:color w:val="auto"/>
                      <w:sz w:val="21"/>
                      <w:szCs w:val="21"/>
                      <w:highlight w:val="none"/>
                      <w:u w:val="single" w:color="auto"/>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BOD</w:t>
                  </w:r>
                  <w:r>
                    <w:rPr>
                      <w:rFonts w:hint="default" w:ascii="Times New Roman" w:hAnsi="Times New Roman" w:eastAsia="宋体" w:cs="Times New Roman"/>
                      <w:color w:val="auto"/>
                      <w:position w:val="-3"/>
                      <w:sz w:val="21"/>
                      <w:szCs w:val="21"/>
                      <w:highlight w:val="none"/>
                      <w:u w:val="single" w:color="auto"/>
                      <w:vertAlign w:val="subscript"/>
                    </w:rPr>
                    <w:t>5</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3</w:t>
                  </w:r>
                  <w:r>
                    <w:rPr>
                      <w:rFonts w:hint="default" w:ascii="Times New Roman" w:hAnsi="Times New Roman" w:eastAsia="宋体" w:cs="Times New Roman"/>
                      <w:color w:val="auto"/>
                      <w:sz w:val="21"/>
                      <w:szCs w:val="21"/>
                      <w:highlight w:val="none"/>
                      <w:u w:val="single" w:color="auto"/>
                    </w:rPr>
                    <w:t>00</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200</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rPr>
                  </w:pPr>
                  <w:r>
                    <w:rPr>
                      <w:rFonts w:hint="eastAsia" w:cs="Times New Roman"/>
                      <w:color w:val="auto"/>
                      <w:sz w:val="21"/>
                      <w:szCs w:val="21"/>
                      <w:highlight w:val="none"/>
                      <w:u w:val="single" w:color="auto"/>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氨氮</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25</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TN</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35</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TP</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eastAsia="zh-CN"/>
                    </w:rPr>
                  </w:pPr>
                  <w:r>
                    <w:rPr>
                      <w:rFonts w:hint="eastAsia" w:cs="Times New Roman"/>
                      <w:color w:val="auto"/>
                      <w:sz w:val="21"/>
                      <w:szCs w:val="21"/>
                      <w:highlight w:val="none"/>
                      <w:u w:val="single" w:color="auto"/>
                      <w:lang w:val="en-US" w:eastAsia="zh-CN"/>
                    </w:rPr>
                    <w:t>4</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eastAsia="zh-CN"/>
                    </w:rPr>
                  </w:pPr>
                  <w:r>
                    <w:rPr>
                      <w:rFonts w:hint="eastAsia" w:cs="Times New Roman"/>
                      <w:color w:val="auto"/>
                      <w:sz w:val="21"/>
                      <w:szCs w:val="21"/>
                      <w:highlight w:val="none"/>
                      <w:u w:val="single" w:color="auto"/>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SS</w:t>
                  </w:r>
                </w:p>
              </w:tc>
              <w:tc>
                <w:tcPr>
                  <w:tcW w:w="2058"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400</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rPr>
                  </w:pPr>
                  <w:r>
                    <w:rPr>
                      <w:rFonts w:hint="eastAsia" w:cs="Times New Roman"/>
                      <w:color w:val="auto"/>
                      <w:sz w:val="21"/>
                      <w:szCs w:val="21"/>
                      <w:highlight w:val="none"/>
                      <w:u w:val="single" w:color="auto"/>
                      <w:lang w:val="en-US" w:eastAsia="zh-CN"/>
                    </w:rPr>
                    <w:t>400</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rPr>
                  </w:pPr>
                  <w:r>
                    <w:rPr>
                      <w:rFonts w:hint="eastAsia" w:cs="Times New Roman"/>
                      <w:color w:val="auto"/>
                      <w:sz w:val="21"/>
                      <w:szCs w:val="21"/>
                      <w:highlight w:val="none"/>
                      <w:u w:val="single" w:color="auto"/>
                      <w:lang w:val="en-US" w:eastAsia="zh-CN"/>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石油类</w:t>
                  </w:r>
                </w:p>
              </w:tc>
              <w:tc>
                <w:tcPr>
                  <w:tcW w:w="2058" w:type="dxa"/>
                  <w:tcBorders>
                    <w:tl2br w:val="nil"/>
                    <w:tr2bl w:val="nil"/>
                  </w:tcBorders>
                  <w:vAlign w:val="center"/>
                </w:tcPr>
                <w:p>
                  <w:pPr>
                    <w:kinsoku w:val="0"/>
                    <w:overflowPunct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20</w:t>
                  </w:r>
                </w:p>
              </w:tc>
              <w:tc>
                <w:tcPr>
                  <w:tcW w:w="19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w:t>
                  </w:r>
                </w:p>
              </w:tc>
              <w:tc>
                <w:tcPr>
                  <w:tcW w:w="225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10</w:t>
                  </w:r>
                </w:p>
              </w:tc>
            </w:tr>
          </w:tbl>
          <w:p>
            <w:pPr>
              <w:spacing w:line="500" w:lineRule="exact"/>
              <w:ind w:firstLine="481" w:firstLineChars="200"/>
              <w:jc w:val="left"/>
              <w:rPr>
                <w:rStyle w:val="68"/>
                <w:rFonts w:hint="default" w:ascii="Times New Roman" w:hAnsi="Times New Roman" w:eastAsia="宋体" w:cs="Times New Roman"/>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三、噪声排放标准</w:t>
            </w:r>
          </w:p>
          <w:p>
            <w:pPr>
              <w:snapToGrid w:val="0"/>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营运期噪声排放厂界执行《工业企业厂界环境噪声排放标准》（GB12348-2008）中表1中3类标准，项目噪声排放标准见表3-</w:t>
            </w:r>
            <w:r>
              <w:rPr>
                <w:rFonts w:hint="default" w:ascii="Times New Roman" w:hAnsi="Times New Roman" w:eastAsia="宋体" w:cs="Times New Roman"/>
                <w:color w:val="auto"/>
                <w:highlight w:val="none"/>
                <w:u w:val="none" w:color="auto"/>
                <w:lang w:val="en-US" w:eastAsia="zh-CN"/>
              </w:rPr>
              <w:t>1</w:t>
            </w:r>
            <w:r>
              <w:rPr>
                <w:rFonts w:hint="eastAsia" w:cs="Times New Roman"/>
                <w:color w:val="auto"/>
                <w:highlight w:val="none"/>
                <w:u w:val="none" w:color="auto"/>
                <w:lang w:val="en-US" w:eastAsia="zh-CN"/>
              </w:rPr>
              <w:t>0</w:t>
            </w:r>
            <w:r>
              <w:rPr>
                <w:rFonts w:hint="default" w:ascii="Times New Roman" w:hAnsi="Times New Roman" w:eastAsia="宋体" w:cs="Times New Roman"/>
                <w:color w:val="auto"/>
                <w:highlight w:val="none"/>
                <w:u w:val="none" w:color="auto"/>
              </w:rPr>
              <w:t>。</w:t>
            </w:r>
          </w:p>
          <w:p>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表3-1</w:t>
            </w:r>
            <w:r>
              <w:rPr>
                <w:rFonts w:hint="eastAsia" w:cs="Times New Roman"/>
                <w:b/>
                <w:color w:val="auto"/>
                <w:sz w:val="21"/>
                <w:szCs w:val="21"/>
                <w:highlight w:val="none"/>
                <w:u w:val="none" w:color="auto"/>
                <w:lang w:val="en-US" w:eastAsia="zh-CN"/>
              </w:rPr>
              <w:t>0</w:t>
            </w:r>
            <w:r>
              <w:rPr>
                <w:rFonts w:hint="default" w:ascii="Times New Roman" w:hAnsi="Times New Roman" w:eastAsia="宋体" w:cs="Times New Roman"/>
                <w:b/>
                <w:color w:val="auto"/>
                <w:sz w:val="21"/>
                <w:szCs w:val="21"/>
                <w:highlight w:val="none"/>
                <w:u w:val="none" w:color="auto"/>
              </w:rPr>
              <w:t xml:space="preserve"> 项目噪声排放标准一览表</w:t>
            </w:r>
          </w:p>
          <w:tbl>
            <w:tblPr>
              <w:tblStyle w:val="4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65"/>
              <w:gridCol w:w="1365"/>
              <w:gridCol w:w="1323"/>
              <w:gridCol w:w="2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vAlign w:val="center"/>
                </w:tcPr>
                <w:p>
                  <w:pPr>
                    <w:jc w:val="center"/>
                    <w:rPr>
                      <w:rStyle w:val="68"/>
                      <w:rFonts w:hint="default" w:ascii="Times New Roman" w:hAnsi="Times New Roman" w:eastAsia="宋体" w:cs="Times New Roman"/>
                      <w:bCs w:val="0"/>
                      <w:color w:val="auto"/>
                      <w:sz w:val="21"/>
                      <w:szCs w:val="21"/>
                      <w:highlight w:val="none"/>
                      <w:u w:val="none" w:color="auto"/>
                    </w:rPr>
                  </w:pPr>
                  <w:r>
                    <w:rPr>
                      <w:rStyle w:val="68"/>
                      <w:rFonts w:hint="default" w:ascii="Times New Roman" w:hAnsi="Times New Roman" w:eastAsia="宋体" w:cs="Times New Roman"/>
                      <w:bCs w:val="0"/>
                      <w:color w:val="auto"/>
                      <w:sz w:val="21"/>
                      <w:szCs w:val="21"/>
                      <w:highlight w:val="none"/>
                      <w:u w:val="none" w:color="auto"/>
                    </w:rPr>
                    <w:t>时期</w:t>
                  </w:r>
                </w:p>
              </w:tc>
              <w:tc>
                <w:tcPr>
                  <w:tcW w:w="852" w:type="pct"/>
                  <w:tcBorders>
                    <w:tl2br w:val="nil"/>
                    <w:tr2bl w:val="nil"/>
                  </w:tcBorders>
                  <w:vAlign w:val="center"/>
                </w:tcPr>
                <w:p>
                  <w:pPr>
                    <w:jc w:val="center"/>
                    <w:rPr>
                      <w:rStyle w:val="68"/>
                      <w:rFonts w:hint="default" w:ascii="Times New Roman" w:hAnsi="Times New Roman" w:eastAsia="宋体" w:cs="Times New Roman"/>
                      <w:bCs w:val="0"/>
                      <w:color w:val="auto"/>
                      <w:sz w:val="21"/>
                      <w:szCs w:val="21"/>
                      <w:highlight w:val="none"/>
                      <w:u w:val="none" w:color="auto"/>
                    </w:rPr>
                  </w:pPr>
                  <w:r>
                    <w:rPr>
                      <w:rStyle w:val="68"/>
                      <w:rFonts w:hint="default" w:ascii="Times New Roman" w:hAnsi="Times New Roman" w:eastAsia="宋体" w:cs="Times New Roman"/>
                      <w:bCs w:val="0"/>
                      <w:color w:val="auto"/>
                      <w:sz w:val="21"/>
                      <w:szCs w:val="21"/>
                      <w:highlight w:val="none"/>
                      <w:u w:val="none" w:color="auto"/>
                    </w:rPr>
                    <w:t>类别</w:t>
                  </w:r>
                </w:p>
              </w:tc>
              <w:tc>
                <w:tcPr>
                  <w:tcW w:w="852" w:type="pct"/>
                  <w:tcBorders>
                    <w:tl2br w:val="nil"/>
                    <w:tr2bl w:val="nil"/>
                  </w:tcBorders>
                  <w:vAlign w:val="center"/>
                </w:tcPr>
                <w:p>
                  <w:pPr>
                    <w:jc w:val="center"/>
                    <w:rPr>
                      <w:rStyle w:val="68"/>
                      <w:rFonts w:hint="default" w:ascii="Times New Roman" w:hAnsi="Times New Roman" w:eastAsia="宋体" w:cs="Times New Roman"/>
                      <w:bCs w:val="0"/>
                      <w:color w:val="auto"/>
                      <w:sz w:val="21"/>
                      <w:szCs w:val="21"/>
                      <w:highlight w:val="none"/>
                      <w:u w:val="none" w:color="auto"/>
                    </w:rPr>
                  </w:pPr>
                  <w:r>
                    <w:rPr>
                      <w:rStyle w:val="68"/>
                      <w:rFonts w:hint="default" w:ascii="Times New Roman" w:hAnsi="Times New Roman" w:eastAsia="宋体" w:cs="Times New Roman"/>
                      <w:bCs w:val="0"/>
                      <w:color w:val="auto"/>
                      <w:sz w:val="21"/>
                      <w:szCs w:val="21"/>
                      <w:highlight w:val="none"/>
                      <w:u w:val="none" w:color="auto"/>
                    </w:rPr>
                    <w:t>昼间</w:t>
                  </w:r>
                </w:p>
              </w:tc>
              <w:tc>
                <w:tcPr>
                  <w:tcW w:w="826" w:type="pct"/>
                  <w:tcBorders>
                    <w:tl2br w:val="nil"/>
                    <w:tr2bl w:val="nil"/>
                  </w:tcBorders>
                  <w:vAlign w:val="center"/>
                </w:tcPr>
                <w:p>
                  <w:pPr>
                    <w:jc w:val="center"/>
                    <w:rPr>
                      <w:rStyle w:val="68"/>
                      <w:rFonts w:hint="default" w:ascii="Times New Roman" w:hAnsi="Times New Roman" w:eastAsia="宋体" w:cs="Times New Roman"/>
                      <w:bCs w:val="0"/>
                      <w:color w:val="auto"/>
                      <w:sz w:val="21"/>
                      <w:szCs w:val="21"/>
                      <w:highlight w:val="none"/>
                      <w:u w:val="none" w:color="auto"/>
                    </w:rPr>
                  </w:pPr>
                  <w:r>
                    <w:rPr>
                      <w:rStyle w:val="68"/>
                      <w:rFonts w:hint="default" w:ascii="Times New Roman" w:hAnsi="Times New Roman" w:eastAsia="宋体" w:cs="Times New Roman"/>
                      <w:bCs w:val="0"/>
                      <w:color w:val="auto"/>
                      <w:sz w:val="21"/>
                      <w:szCs w:val="21"/>
                      <w:highlight w:val="none"/>
                      <w:u w:val="none" w:color="auto"/>
                    </w:rPr>
                    <w:t>夜间</w:t>
                  </w:r>
                </w:p>
              </w:tc>
              <w:tc>
                <w:tcPr>
                  <w:tcW w:w="1784" w:type="pct"/>
                  <w:tcBorders>
                    <w:tl2br w:val="nil"/>
                    <w:tr2bl w:val="nil"/>
                  </w:tcBorders>
                  <w:vAlign w:val="center"/>
                </w:tcPr>
                <w:p>
                  <w:pPr>
                    <w:jc w:val="center"/>
                    <w:rPr>
                      <w:rStyle w:val="68"/>
                      <w:rFonts w:hint="default" w:ascii="Times New Roman" w:hAnsi="Times New Roman" w:eastAsia="宋体" w:cs="Times New Roman"/>
                      <w:bCs w:val="0"/>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vAlign w:val="center"/>
                </w:tcPr>
                <w:p>
                  <w:pPr>
                    <w:jc w:val="center"/>
                    <w:rPr>
                      <w:rStyle w:val="68"/>
                      <w:rFonts w:hint="default" w:ascii="Times New Roman" w:hAnsi="Times New Roman" w:eastAsia="宋体" w:cs="Times New Roman"/>
                      <w:b w:val="0"/>
                      <w:color w:val="auto"/>
                      <w:sz w:val="21"/>
                      <w:szCs w:val="21"/>
                      <w:highlight w:val="none"/>
                      <w:u w:val="none" w:color="auto"/>
                    </w:rPr>
                  </w:pPr>
                  <w:r>
                    <w:rPr>
                      <w:rStyle w:val="68"/>
                      <w:rFonts w:hint="default" w:ascii="Times New Roman" w:hAnsi="Times New Roman" w:eastAsia="宋体" w:cs="Times New Roman"/>
                      <w:b w:val="0"/>
                      <w:color w:val="auto"/>
                      <w:sz w:val="21"/>
                      <w:szCs w:val="21"/>
                      <w:highlight w:val="none"/>
                      <w:u w:val="none" w:color="auto"/>
                    </w:rPr>
                    <w:t>营运期</w:t>
                  </w:r>
                </w:p>
              </w:tc>
              <w:tc>
                <w:tcPr>
                  <w:tcW w:w="852" w:type="pct"/>
                  <w:tcBorders>
                    <w:tl2br w:val="nil"/>
                    <w:tr2bl w:val="nil"/>
                  </w:tcBorders>
                  <w:vAlign w:val="center"/>
                </w:tcPr>
                <w:p>
                  <w:pPr>
                    <w:jc w:val="center"/>
                    <w:rPr>
                      <w:rStyle w:val="68"/>
                      <w:rFonts w:hint="default" w:ascii="Times New Roman" w:hAnsi="Times New Roman" w:eastAsia="宋体" w:cs="Times New Roman"/>
                      <w:b w:val="0"/>
                      <w:color w:val="auto"/>
                      <w:sz w:val="21"/>
                      <w:szCs w:val="21"/>
                      <w:highlight w:val="none"/>
                      <w:u w:val="none" w:color="auto"/>
                    </w:rPr>
                  </w:pPr>
                  <w:r>
                    <w:rPr>
                      <w:rStyle w:val="68"/>
                      <w:rFonts w:hint="default" w:ascii="Times New Roman" w:hAnsi="Times New Roman" w:eastAsia="宋体" w:cs="Times New Roman"/>
                      <w:b w:val="0"/>
                      <w:color w:val="auto"/>
                      <w:sz w:val="21"/>
                      <w:szCs w:val="21"/>
                      <w:highlight w:val="none"/>
                      <w:u w:val="none" w:color="auto"/>
                    </w:rPr>
                    <w:t>3类</w:t>
                  </w:r>
                </w:p>
              </w:tc>
              <w:tc>
                <w:tcPr>
                  <w:tcW w:w="852" w:type="pct"/>
                  <w:tcBorders>
                    <w:tl2br w:val="nil"/>
                    <w:tr2bl w:val="nil"/>
                  </w:tcBorders>
                  <w:vAlign w:val="center"/>
                </w:tcPr>
                <w:p>
                  <w:pPr>
                    <w:jc w:val="center"/>
                    <w:rPr>
                      <w:rStyle w:val="68"/>
                      <w:rFonts w:hint="default" w:ascii="Times New Roman" w:hAnsi="Times New Roman" w:eastAsia="宋体" w:cs="Times New Roman"/>
                      <w:b w:val="0"/>
                      <w:color w:val="auto"/>
                      <w:sz w:val="21"/>
                      <w:szCs w:val="21"/>
                      <w:highlight w:val="none"/>
                      <w:u w:val="none" w:color="auto"/>
                    </w:rPr>
                  </w:pPr>
                  <w:r>
                    <w:rPr>
                      <w:rStyle w:val="68"/>
                      <w:rFonts w:hint="default" w:ascii="Times New Roman" w:hAnsi="Times New Roman" w:eastAsia="宋体" w:cs="Times New Roman"/>
                      <w:b w:val="0"/>
                      <w:color w:val="auto"/>
                      <w:sz w:val="21"/>
                      <w:szCs w:val="21"/>
                      <w:highlight w:val="none"/>
                      <w:u w:val="none" w:color="auto"/>
                    </w:rPr>
                    <w:t>65dB（A）</w:t>
                  </w:r>
                </w:p>
              </w:tc>
              <w:tc>
                <w:tcPr>
                  <w:tcW w:w="826" w:type="pct"/>
                  <w:tcBorders>
                    <w:tl2br w:val="nil"/>
                    <w:tr2bl w:val="nil"/>
                  </w:tcBorders>
                  <w:vAlign w:val="center"/>
                </w:tcPr>
                <w:p>
                  <w:pPr>
                    <w:jc w:val="center"/>
                    <w:rPr>
                      <w:rStyle w:val="68"/>
                      <w:rFonts w:hint="default" w:ascii="Times New Roman" w:hAnsi="Times New Roman" w:eastAsia="宋体" w:cs="Times New Roman"/>
                      <w:b w:val="0"/>
                      <w:color w:val="auto"/>
                      <w:sz w:val="21"/>
                      <w:szCs w:val="21"/>
                      <w:highlight w:val="none"/>
                      <w:u w:val="none" w:color="auto"/>
                    </w:rPr>
                  </w:pPr>
                  <w:r>
                    <w:rPr>
                      <w:rStyle w:val="68"/>
                      <w:rFonts w:hint="default" w:ascii="Times New Roman" w:hAnsi="Times New Roman" w:eastAsia="宋体" w:cs="Times New Roman"/>
                      <w:b w:val="0"/>
                      <w:color w:val="auto"/>
                      <w:sz w:val="21"/>
                      <w:szCs w:val="21"/>
                      <w:highlight w:val="none"/>
                      <w:u w:val="none" w:color="auto"/>
                    </w:rPr>
                    <w:t>55dB（A）</w:t>
                  </w:r>
                </w:p>
              </w:tc>
              <w:tc>
                <w:tcPr>
                  <w:tcW w:w="1784" w:type="pct"/>
                  <w:tcBorders>
                    <w:tl2br w:val="nil"/>
                    <w:tr2bl w:val="nil"/>
                  </w:tcBorders>
                  <w:vAlign w:val="center"/>
                </w:tcPr>
                <w:p>
                  <w:pPr>
                    <w:jc w:val="center"/>
                    <w:rPr>
                      <w:rStyle w:val="68"/>
                      <w:rFonts w:hint="default" w:ascii="Times New Roman" w:hAnsi="Times New Roman" w:eastAsia="宋体" w:cs="Times New Roman"/>
                      <w:b w:val="0"/>
                      <w:color w:val="auto"/>
                      <w:sz w:val="21"/>
                      <w:szCs w:val="21"/>
                      <w:highlight w:val="none"/>
                      <w:u w:val="none" w:color="auto"/>
                    </w:rPr>
                  </w:pPr>
                  <w:r>
                    <w:rPr>
                      <w:rStyle w:val="68"/>
                      <w:rFonts w:hint="default" w:ascii="Times New Roman" w:hAnsi="Times New Roman" w:eastAsia="宋体" w:cs="Times New Roman"/>
                      <w:b w:val="0"/>
                      <w:color w:val="auto"/>
                      <w:sz w:val="21"/>
                      <w:szCs w:val="21"/>
                      <w:highlight w:val="none"/>
                      <w:u w:val="none" w:color="auto"/>
                    </w:rPr>
                    <w:t>《工业企业厂界环境噪声排放标准》（GB12348-2008）</w:t>
                  </w:r>
                </w:p>
              </w:tc>
            </w:tr>
          </w:tbl>
          <w:p>
            <w:pPr>
              <w:spacing w:line="500" w:lineRule="exact"/>
              <w:ind w:firstLine="481" w:firstLineChars="200"/>
              <w:jc w:val="left"/>
              <w:rPr>
                <w:rStyle w:val="68"/>
                <w:rFonts w:hint="default" w:ascii="Times New Roman" w:hAnsi="Times New Roman" w:eastAsia="宋体" w:cs="Times New Roman"/>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四、固体废物控制标准</w:t>
            </w:r>
          </w:p>
          <w:p>
            <w:pPr>
              <w:spacing w:line="500" w:lineRule="exact"/>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一般工业固体废物执行《一般工业固体废物贮存和填埋污染控制标准》（GB18599-2020）</w:t>
            </w:r>
            <w:r>
              <w:rPr>
                <w:rFonts w:hint="default" w:ascii="Times New Roman" w:hAnsi="Times New Roman" w:eastAsia="宋体" w:cs="Times New Roman"/>
                <w:color w:val="auto"/>
                <w:highlight w:val="none"/>
                <w:u w:val="none" w:color="auto"/>
                <w:lang w:val="en-US" w:eastAsia="zh-CN"/>
              </w:rPr>
              <w:t>相关标准要求</w:t>
            </w:r>
            <w:r>
              <w:rPr>
                <w:rFonts w:hint="default" w:ascii="Times New Roman" w:hAnsi="Times New Roman" w:eastAsia="宋体" w:cs="Times New Roman"/>
                <w:color w:val="auto"/>
                <w:highlight w:val="none"/>
                <w:u w:val="none" w:color="auto"/>
              </w:rPr>
              <w:t>；危险废物执行《危险废物贮存污染控制标准》（GB18597-2023）</w:t>
            </w:r>
            <w:r>
              <w:rPr>
                <w:rFonts w:hint="default" w:ascii="Times New Roman" w:hAnsi="Times New Roman" w:eastAsia="宋体" w:cs="Times New Roman"/>
                <w:color w:val="auto"/>
                <w:highlight w:val="none"/>
                <w:u w:val="none" w:color="auto"/>
                <w:lang w:val="en-US" w:eastAsia="zh-CN"/>
              </w:rPr>
              <w:t>中相关标准要求</w:t>
            </w:r>
            <w:r>
              <w:rPr>
                <w:rFonts w:hint="default" w:ascii="Times New Roman" w:hAnsi="Times New Roman" w:eastAsia="宋体" w:cs="Times New Roman"/>
                <w:color w:val="auto"/>
                <w:highlight w:val="none"/>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总量</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控制</w:t>
            </w:r>
          </w:p>
          <w:p>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指标</w:t>
            </w:r>
          </w:p>
        </w:tc>
        <w:tc>
          <w:tcPr>
            <w:tcW w:w="4555" w:type="pct"/>
          </w:tcPr>
          <w:p>
            <w:p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本项目</w:t>
            </w:r>
            <w:r>
              <w:rPr>
                <w:rStyle w:val="68"/>
                <w:rFonts w:hint="default" w:ascii="Times New Roman" w:hAnsi="Times New Roman" w:eastAsia="宋体" w:cs="Times New Roman"/>
                <w:b w:val="0"/>
                <w:bCs w:val="0"/>
                <w:color w:val="auto"/>
                <w:sz w:val="24"/>
                <w:szCs w:val="24"/>
                <w:highlight w:val="none"/>
                <w:u w:val="none" w:color="auto"/>
              </w:rPr>
              <w:t>生活污水</w:t>
            </w:r>
            <w:r>
              <w:rPr>
                <w:rStyle w:val="68"/>
                <w:rFonts w:hint="default" w:ascii="Times New Roman" w:hAnsi="Times New Roman" w:eastAsia="宋体" w:cs="Times New Roman"/>
                <w:b w:val="0"/>
                <w:bCs w:val="0"/>
                <w:color w:val="auto"/>
                <w:sz w:val="24"/>
                <w:szCs w:val="24"/>
                <w:highlight w:val="none"/>
                <w:u w:val="none" w:color="auto"/>
                <w:lang w:val="en-US" w:eastAsia="zh-CN"/>
              </w:rPr>
              <w:t>依托中塑新材料公司已有化粪池</w:t>
            </w:r>
            <w:r>
              <w:rPr>
                <w:rStyle w:val="68"/>
                <w:rFonts w:hint="default" w:ascii="Times New Roman" w:hAnsi="Times New Roman" w:eastAsia="宋体" w:cs="Times New Roman"/>
                <w:b w:val="0"/>
                <w:bCs w:val="0"/>
                <w:color w:val="auto"/>
                <w:sz w:val="24"/>
                <w:szCs w:val="24"/>
                <w:highlight w:val="none"/>
                <w:u w:val="none" w:color="auto"/>
              </w:rPr>
              <w:t>处理后，通过园区污水管网排入</w:t>
            </w:r>
            <w:r>
              <w:rPr>
                <w:rFonts w:hint="eastAsia" w:cs="Times New Roman"/>
                <w:color w:val="auto"/>
                <w:sz w:val="24"/>
                <w:szCs w:val="24"/>
                <w:highlight w:val="none"/>
                <w:u w:val="none" w:color="auto"/>
                <w:lang w:val="en-US" w:eastAsia="zh-CN"/>
              </w:rPr>
              <w:t>湖南汨罗高新技术产业开发区（循环园区）污水处理厂</w:t>
            </w:r>
            <w:r>
              <w:rPr>
                <w:rStyle w:val="68"/>
                <w:rFonts w:hint="default" w:ascii="Times New Roman" w:hAnsi="Times New Roman" w:eastAsia="宋体" w:cs="Times New Roman"/>
                <w:b w:val="0"/>
                <w:bCs w:val="0"/>
                <w:color w:val="auto"/>
                <w:sz w:val="24"/>
                <w:szCs w:val="24"/>
                <w:highlight w:val="none"/>
                <w:u w:val="none" w:color="auto"/>
              </w:rPr>
              <w:t>深度处理</w:t>
            </w:r>
            <w:r>
              <w:rPr>
                <w:rFonts w:hint="default" w:ascii="Times New Roman" w:hAnsi="Times New Roman" w:eastAsia="宋体" w:cs="Times New Roman"/>
                <w:color w:val="auto"/>
                <w:highlight w:val="none"/>
                <w:u w:val="none" w:color="auto"/>
              </w:rPr>
              <w:t>达到《城镇污水处理厂污染物排放标准》（GB18918-2002）一级A标准</w:t>
            </w:r>
            <w:r>
              <w:rPr>
                <w:rFonts w:hint="default" w:ascii="Times New Roman" w:hAnsi="Times New Roman" w:eastAsia="宋体" w:cs="Times New Roman"/>
                <w:color w:val="auto"/>
                <w:highlight w:val="none"/>
                <w:u w:val="none" w:color="auto"/>
                <w:lang w:val="en-US" w:eastAsia="zh-CN"/>
              </w:rPr>
              <w:t>后排放；</w:t>
            </w:r>
            <w:r>
              <w:rPr>
                <w:rFonts w:hint="eastAsia" w:cs="Times New Roman"/>
                <w:color w:val="auto"/>
                <w:highlight w:val="none"/>
                <w:u w:val="none" w:color="auto"/>
                <w:lang w:val="en-US" w:eastAsia="zh-CN"/>
              </w:rPr>
              <w:t>生产废水经沉淀池处理后进入湖</w:t>
            </w:r>
            <w:r>
              <w:rPr>
                <w:rFonts w:hint="default" w:ascii="Times New Roman" w:hAnsi="Times New Roman" w:eastAsia="宋体" w:cs="Times New Roman"/>
                <w:color w:val="auto"/>
                <w:highlight w:val="none"/>
                <w:u w:val="none" w:color="auto"/>
                <w:lang w:val="en-US" w:eastAsia="zh-CN"/>
              </w:rPr>
              <w:t>南中塑新材料科技有限公司已建的</w:t>
            </w:r>
            <w:r>
              <w:rPr>
                <w:rFonts w:hint="default" w:ascii="Times New Roman" w:hAnsi="Times New Roman" w:eastAsia="宋体" w:cs="Times New Roman"/>
                <w:color w:val="auto"/>
                <w:highlight w:val="none"/>
                <w:u w:val="none" w:color="auto"/>
              </w:rPr>
              <w:t>废水处理站</w:t>
            </w:r>
            <w:r>
              <w:rPr>
                <w:rFonts w:hint="default" w:ascii="Times New Roman" w:hAnsi="Times New Roman" w:eastAsia="宋体" w:cs="Times New Roman"/>
                <w:color w:val="auto"/>
                <w:highlight w:val="none"/>
                <w:u w:val="none" w:color="auto"/>
                <w:lang w:val="en-US" w:eastAsia="zh-CN"/>
              </w:rPr>
              <w:t>处理</w:t>
            </w:r>
            <w:r>
              <w:rPr>
                <w:rFonts w:hint="eastAsia" w:cs="Times New Roman"/>
                <w:color w:val="auto"/>
                <w:highlight w:val="none"/>
                <w:u w:val="none" w:color="auto"/>
                <w:lang w:val="en-US" w:eastAsia="zh-CN"/>
              </w:rPr>
              <w:t>，最后排入</w:t>
            </w:r>
            <w:r>
              <w:rPr>
                <w:rFonts w:hint="default" w:ascii="Times New Roman" w:hAnsi="Times New Roman" w:eastAsia="宋体" w:cs="Times New Roman"/>
                <w:color w:val="auto"/>
                <w:highlight w:val="none"/>
                <w:u w:val="none" w:color="auto"/>
              </w:rPr>
              <w:t>汨罗循环经济产业园再生材料产业园污水处理厂处理达到《城镇污水处理厂污染物排放标准》（GB18918-2002）一级A标准后全部回用于再生材料产业园， 根据《关于湖南汨罗循环经济产业园(再生材料产业园)1万吨/天污水处理及中水回用工程环境影响报告书的批复》（岳环评[2018]76 号），该污水厂处理后的尾水全部回用，不对外排放，因此本项目不设水污染物总量指标</w:t>
            </w:r>
            <w:r>
              <w:rPr>
                <w:rFonts w:hint="default" w:ascii="Times New Roman" w:hAnsi="Times New Roman" w:eastAsia="宋体" w:cs="Times New Roman"/>
                <w:color w:val="auto"/>
                <w:highlight w:val="none"/>
                <w:u w:val="none" w:color="auto"/>
                <w:lang w:eastAsia="zh-CN"/>
              </w:rPr>
              <w:t>。</w:t>
            </w:r>
          </w:p>
          <w:p>
            <w:pPr>
              <w:spacing w:line="360" w:lineRule="auto"/>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本项目废气主要为颗粒物，无需申请总量控制指标。</w:t>
            </w:r>
          </w:p>
        </w:tc>
      </w:tr>
    </w:tbl>
    <w:p>
      <w:pPr>
        <w:pStyle w:val="8"/>
        <w:bidi w:val="0"/>
        <w:rPr>
          <w:rFonts w:hint="default" w:ascii="Times New Roman" w:hAnsi="Times New Roman" w:eastAsia="宋体" w:cs="Times New Roman"/>
          <w:b/>
          <w:bCs/>
          <w:snapToGrid w:val="0"/>
          <w:color w:val="auto"/>
          <w:sz w:val="30"/>
          <w:szCs w:val="30"/>
          <w:highlight w:val="none"/>
          <w:u w:val="none" w:color="auto"/>
        </w:rPr>
      </w:pPr>
      <w:r>
        <w:rPr>
          <w:rFonts w:hint="default" w:ascii="Times New Roman" w:hAnsi="Times New Roman" w:eastAsia="宋体" w:cs="Times New Roman"/>
          <w:snapToGrid w:val="0"/>
          <w:color w:val="auto"/>
          <w:sz w:val="36"/>
          <w:szCs w:val="36"/>
          <w:highlight w:val="none"/>
          <w:u w:val="none" w:color="auto"/>
        </w:rPr>
        <w:br w:type="page"/>
      </w:r>
      <w:bookmarkStart w:id="15" w:name="_Toc9807"/>
      <w:r>
        <w:rPr>
          <w:rStyle w:val="67"/>
          <w:rFonts w:hint="default" w:ascii="Times New Roman" w:hAnsi="Times New Roman" w:eastAsia="宋体" w:cs="Times New Roman"/>
          <w:b/>
          <w:bCs/>
          <w:color w:val="auto"/>
          <w:highlight w:val="none"/>
          <w:u w:val="none" w:color="auto"/>
        </w:rPr>
        <w:t>四、主要环境影响和保护措施</w:t>
      </w:r>
      <w:bookmarkEnd w:id="15"/>
    </w:p>
    <w:tbl>
      <w:tblPr>
        <w:tblStyle w:val="42"/>
        <w:tblW w:w="8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tcMar>
              <w:left w:w="28" w:type="dxa"/>
              <w:right w:w="28" w:type="dxa"/>
            </w:tcMar>
            <w:vAlign w:val="center"/>
          </w:tcPr>
          <w:p>
            <w:pPr>
              <w:pStyle w:val="39"/>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施工</w:t>
            </w:r>
          </w:p>
          <w:p>
            <w:pPr>
              <w:pStyle w:val="39"/>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期环</w:t>
            </w:r>
          </w:p>
          <w:p>
            <w:pPr>
              <w:pStyle w:val="39"/>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境保</w:t>
            </w:r>
          </w:p>
          <w:p>
            <w:pPr>
              <w:pStyle w:val="39"/>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护措</w:t>
            </w:r>
          </w:p>
          <w:p>
            <w:pPr>
              <w:pStyle w:val="39"/>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u w:val="none" w:color="auto"/>
              </w:rPr>
            </w:pPr>
            <w:r>
              <w:rPr>
                <w:rFonts w:hint="default" w:ascii="Times New Roman" w:hAnsi="Times New Roman" w:eastAsia="宋体" w:cs="Times New Roman"/>
                <w:color w:val="auto"/>
                <w:kern w:val="2"/>
                <w:sz w:val="24"/>
                <w:szCs w:val="24"/>
                <w:highlight w:val="none"/>
                <w:u w:val="none" w:color="auto"/>
              </w:rPr>
              <w:t>施</w:t>
            </w:r>
          </w:p>
        </w:tc>
        <w:tc>
          <w:tcPr>
            <w:tcW w:w="8222" w:type="dxa"/>
          </w:tcPr>
          <w:p>
            <w:pPr>
              <w:spacing w:line="36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本项目租赁现有厂房进行建设，仅进行设备安装，仅少量施工期噪声、生活垃圾和生活污水产生。施工期生活污水经化粪池处理后排入湖南汨罗高新技术产业开发区（循环园区）污水处理厂；生活垃圾交由环卫部门处理；噪声应按《建筑施工场界环境噪声排放标准》（GB12523-2011）进行控制，应合理安排施工时间，尽量避免高噪声设备同时施工，应限制夜间高噪声设备的施工时间，在夜间10点至次日早上6点禁止施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737"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运营</w:t>
            </w:r>
          </w:p>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期环</w:t>
            </w:r>
          </w:p>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境影</w:t>
            </w:r>
          </w:p>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响和</w:t>
            </w:r>
          </w:p>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保护</w:t>
            </w:r>
          </w:p>
          <w:p>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措施</w:t>
            </w:r>
          </w:p>
        </w:tc>
        <w:tc>
          <w:tcPr>
            <w:tcW w:w="8222" w:type="dxa"/>
          </w:tcPr>
          <w:p>
            <w:pPr>
              <w:spacing w:line="360" w:lineRule="auto"/>
              <w:ind w:firstLine="481" w:firstLineChars="200"/>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rPr>
              <w:t>一、大气污染源分析</w:t>
            </w:r>
          </w:p>
          <w:p>
            <w:pPr>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1、污染物产生情况</w:t>
            </w:r>
          </w:p>
          <w:p>
            <w:pPr>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本项目营运期间产生废气主要</w:t>
            </w:r>
            <w:r>
              <w:rPr>
                <w:rStyle w:val="68"/>
                <w:rFonts w:hint="default" w:ascii="Times New Roman" w:hAnsi="Times New Roman" w:eastAsia="宋体" w:cs="Times New Roman"/>
                <w:b w:val="0"/>
                <w:bCs w:val="0"/>
                <w:color w:val="auto"/>
                <w:sz w:val="24"/>
                <w:szCs w:val="24"/>
                <w:highlight w:val="none"/>
                <w:u w:val="none" w:color="auto"/>
                <w:lang w:val="en-US" w:eastAsia="zh-CN"/>
              </w:rPr>
              <w:t>为破碎</w:t>
            </w:r>
            <w:r>
              <w:rPr>
                <w:rStyle w:val="68"/>
                <w:rFonts w:hint="default" w:ascii="Times New Roman" w:hAnsi="Times New Roman" w:eastAsia="宋体" w:cs="Times New Roman"/>
                <w:b w:val="0"/>
                <w:bCs w:val="0"/>
                <w:color w:val="auto"/>
                <w:sz w:val="24"/>
                <w:szCs w:val="24"/>
                <w:highlight w:val="none"/>
                <w:u w:val="none" w:color="auto"/>
              </w:rPr>
              <w:t>粉尘。</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本项目破碎采取湿法破碎，从源头抑制粉尘的产生，根据《排放源统计调查产排污核算方法和系数手册》42废弃资源综合利用行业系数手册，无湿法破碎产污系数。本项目参照《空气污染物排放和控制手册》（美国国家环保局）中塑料加工中逸散颗粒物排放系数，在无控制措施的情况下排放系数为0.12kg/t-原料，本项目原料用量为72000t，则破碎工序粉尘产生量为8.64t/a，本项目采用湿法破碎，洒水降尘，可从有效抑制粉尘产生，效率按90%，则粉尘产生量为0.864t/a，破碎工序在车间内进行，粉尘主要成分为塑料碎屑，粒径较大，一般沉降在车间内，沉降率一般在80%以上，因此本项目无组织粉尘排放量为0.173t/a（0.024kg/h）。</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2、废气处理可行性分析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本项目主要废气为破碎加工粉尘，采取湿法破碎、洒水降尘、加强厂房封闭性等措施，可有效减少无组织粉尘的排放，属于《排污许可证申请与核发技术规范 废弃资源加工工业》（HJ1034-2019）附录A中所列的可行技术。通过湿法破碎、洒水降尘，加强厂房封闭性，可减少无组织粉尘对外环境的影响，无组织排放能够满足《大气污染物综合排放标准》（GB16297-1996）表2中无组织排放监控浓度限值。</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3、大气污染物排放核算</w:t>
            </w:r>
          </w:p>
          <w:p>
            <w:pPr>
              <w:adjustRightInd w:val="0"/>
              <w:snapToGrid w:val="0"/>
              <w:spacing w:line="360" w:lineRule="auto"/>
              <w:ind w:firstLine="421" w:firstLineChars="200"/>
              <w:jc w:val="center"/>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bCs/>
                <w:color w:val="auto"/>
                <w:sz w:val="21"/>
                <w:szCs w:val="21"/>
                <w:highlight w:val="none"/>
                <w:u w:val="single" w:color="auto"/>
                <w:lang w:val="en-US" w:eastAsia="zh-CN"/>
              </w:rPr>
              <w:t>表4-1 大气污染物无组织排放量核算表</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660"/>
              <w:gridCol w:w="795"/>
              <w:gridCol w:w="660"/>
              <w:gridCol w:w="1380"/>
              <w:gridCol w:w="1935"/>
              <w:gridCol w:w="124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4"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序号</w:t>
                  </w:r>
                </w:p>
              </w:tc>
              <w:tc>
                <w:tcPr>
                  <w:tcW w:w="66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b w:val="0"/>
                      <w:bCs/>
                      <w:color w:val="auto"/>
                      <w:kern w:val="0"/>
                      <w:sz w:val="21"/>
                      <w:szCs w:val="21"/>
                      <w:u w:val="single"/>
                      <w:vertAlign w:val="baseline"/>
                      <w:lang w:val="en-US" w:eastAsia="zh-CN"/>
                    </w:rPr>
                    <w:t>排放口编号</w:t>
                  </w:r>
                </w:p>
              </w:tc>
              <w:tc>
                <w:tcPr>
                  <w:tcW w:w="795"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b w:val="0"/>
                      <w:bCs/>
                      <w:color w:val="auto"/>
                      <w:kern w:val="0"/>
                      <w:sz w:val="21"/>
                      <w:szCs w:val="21"/>
                      <w:u w:val="single"/>
                      <w:vertAlign w:val="baseline"/>
                      <w:lang w:val="en-US" w:eastAsia="zh-CN"/>
                    </w:rPr>
                    <w:t>产污环节</w:t>
                  </w:r>
                </w:p>
              </w:tc>
              <w:tc>
                <w:tcPr>
                  <w:tcW w:w="66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b w:val="0"/>
                      <w:bCs/>
                      <w:color w:val="auto"/>
                      <w:kern w:val="0"/>
                      <w:sz w:val="21"/>
                      <w:szCs w:val="21"/>
                      <w:u w:val="single"/>
                      <w:vertAlign w:val="baseline"/>
                      <w:lang w:val="en-US" w:eastAsia="zh-CN"/>
                    </w:rPr>
                    <w:t>污染物</w:t>
                  </w:r>
                </w:p>
              </w:tc>
              <w:tc>
                <w:tcPr>
                  <w:tcW w:w="1380" w:type="dxa"/>
                  <w:vMerge w:val="restar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b w:val="0"/>
                      <w:bCs/>
                      <w:color w:val="auto"/>
                      <w:kern w:val="0"/>
                      <w:sz w:val="21"/>
                      <w:szCs w:val="21"/>
                      <w:u w:val="single"/>
                      <w:vertAlign w:val="baseline"/>
                      <w:lang w:val="en-US" w:eastAsia="zh-CN"/>
                    </w:rPr>
                    <w:t>主要污染防治措施</w:t>
                  </w:r>
                </w:p>
              </w:tc>
              <w:tc>
                <w:tcPr>
                  <w:tcW w:w="3180" w:type="dxa"/>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国家或地方污染物排放标准</w:t>
                  </w:r>
                </w:p>
              </w:tc>
              <w:tc>
                <w:tcPr>
                  <w:tcW w:w="877" w:type="dxa"/>
                  <w:vMerge w:val="restar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79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13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c>
                <w:tcPr>
                  <w:tcW w:w="1935" w:type="dxa"/>
                  <w:vAlign w:val="center"/>
                </w:tcPr>
                <w:p>
                  <w:pPr>
                    <w:pStyle w:val="282"/>
                    <w:ind w:right="113" w:rightChars="0" w:firstLine="0" w:firstLineChars="0"/>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color w:val="auto"/>
                      <w:szCs w:val="18"/>
                      <w:u w:val="single"/>
                    </w:rPr>
                    <w:t>标准名称</w:t>
                  </w:r>
                </w:p>
              </w:tc>
              <w:tc>
                <w:tcPr>
                  <w:tcW w:w="1245" w:type="dxa"/>
                  <w:vAlign w:val="center"/>
                </w:tcPr>
                <w:p>
                  <w:pPr>
                    <w:pStyle w:val="282"/>
                    <w:ind w:right="113" w:rightChars="0" w:firstLine="0" w:firstLineChars="0"/>
                    <w:rPr>
                      <w:rFonts w:hint="default" w:ascii="Times New Roman" w:hAnsi="Times New Roman" w:eastAsia="宋体" w:cs="Times New Roman"/>
                      <w:b w:val="0"/>
                      <w:bCs/>
                      <w:color w:val="auto"/>
                      <w:kern w:val="0"/>
                      <w:sz w:val="21"/>
                      <w:szCs w:val="21"/>
                      <w:u w:val="single"/>
                      <w:vertAlign w:val="baseline"/>
                      <w:lang w:val="en-US" w:eastAsia="zh-CN" w:bidi="ar-SA"/>
                    </w:rPr>
                  </w:pPr>
                  <w:r>
                    <w:rPr>
                      <w:rFonts w:hint="default" w:ascii="Times New Roman" w:hAnsi="Times New Roman" w:cs="Times New Roman"/>
                      <w:color w:val="auto"/>
                      <w:szCs w:val="18"/>
                      <w:u w:val="single"/>
                    </w:rPr>
                    <w:t>浓度限值（</w:t>
                  </w:r>
                  <w:r>
                    <w:rPr>
                      <w:rFonts w:hint="default" w:ascii="Times New Roman" w:hAnsi="Times New Roman" w:cs="Times New Roman"/>
                      <w:bCs/>
                      <w:snapToGrid w:val="0"/>
                      <w:color w:val="auto"/>
                      <w:kern w:val="0"/>
                      <w:szCs w:val="18"/>
                      <w:u w:val="single"/>
                      <w:lang w:val="en-US" w:eastAsia="zh-CN"/>
                    </w:rPr>
                    <w:t>m</w:t>
                  </w:r>
                  <w:r>
                    <w:rPr>
                      <w:rFonts w:hint="default" w:ascii="Times New Roman" w:hAnsi="Times New Roman" w:cs="Times New Roman"/>
                      <w:bCs/>
                      <w:snapToGrid w:val="0"/>
                      <w:color w:val="auto"/>
                      <w:kern w:val="0"/>
                      <w:szCs w:val="18"/>
                      <w:u w:val="single"/>
                    </w:rPr>
                    <w:t>g/m</w:t>
                  </w:r>
                  <w:r>
                    <w:rPr>
                      <w:rFonts w:hint="default" w:ascii="Times New Roman" w:hAnsi="Times New Roman" w:cs="Times New Roman"/>
                      <w:bCs/>
                      <w:snapToGrid w:val="0"/>
                      <w:color w:val="auto"/>
                      <w:kern w:val="0"/>
                      <w:szCs w:val="18"/>
                      <w:u w:val="single"/>
                      <w:vertAlign w:val="superscript"/>
                    </w:rPr>
                    <w:t>3</w:t>
                  </w:r>
                  <w:r>
                    <w:rPr>
                      <w:rFonts w:hint="default" w:ascii="Times New Roman" w:hAnsi="Times New Roman" w:cs="Times New Roman"/>
                      <w:color w:val="auto"/>
                      <w:szCs w:val="18"/>
                      <w:u w:val="single"/>
                    </w:rPr>
                    <w:t>）</w:t>
                  </w:r>
                </w:p>
              </w:tc>
              <w:tc>
                <w:tcPr>
                  <w:tcW w:w="877" w:type="dxa"/>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4" w:type="dxa"/>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1</w:t>
                  </w:r>
                </w:p>
              </w:tc>
              <w:tc>
                <w:tcPr>
                  <w:tcW w:w="66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w:t>
                  </w:r>
                </w:p>
              </w:tc>
              <w:tc>
                <w:tcPr>
                  <w:tcW w:w="79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破碎</w:t>
                  </w:r>
                </w:p>
              </w:tc>
              <w:tc>
                <w:tcPr>
                  <w:tcW w:w="66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颗粒物</w:t>
                  </w:r>
                </w:p>
              </w:tc>
              <w:tc>
                <w:tcPr>
                  <w:tcW w:w="1380"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湿法破碎、洒水降尘、加强厂房封闭性</w:t>
                  </w:r>
                </w:p>
              </w:tc>
              <w:tc>
                <w:tcPr>
                  <w:tcW w:w="193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《大气污染物综合排放标准》（GB16297-1996）</w:t>
                  </w:r>
                </w:p>
              </w:tc>
              <w:tc>
                <w:tcPr>
                  <w:tcW w:w="1245"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1.0</w:t>
                  </w:r>
                </w:p>
              </w:tc>
              <w:tc>
                <w:tcPr>
                  <w:tcW w:w="877"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single" w:color="auto"/>
                      <w:vertAlign w:val="baseline"/>
                      <w:lang w:val="en-US" w:eastAsia="zh-CN"/>
                    </w:rPr>
                    <w:t>0.173</w:t>
                  </w:r>
                </w:p>
              </w:tc>
            </w:tr>
          </w:tbl>
          <w:p>
            <w:pPr>
              <w:spacing w:line="360" w:lineRule="auto"/>
              <w:ind w:firstLine="481" w:firstLineChars="200"/>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rPr>
              <w:t>二、废水污染源分析</w:t>
            </w:r>
          </w:p>
          <w:p>
            <w:pPr>
              <w:spacing w:line="360" w:lineRule="auto"/>
              <w:ind w:firstLine="481" w:firstLineChars="200"/>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b/>
                <w:bCs/>
                <w:color w:val="auto"/>
                <w:highlight w:val="none"/>
                <w:u w:val="none" w:color="auto"/>
              </w:rPr>
              <w:t>污染源强分析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（1）生产废水</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①湿法</w:t>
            </w:r>
            <w:r>
              <w:rPr>
                <w:rFonts w:hint="default" w:ascii="Times New Roman" w:hAnsi="Times New Roman" w:eastAsia="宋体" w:cs="Times New Roman"/>
                <w:color w:val="auto"/>
                <w:kern w:val="0"/>
                <w:highlight w:val="none"/>
                <w:u w:val="none" w:color="auto"/>
              </w:rPr>
              <w:t>破碎</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lang w:val="en-US" w:eastAsia="zh-CN"/>
              </w:rPr>
              <w:t>清洗废水：</w:t>
            </w:r>
            <w:r>
              <w:rPr>
                <w:rFonts w:hint="default" w:ascii="Times New Roman" w:hAnsi="Times New Roman" w:cs="Times New Roman"/>
                <w:color w:val="auto"/>
                <w:kern w:val="0"/>
                <w:highlight w:val="none"/>
                <w:u w:val="single" w:color="auto"/>
                <w:lang w:val="en-US" w:eastAsia="zh-CN"/>
              </w:rPr>
              <w:t>本项目采用湿法破碎，破碎后用水进行清洗，根据《排放源统计调查产排污核算方法和系数手册》—42废弃资源综合利用行业系数手册，4220非金属废料和碎屑加工处理行业系数表，参照废PS/ABS湿法破碎+清洗产生的废水量核算本项目湿法破碎、清洗产生的废水，产污系数为1.0吨/吨-原料，则本项目湿法破碎、清洗产生的废水量为72000t/a。</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②地面清洗废水：</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color w:val="auto"/>
                <w:kern w:val="0"/>
                <w:highlight w:val="none"/>
                <w:u w:val="none" w:color="auto"/>
              </w:rPr>
              <w:t>结合本项目的实际情况，项目地面清洁频率为24次/年（半月1次），用水量以2.5L/次•m</w:t>
            </w:r>
            <w:r>
              <w:rPr>
                <w:rFonts w:hint="default" w:ascii="Times New Roman" w:hAnsi="Times New Roman" w:eastAsia="宋体" w:cs="Times New Roman"/>
                <w:color w:val="auto"/>
                <w:kern w:val="0"/>
                <w:highlight w:val="none"/>
                <w:u w:val="none" w:color="auto"/>
                <w:vertAlign w:val="superscript"/>
              </w:rPr>
              <w:t>2</w:t>
            </w:r>
            <w:r>
              <w:rPr>
                <w:rFonts w:hint="default" w:ascii="Times New Roman" w:hAnsi="Times New Roman" w:eastAsia="宋体" w:cs="Times New Roman"/>
                <w:color w:val="auto"/>
                <w:kern w:val="0"/>
                <w:highlight w:val="none"/>
                <w:u w:val="none" w:color="auto"/>
              </w:rPr>
              <w:t>计。本项目车间清洁面积约</w:t>
            </w:r>
            <w:r>
              <w:rPr>
                <w:rFonts w:hint="default" w:ascii="Times New Roman" w:hAnsi="Times New Roman" w:cs="Times New Roman"/>
                <w:color w:val="auto"/>
                <w:kern w:val="0"/>
                <w:highlight w:val="none"/>
                <w:u w:val="none" w:color="auto"/>
                <w:lang w:val="en-US" w:eastAsia="zh-CN"/>
              </w:rPr>
              <w:t>7000</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2</w:t>
            </w:r>
            <w:r>
              <w:rPr>
                <w:rFonts w:hint="default" w:ascii="Times New Roman" w:hAnsi="Times New Roman" w:eastAsia="宋体" w:cs="Times New Roman"/>
                <w:color w:val="auto"/>
                <w:kern w:val="0"/>
                <w:highlight w:val="none"/>
                <w:u w:val="none" w:color="auto"/>
              </w:rPr>
              <w:t>，则地面冲洗水用量约为</w:t>
            </w:r>
            <w:r>
              <w:rPr>
                <w:rFonts w:hint="default" w:ascii="Times New Roman" w:hAnsi="Times New Roman" w:cs="Times New Roman"/>
                <w:color w:val="auto"/>
                <w:kern w:val="0"/>
                <w:highlight w:val="none"/>
                <w:u w:val="none" w:color="auto"/>
                <w:lang w:val="en-US" w:eastAsia="zh-CN"/>
              </w:rPr>
              <w:t>17.5</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/次（</w:t>
            </w:r>
            <w:r>
              <w:rPr>
                <w:rFonts w:hint="default" w:ascii="Times New Roman" w:hAnsi="Times New Roman" w:cs="Times New Roman"/>
                <w:color w:val="auto"/>
                <w:kern w:val="0"/>
                <w:highlight w:val="none"/>
                <w:u w:val="none" w:color="auto"/>
                <w:lang w:val="en-US" w:eastAsia="zh-CN"/>
              </w:rPr>
              <w:t>420</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/a），冲洗地面废水量按90%计，则清洁地面废水量约为</w:t>
            </w:r>
            <w:r>
              <w:rPr>
                <w:rFonts w:hint="default" w:ascii="Times New Roman" w:hAnsi="Times New Roman" w:cs="Times New Roman"/>
                <w:color w:val="auto"/>
                <w:kern w:val="0"/>
                <w:highlight w:val="none"/>
                <w:u w:val="none" w:color="auto"/>
                <w:lang w:val="en-US" w:eastAsia="zh-CN"/>
              </w:rPr>
              <w:t>15.75</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/次（</w:t>
            </w:r>
            <w:r>
              <w:rPr>
                <w:rFonts w:hint="default" w:ascii="Times New Roman" w:hAnsi="Times New Roman" w:cs="Times New Roman"/>
                <w:color w:val="auto"/>
                <w:kern w:val="0"/>
                <w:highlight w:val="none"/>
                <w:u w:val="none" w:color="auto"/>
                <w:lang w:val="en-US" w:eastAsia="zh-CN"/>
              </w:rPr>
              <w:t>378</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/a）</w:t>
            </w:r>
            <w:r>
              <w:rPr>
                <w:rFonts w:hint="default" w:ascii="Times New Roman" w:hAnsi="Times New Roman" w:cs="Times New Roman"/>
                <w:color w:val="auto"/>
                <w:kern w:val="0"/>
                <w:highlight w:val="none"/>
                <w:u w:val="none" w:color="auto"/>
                <w:lang w:eastAsia="zh-CN"/>
              </w:rPr>
              <w:t>。</w:t>
            </w:r>
          </w:p>
          <w:p>
            <w:pPr>
              <w:spacing w:line="360" w:lineRule="auto"/>
              <w:ind w:firstLine="480" w:firstLineChars="200"/>
              <w:rPr>
                <w:rFonts w:hint="default" w:ascii="Times New Roman" w:hAnsi="Times New Roman" w:cs="Times New Roman"/>
                <w:color w:val="auto"/>
                <w:kern w:val="0"/>
                <w:highlight w:val="none"/>
                <w:u w:val="single" w:color="auto"/>
                <w:lang w:val="en-US" w:eastAsia="zh-CN"/>
              </w:rPr>
            </w:pPr>
            <w:r>
              <w:rPr>
                <w:rFonts w:hint="default" w:ascii="Times New Roman" w:hAnsi="Times New Roman" w:cs="Times New Roman"/>
                <w:color w:val="auto"/>
                <w:kern w:val="0"/>
                <w:highlight w:val="none"/>
                <w:u w:val="single" w:color="auto"/>
                <w:lang w:val="en-US" w:eastAsia="zh-CN"/>
              </w:rPr>
              <w:t>本项目设置三级沉淀池，总容积约60m</w:t>
            </w:r>
            <w:r>
              <w:rPr>
                <w:rFonts w:hint="default" w:ascii="Times New Roman" w:hAnsi="Times New Roman" w:cs="Times New Roman"/>
                <w:color w:val="auto"/>
                <w:kern w:val="0"/>
                <w:highlight w:val="none"/>
                <w:u w:val="single" w:color="auto"/>
                <w:vertAlign w:val="superscript"/>
                <w:lang w:val="en-US" w:eastAsia="zh-CN"/>
              </w:rPr>
              <w:t>3</w:t>
            </w:r>
            <w:r>
              <w:rPr>
                <w:rFonts w:hint="default" w:ascii="Times New Roman" w:hAnsi="Times New Roman" w:cs="Times New Roman"/>
                <w:color w:val="auto"/>
                <w:kern w:val="0"/>
                <w:highlight w:val="none"/>
                <w:u w:val="single" w:color="auto"/>
                <w:lang w:val="en-US" w:eastAsia="zh-CN"/>
              </w:rPr>
              <w:t>，本项目产生的生产废水进入沉淀池后循环使用，沉淀池废水每周排放一次进入湖南中塑新材料科技有限公司处理，年工作300天，则排放次数约为43次，排放量为2580t/a。</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（2）生活污水</w:t>
            </w:r>
          </w:p>
          <w:p>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本项目劳动定员20人，不在厂区食宿，根据《湖南省用水定额》</w:t>
            </w:r>
            <w:r>
              <w:rPr>
                <w:rFonts w:hint="default" w:ascii="Times New Roman" w:hAnsi="Times New Roman" w:eastAsia="宋体" w:cs="Times New Roman"/>
                <w:color w:val="auto"/>
                <w:kern w:val="0"/>
                <w:highlight w:val="none"/>
                <w:u w:val="none" w:color="auto"/>
              </w:rPr>
              <w:t>（DB43/T388-2020），</w:t>
            </w:r>
            <w:r>
              <w:rPr>
                <w:rFonts w:hint="default" w:ascii="Times New Roman" w:hAnsi="Times New Roman" w:cs="Times New Roman"/>
                <w:color w:val="auto"/>
                <w:kern w:val="0"/>
                <w:highlight w:val="none"/>
                <w:u w:val="none" w:color="auto"/>
                <w:lang w:val="en-US" w:eastAsia="zh-CN"/>
              </w:rPr>
              <w:t>用水量按38</w:t>
            </w:r>
            <w:r>
              <w:rPr>
                <w:rFonts w:hint="default" w:ascii="Times New Roman" w:hAnsi="Times New Roman" w:eastAsia="宋体" w:cs="Times New Roman"/>
                <w:color w:val="auto"/>
                <w:kern w:val="0"/>
                <w:highlight w:val="none"/>
                <w:u w:val="none" w:color="auto"/>
                <w:lang w:val="en-US" w:eastAsia="zh-CN"/>
              </w:rPr>
              <w:t>m</w:t>
            </w:r>
            <w:r>
              <w:rPr>
                <w:rFonts w:hint="default" w:ascii="Times New Roman" w:hAnsi="Times New Roman" w:eastAsia="宋体" w:cs="Times New Roman"/>
                <w:color w:val="auto"/>
                <w:kern w:val="0"/>
                <w:highlight w:val="none"/>
                <w:u w:val="none" w:color="auto"/>
                <w:vertAlign w:val="superscript"/>
                <w:lang w:val="en-US" w:eastAsia="zh-CN"/>
              </w:rPr>
              <w:t>3</w:t>
            </w:r>
            <w:r>
              <w:rPr>
                <w:rFonts w:hint="default" w:ascii="Times New Roman" w:hAnsi="Times New Roman" w:eastAsia="宋体" w:cs="Times New Roman"/>
                <w:color w:val="auto"/>
                <w:kern w:val="0"/>
                <w:highlight w:val="none"/>
                <w:u w:val="none" w:color="auto"/>
              </w:rPr>
              <w:t>/人•</w:t>
            </w:r>
            <w:r>
              <w:rPr>
                <w:rFonts w:hint="default" w:ascii="Times New Roman" w:hAnsi="Times New Roman" w:eastAsia="宋体" w:cs="Times New Roman"/>
                <w:color w:val="auto"/>
                <w:kern w:val="0"/>
                <w:highlight w:val="none"/>
                <w:u w:val="none" w:color="auto"/>
                <w:lang w:val="en-US" w:eastAsia="zh-CN"/>
              </w:rPr>
              <w:t>a</w:t>
            </w:r>
            <w:r>
              <w:rPr>
                <w:rFonts w:hint="default" w:ascii="Times New Roman" w:hAnsi="Times New Roman" w:eastAsia="宋体" w:cs="Times New Roman"/>
                <w:color w:val="auto"/>
                <w:kern w:val="0"/>
                <w:highlight w:val="none"/>
                <w:u w:val="none" w:color="auto"/>
              </w:rPr>
              <w:t>计算</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lang w:val="en-US" w:eastAsia="zh-CN"/>
              </w:rPr>
              <w:t>则本项目生活用水量为760</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/a</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lang w:val="en-US" w:eastAsia="zh-CN"/>
              </w:rPr>
              <w:t>2.53</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/d</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lang w:val="en-US" w:eastAsia="zh-CN"/>
              </w:rPr>
              <w:t>生活污水排放系数取0.8，则本项目生活污水排放量为608</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/a</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lang w:val="en-US" w:eastAsia="zh-CN"/>
              </w:rPr>
              <w:t>2.03</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/d</w:t>
            </w:r>
            <w:r>
              <w:rPr>
                <w:rFonts w:hint="default" w:ascii="Times New Roman" w:hAnsi="Times New Roman" w:cs="Times New Roman"/>
                <w:color w:val="auto"/>
                <w:kern w:val="0"/>
                <w:highlight w:val="none"/>
                <w:u w:val="none" w:color="auto"/>
                <w:lang w:eastAsia="zh-CN"/>
              </w:rPr>
              <w:t>。</w:t>
            </w:r>
            <w:r>
              <w:rPr>
                <w:rStyle w:val="68"/>
                <w:rFonts w:hint="default" w:ascii="Times New Roman" w:hAnsi="Times New Roman" w:eastAsia="宋体" w:cs="Times New Roman"/>
                <w:b w:val="0"/>
                <w:bCs w:val="0"/>
                <w:color w:val="auto"/>
                <w:sz w:val="24"/>
                <w:szCs w:val="24"/>
                <w:highlight w:val="none"/>
                <w:u w:val="none" w:color="auto"/>
              </w:rPr>
              <w:t>生活废水主要污染物为COD、BOD</w:t>
            </w:r>
            <w:r>
              <w:rPr>
                <w:rStyle w:val="68"/>
                <w:rFonts w:hint="default" w:ascii="Times New Roman" w:hAnsi="Times New Roman" w:eastAsia="宋体" w:cs="Times New Roman"/>
                <w:b w:val="0"/>
                <w:bCs w:val="0"/>
                <w:color w:val="auto"/>
                <w:sz w:val="24"/>
                <w:szCs w:val="24"/>
                <w:highlight w:val="none"/>
                <w:u w:val="none" w:color="auto"/>
                <w:vertAlign w:val="subscript"/>
              </w:rPr>
              <w:t>5</w:t>
            </w:r>
            <w:r>
              <w:rPr>
                <w:rStyle w:val="68"/>
                <w:rFonts w:hint="default" w:ascii="Times New Roman" w:hAnsi="Times New Roman" w:eastAsia="宋体" w:cs="Times New Roman"/>
                <w:b w:val="0"/>
                <w:bCs w:val="0"/>
                <w:color w:val="auto"/>
                <w:sz w:val="24"/>
                <w:szCs w:val="24"/>
                <w:highlight w:val="none"/>
                <w:u w:val="none" w:color="auto"/>
              </w:rPr>
              <w:t>、NH</w:t>
            </w:r>
            <w:r>
              <w:rPr>
                <w:rStyle w:val="68"/>
                <w:rFonts w:hint="default" w:ascii="Times New Roman" w:hAnsi="Times New Roman" w:eastAsia="宋体" w:cs="Times New Roman"/>
                <w:b w:val="0"/>
                <w:bCs w:val="0"/>
                <w:color w:val="auto"/>
                <w:sz w:val="24"/>
                <w:szCs w:val="24"/>
                <w:highlight w:val="none"/>
                <w:u w:val="none" w:color="auto"/>
                <w:vertAlign w:val="subscript"/>
              </w:rPr>
              <w:t>3</w:t>
            </w:r>
            <w:r>
              <w:rPr>
                <w:rStyle w:val="68"/>
                <w:rFonts w:hint="default" w:ascii="Times New Roman" w:hAnsi="Times New Roman" w:eastAsia="宋体" w:cs="Times New Roman"/>
                <w:b w:val="0"/>
                <w:bCs w:val="0"/>
                <w:color w:val="auto"/>
                <w:sz w:val="24"/>
                <w:szCs w:val="24"/>
                <w:highlight w:val="none"/>
                <w:u w:val="none" w:color="auto"/>
              </w:rPr>
              <w:t>-N和SS；浓度分别约为300mg/L、160 mg/L、30mg/L和150mg/L。</w:t>
            </w:r>
            <w:r>
              <w:rPr>
                <w:rFonts w:hint="default" w:ascii="Times New Roman" w:hAnsi="Times New Roman" w:cs="Times New Roman"/>
                <w:color w:val="auto"/>
                <w:kern w:val="0"/>
                <w:highlight w:val="none"/>
                <w:u w:val="none" w:color="auto"/>
                <w:lang w:val="en-US" w:eastAsia="zh-CN"/>
              </w:rPr>
              <w:t>经化粪池处理后排入湖南汨罗高新技术产业开发区（循环园区）污水处理厂处理。</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参考《汨罗市泰全废旧物资有限公司年破碎废塑料 35000 吨建设项目竣工环境保护验收监测报告表》，其生产工艺为塑料分拣</w:t>
            </w:r>
            <w:r>
              <w:rPr>
                <w:rStyle w:val="68"/>
                <w:rFonts w:hint="default" w:ascii="Times New Roman" w:hAnsi="Times New Roman" w:cs="Times New Roman"/>
                <w:b w:val="0"/>
                <w:bCs w:val="0"/>
                <w:color w:val="auto"/>
                <w:sz w:val="24"/>
                <w:szCs w:val="24"/>
                <w:highlight w:val="none"/>
                <w:u w:val="none" w:color="auto"/>
                <w:lang w:val="en-US" w:eastAsia="zh-CN"/>
              </w:rPr>
              <w:t>、</w:t>
            </w:r>
            <w:r>
              <w:rPr>
                <w:rStyle w:val="68"/>
                <w:rFonts w:hint="default" w:ascii="Times New Roman" w:hAnsi="Times New Roman" w:eastAsia="宋体" w:cs="Times New Roman"/>
                <w:b w:val="0"/>
                <w:bCs w:val="0"/>
                <w:color w:val="auto"/>
                <w:sz w:val="24"/>
                <w:szCs w:val="24"/>
                <w:highlight w:val="none"/>
                <w:u w:val="none" w:color="auto"/>
                <w:lang w:val="en-US" w:eastAsia="zh-CN"/>
              </w:rPr>
              <w:t>上料</w:t>
            </w:r>
            <w:r>
              <w:rPr>
                <w:rStyle w:val="68"/>
                <w:rFonts w:hint="default" w:ascii="Times New Roman" w:hAnsi="Times New Roman" w:cs="Times New Roman"/>
                <w:b w:val="0"/>
                <w:bCs w:val="0"/>
                <w:color w:val="auto"/>
                <w:sz w:val="24"/>
                <w:szCs w:val="24"/>
                <w:highlight w:val="none"/>
                <w:u w:val="none" w:color="auto"/>
                <w:lang w:val="en-US" w:eastAsia="zh-CN"/>
              </w:rPr>
              <w:t>、</w:t>
            </w:r>
            <w:r>
              <w:rPr>
                <w:rStyle w:val="68"/>
                <w:rFonts w:hint="default" w:ascii="Times New Roman" w:hAnsi="Times New Roman" w:eastAsia="宋体" w:cs="Times New Roman"/>
                <w:b w:val="0"/>
                <w:bCs w:val="0"/>
                <w:color w:val="auto"/>
                <w:sz w:val="24"/>
                <w:szCs w:val="24"/>
                <w:highlight w:val="none"/>
                <w:u w:val="none" w:color="auto"/>
                <w:lang w:val="en-US" w:eastAsia="zh-CN"/>
              </w:rPr>
              <w:t>湿法破碎</w:t>
            </w:r>
            <w:r>
              <w:rPr>
                <w:rStyle w:val="68"/>
                <w:rFonts w:hint="default" w:ascii="Times New Roman" w:hAnsi="Times New Roman" w:cs="Times New Roman"/>
                <w:b w:val="0"/>
                <w:bCs w:val="0"/>
                <w:color w:val="auto"/>
                <w:sz w:val="24"/>
                <w:szCs w:val="24"/>
                <w:highlight w:val="none"/>
                <w:u w:val="none" w:color="auto"/>
                <w:lang w:val="en-US" w:eastAsia="zh-CN"/>
              </w:rPr>
              <w:t>、</w:t>
            </w:r>
            <w:r>
              <w:rPr>
                <w:rStyle w:val="68"/>
                <w:rFonts w:hint="default" w:ascii="Times New Roman" w:hAnsi="Times New Roman" w:eastAsia="宋体" w:cs="Times New Roman"/>
                <w:b w:val="0"/>
                <w:bCs w:val="0"/>
                <w:color w:val="auto"/>
                <w:sz w:val="24"/>
                <w:szCs w:val="24"/>
                <w:highlight w:val="none"/>
                <w:u w:val="none" w:color="auto"/>
                <w:lang w:val="en-US" w:eastAsia="zh-CN"/>
              </w:rPr>
              <w:t>清洗</w:t>
            </w:r>
            <w:r>
              <w:rPr>
                <w:rStyle w:val="68"/>
                <w:rFonts w:hint="default" w:ascii="Times New Roman" w:hAnsi="Times New Roman" w:cs="Times New Roman"/>
                <w:b w:val="0"/>
                <w:bCs w:val="0"/>
                <w:color w:val="auto"/>
                <w:sz w:val="24"/>
                <w:szCs w:val="24"/>
                <w:highlight w:val="none"/>
                <w:u w:val="none" w:color="auto"/>
                <w:lang w:val="en-US" w:eastAsia="zh-CN"/>
              </w:rPr>
              <w:t>等</w:t>
            </w:r>
            <w:r>
              <w:rPr>
                <w:rStyle w:val="68"/>
                <w:rFonts w:hint="default" w:ascii="Times New Roman" w:hAnsi="Times New Roman" w:eastAsia="宋体" w:cs="Times New Roman"/>
                <w:b w:val="0"/>
                <w:bCs w:val="0"/>
                <w:color w:val="auto"/>
                <w:sz w:val="24"/>
                <w:szCs w:val="24"/>
                <w:highlight w:val="none"/>
                <w:u w:val="none" w:color="auto"/>
                <w:lang w:val="en-US" w:eastAsia="zh-CN"/>
              </w:rPr>
              <w:t>工序，原材料为废ABS、PA、PPR、PP、PC、PE等塑料，该项目原料种类、原料清洗工艺与本项目类似，本项目废水污染物产生源强参照该项目验收报告进行核算。</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lang w:val="en-US" w:eastAsia="zh-CN"/>
              </w:rPr>
              <w:t>本</w:t>
            </w:r>
            <w:r>
              <w:rPr>
                <w:rStyle w:val="68"/>
                <w:rFonts w:hint="default" w:ascii="Times New Roman" w:hAnsi="Times New Roman" w:eastAsia="宋体" w:cs="Times New Roman"/>
                <w:b w:val="0"/>
                <w:bCs w:val="0"/>
                <w:color w:val="auto"/>
                <w:sz w:val="24"/>
                <w:szCs w:val="24"/>
                <w:highlight w:val="none"/>
                <w:u w:val="none" w:color="auto"/>
              </w:rPr>
              <w:t>项目废水污染源强核算结果及相关参数见下表。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Style w:val="68"/>
                <w:rFonts w:hint="default" w:ascii="Times New Roman" w:hAnsi="Times New Roman" w:eastAsia="宋体" w:cs="Times New Roman"/>
                <w:b/>
                <w:bCs/>
                <w:color w:val="auto"/>
                <w:sz w:val="21"/>
                <w:szCs w:val="21"/>
                <w:highlight w:val="none"/>
                <w:u w:val="none" w:color="auto"/>
                <w:lang w:val="en-US"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2</w:t>
            </w:r>
            <w:r>
              <w:rPr>
                <w:rStyle w:val="68"/>
                <w:rFonts w:hint="default" w:ascii="Times New Roman" w:hAnsi="Times New Roman" w:eastAsia="宋体" w:cs="Times New Roman"/>
                <w:b/>
                <w:bCs/>
                <w:color w:val="auto"/>
                <w:sz w:val="21"/>
                <w:szCs w:val="21"/>
                <w:highlight w:val="none"/>
                <w:u w:val="none" w:color="auto"/>
                <w:lang w:val="en-US" w:eastAsia="zh-CN"/>
              </w:rPr>
              <w:t xml:space="preserve"> 本项目废水污染源强核算结果及相关参数表</w:t>
            </w:r>
          </w:p>
          <w:tbl>
            <w:tblPr>
              <w:tblStyle w:val="43"/>
              <w:tblW w:w="0" w:type="auto"/>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40"/>
              <w:gridCol w:w="640"/>
              <w:gridCol w:w="855"/>
              <w:gridCol w:w="720"/>
              <w:gridCol w:w="1300"/>
              <w:gridCol w:w="725"/>
              <w:gridCol w:w="705"/>
              <w:gridCol w:w="976"/>
              <w:gridCol w:w="84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污染源</w:t>
                  </w:r>
                </w:p>
              </w:tc>
              <w:tc>
                <w:tcPr>
                  <w:tcW w:w="7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w:t>
                  </w:r>
                </w:p>
              </w:tc>
              <w:tc>
                <w:tcPr>
                  <w:tcW w:w="221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污染物产生</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治理措施</w:t>
                  </w:r>
                </w:p>
              </w:tc>
              <w:tc>
                <w:tcPr>
                  <w:tcW w:w="72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处理效率（%）</w:t>
                  </w:r>
                </w:p>
              </w:tc>
              <w:tc>
                <w:tcPr>
                  <w:tcW w:w="252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污染物排放</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6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产生水量（t/a）</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产生浓度（mg/L）</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产生量（t/a）</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排放水量（t/a）</w:t>
                  </w: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排放浓度（mg/L）</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排放量（t/a）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生产废水</w:t>
                  </w: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COD</w:t>
                  </w:r>
                </w:p>
              </w:tc>
              <w:tc>
                <w:tcPr>
                  <w:tcW w:w="6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72378</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830</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60.07</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三级沉淀池沉淀</w:t>
                  </w: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50</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2580</w:t>
                  </w: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415</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1.07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BOD</w:t>
                  </w:r>
                  <w:r>
                    <w:rPr>
                      <w:rStyle w:val="68"/>
                      <w:rFonts w:hint="default" w:ascii="Times New Roman" w:hAnsi="Times New Roman" w:eastAsia="宋体" w:cs="Times New Roman"/>
                      <w:b w:val="0"/>
                      <w:bCs w:val="0"/>
                      <w:color w:val="auto"/>
                      <w:sz w:val="21"/>
                      <w:szCs w:val="21"/>
                      <w:highlight w:val="none"/>
                      <w:u w:val="none" w:color="auto"/>
                      <w:vertAlign w:val="subscript"/>
                      <w:lang w:val="en-US" w:eastAsia="zh-CN"/>
                    </w:rPr>
                    <w:t>5</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281</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20.34</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168.6</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SS</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291</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21.06</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70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87.3</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0.23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40.6</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2.94</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36.5</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0.09</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 xml:space="preserve">总磷 </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1.95</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0.14</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1.8</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总氮</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49.7</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3.6</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44.7</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石油类</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0.44</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0.03</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生活污水</w:t>
                  </w: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COD</w:t>
                  </w:r>
                </w:p>
              </w:tc>
              <w:tc>
                <w:tcPr>
                  <w:tcW w:w="6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608</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300</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0.182</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化粪池处理后排入湖南汨罗高新技术产业开发区（循环园区）污水处理厂</w:t>
                  </w: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20</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608</w:t>
                  </w: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240</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0.146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BOD</w:t>
                  </w:r>
                  <w:r>
                    <w:rPr>
                      <w:rStyle w:val="68"/>
                      <w:rFonts w:hint="default" w:ascii="Times New Roman" w:hAnsi="Times New Roman" w:cs="Times New Roman"/>
                      <w:b w:val="0"/>
                      <w:bCs w:val="0"/>
                      <w:color w:val="auto"/>
                      <w:sz w:val="21"/>
                      <w:szCs w:val="21"/>
                      <w:highlight w:val="none"/>
                      <w:u w:val="none" w:color="auto"/>
                      <w:vertAlign w:val="subscript"/>
                      <w:lang w:val="en-US" w:eastAsia="zh-CN"/>
                    </w:rPr>
                    <w:t>5</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160</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0.097</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25</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120</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0.073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30</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0.018</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5</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28.5</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0.017</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SS</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150</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0.091</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90</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0.055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TP</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0.002</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25</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3</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0.002</w:t>
                  </w:r>
                </w:p>
              </w:tc>
            </w:tr>
          </w:tbl>
          <w:p>
            <w:pPr>
              <w:adjustRightInd w:val="0"/>
              <w:snapToGrid w:val="0"/>
              <w:spacing w:line="360" w:lineRule="auto"/>
              <w:ind w:firstLine="421" w:firstLineChars="200"/>
              <w:jc w:val="center"/>
              <w:rPr>
                <w:rStyle w:val="68"/>
                <w:rFonts w:hint="default" w:ascii="Times New Roman" w:hAnsi="Times New Roman" w:cs="Times New Roman"/>
                <w:b/>
                <w:bCs/>
                <w:color w:val="auto"/>
                <w:sz w:val="21"/>
                <w:szCs w:val="21"/>
                <w:highlight w:val="none"/>
                <w:u w:val="none" w:color="auto"/>
                <w:lang w:val="en-US"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3</w:t>
            </w:r>
            <w:r>
              <w:rPr>
                <w:rStyle w:val="68"/>
                <w:rFonts w:hint="default" w:ascii="Times New Roman" w:hAnsi="Times New Roman" w:eastAsia="宋体" w:cs="Times New Roman"/>
                <w:b/>
                <w:bCs/>
                <w:color w:val="auto"/>
                <w:sz w:val="21"/>
                <w:szCs w:val="21"/>
                <w:highlight w:val="none"/>
                <w:u w:val="none" w:color="auto"/>
                <w:lang w:val="en-US" w:eastAsia="zh-CN"/>
              </w:rPr>
              <w:t>本项目生产废水经中塑废水处理站处理后核算结果</w:t>
            </w:r>
          </w:p>
          <w:tbl>
            <w:tblPr>
              <w:tblStyle w:val="43"/>
              <w:tblW w:w="0" w:type="auto"/>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40"/>
              <w:gridCol w:w="640"/>
              <w:gridCol w:w="855"/>
              <w:gridCol w:w="720"/>
              <w:gridCol w:w="1300"/>
              <w:gridCol w:w="725"/>
              <w:gridCol w:w="705"/>
              <w:gridCol w:w="976"/>
              <w:gridCol w:w="846"/>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污染源</w:t>
                  </w:r>
                </w:p>
              </w:tc>
              <w:tc>
                <w:tcPr>
                  <w:tcW w:w="7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w:t>
                  </w:r>
                </w:p>
              </w:tc>
              <w:tc>
                <w:tcPr>
                  <w:tcW w:w="221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污染物产生</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治理措施</w:t>
                  </w:r>
                </w:p>
              </w:tc>
              <w:tc>
                <w:tcPr>
                  <w:tcW w:w="72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处理效率（%）</w:t>
                  </w:r>
                </w:p>
              </w:tc>
              <w:tc>
                <w:tcPr>
                  <w:tcW w:w="252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污染物排放</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6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产生水量（t/a）</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产生浓度（mg/L）</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产生量（t/a）</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排放水量（t/a）</w:t>
                  </w: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排放浓度（mg/L）</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排放量（t/a）</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生产废水</w:t>
                  </w: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COD</w:t>
                  </w:r>
                </w:p>
              </w:tc>
              <w:tc>
                <w:tcPr>
                  <w:tcW w:w="6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2580</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415</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1.07</w:t>
                  </w:r>
                </w:p>
              </w:tc>
              <w:tc>
                <w:tcPr>
                  <w:tcW w:w="130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color w:val="auto"/>
                      <w:kern w:val="0"/>
                      <w:sz w:val="18"/>
                      <w:szCs w:val="18"/>
                      <w:highlight w:val="none"/>
                      <w:u w:val="none" w:color="auto"/>
                      <w:lang w:val="en-US" w:eastAsia="zh-CN" w:bidi="ar"/>
                    </w:rPr>
                    <w:t>湖南中塑新材料科技有限公司已建的废水处理站</w:t>
                  </w:r>
                  <w:r>
                    <w:rPr>
                      <w:rFonts w:hint="default" w:ascii="Times New Roman" w:hAnsi="Times New Roman" w:cs="Times New Roman"/>
                      <w:color w:val="auto"/>
                      <w:kern w:val="0"/>
                      <w:sz w:val="18"/>
                      <w:szCs w:val="18"/>
                      <w:highlight w:val="none"/>
                      <w:u w:val="none" w:color="auto"/>
                      <w:lang w:val="en-US" w:eastAsia="zh-CN" w:bidi="ar"/>
                    </w:rPr>
                    <w:t>（隔油+混凝气浮）</w:t>
                  </w: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60.7</w:t>
                  </w:r>
                </w:p>
              </w:tc>
              <w:tc>
                <w:tcPr>
                  <w:tcW w:w="7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2580</w:t>
                  </w: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163.1</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BOD</w:t>
                  </w:r>
                  <w:r>
                    <w:rPr>
                      <w:rStyle w:val="68"/>
                      <w:rFonts w:hint="default" w:ascii="Times New Roman" w:hAnsi="Times New Roman" w:eastAsia="宋体" w:cs="Times New Roman"/>
                      <w:b w:val="0"/>
                      <w:bCs w:val="0"/>
                      <w:color w:val="auto"/>
                      <w:sz w:val="21"/>
                      <w:szCs w:val="21"/>
                      <w:highlight w:val="none"/>
                      <w:u w:val="none" w:color="auto"/>
                      <w:vertAlign w:val="subscript"/>
                      <w:lang w:val="en-US" w:eastAsia="zh-CN"/>
                    </w:rPr>
                    <w:t>5</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168.6</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0.43</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65.4</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58.3</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SS</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87.3</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0.23</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72.9</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23.7</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36.5</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0.09</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50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18.25</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 xml:space="preserve">总磷 </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1.8</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0.005</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65.5</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0.6</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0.002</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总氮</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44.7</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0.12</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57.9</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18.8</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7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石油类</w:t>
                  </w:r>
                </w:p>
              </w:tc>
              <w:tc>
                <w:tcPr>
                  <w:tcW w:w="6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w:t>
                  </w:r>
                </w:p>
              </w:tc>
              <w:tc>
                <w:tcPr>
                  <w:tcW w:w="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0.001</w:t>
                  </w:r>
                </w:p>
              </w:tc>
              <w:tc>
                <w:tcPr>
                  <w:tcW w:w="130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60</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0.2</w:t>
                  </w:r>
                </w:p>
              </w:tc>
              <w:tc>
                <w:tcPr>
                  <w:tcW w:w="84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0.0005</w:t>
                  </w:r>
                </w:p>
              </w:tc>
            </w:tr>
          </w:tbl>
          <w:p>
            <w:pPr>
              <w:pStyle w:val="2"/>
              <w:rPr>
                <w:rStyle w:val="68"/>
                <w:rFonts w:hint="default" w:ascii="Times New Roman" w:hAnsi="Times New Roman" w:eastAsia="宋体" w:cs="Times New Roman"/>
                <w:b w:val="0"/>
                <w:bCs w:val="0"/>
                <w:color w:val="auto"/>
                <w:sz w:val="21"/>
                <w:szCs w:val="21"/>
                <w:highlight w:val="none"/>
                <w:u w:val="none" w:color="auto"/>
                <w:lang w:val="en-US" w:eastAsia="zh-CN"/>
              </w:rPr>
            </w:pPr>
            <w:r>
              <w:rPr>
                <w:rStyle w:val="68"/>
                <w:rFonts w:hint="default" w:ascii="Times New Roman" w:hAnsi="Times New Roman" w:eastAsia="宋体" w:cs="Times New Roman"/>
                <w:b w:val="0"/>
                <w:bCs w:val="0"/>
                <w:color w:val="auto"/>
                <w:sz w:val="21"/>
                <w:szCs w:val="21"/>
                <w:highlight w:val="none"/>
                <w:u w:val="none" w:color="auto"/>
                <w:lang w:val="en-US" w:eastAsia="zh-CN"/>
              </w:rPr>
              <w:t>注：中塑废水治理设施处理效率根据《湖南中塑新材料科技有限公司年产 100 万吨再生塑料项目二期阶段性竣工环境保护验收监测报告表》（精检竣监［2022］008 号）》确定。</w:t>
            </w:r>
          </w:p>
          <w:p>
            <w:pPr>
              <w:adjustRightInd w:val="0"/>
              <w:snapToGrid w:val="0"/>
              <w:spacing w:line="360" w:lineRule="auto"/>
              <w:ind w:firstLine="481" w:firstLineChars="200"/>
              <w:rPr>
                <w:rStyle w:val="68"/>
                <w:rFonts w:hint="default" w:ascii="Times New Roman" w:hAnsi="Times New Roman" w:eastAsia="宋体" w:cs="Times New Roman"/>
                <w:b/>
                <w:bCs/>
                <w:color w:val="auto"/>
                <w:sz w:val="24"/>
                <w:szCs w:val="24"/>
                <w:highlight w:val="none"/>
                <w:u w:val="none" w:color="auto"/>
                <w:lang w:val="en-US" w:eastAsia="zh-CN"/>
              </w:rPr>
            </w:pPr>
            <w:r>
              <w:rPr>
                <w:rStyle w:val="68"/>
                <w:rFonts w:hint="default" w:ascii="Times New Roman" w:hAnsi="Times New Roman" w:eastAsia="宋体" w:cs="Times New Roman"/>
                <w:b/>
                <w:bCs/>
                <w:color w:val="auto"/>
                <w:sz w:val="24"/>
                <w:szCs w:val="24"/>
                <w:highlight w:val="none"/>
                <w:u w:val="none" w:color="auto"/>
                <w:lang w:val="en-US" w:eastAsia="zh-CN"/>
              </w:rPr>
              <w:t>2、污染物排放情况</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（1）废水类别、污染物及污染治理设施信息</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项目废水类别、污染物及污染治理设施信息如下。</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4</w:t>
            </w:r>
            <w:r>
              <w:rPr>
                <w:rStyle w:val="68"/>
                <w:rFonts w:hint="default" w:ascii="Times New Roman" w:hAnsi="Times New Roman" w:eastAsia="宋体" w:cs="Times New Roman"/>
                <w:b/>
                <w:bCs/>
                <w:color w:val="auto"/>
                <w:sz w:val="21"/>
                <w:szCs w:val="21"/>
                <w:highlight w:val="none"/>
                <w:u w:val="none" w:color="auto"/>
                <w:lang w:val="en-US" w:eastAsia="zh-CN"/>
              </w:rPr>
              <w:t xml:space="preserve"> 项目废水类别、污染物及污染治理设施信息表</w:t>
            </w:r>
          </w:p>
          <w:tbl>
            <w:tblPr>
              <w:tblStyle w:val="43"/>
              <w:tblW w:w="800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9"/>
              <w:gridCol w:w="780"/>
              <w:gridCol w:w="1001"/>
              <w:gridCol w:w="739"/>
              <w:gridCol w:w="765"/>
              <w:gridCol w:w="795"/>
              <w:gridCol w:w="795"/>
              <w:gridCol w:w="690"/>
              <w:gridCol w:w="795"/>
              <w:gridCol w:w="1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9"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废水类别</w:t>
                  </w:r>
                </w:p>
              </w:tc>
              <w:tc>
                <w:tcPr>
                  <w:tcW w:w="780"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污染物种类</w:t>
                  </w:r>
                </w:p>
              </w:tc>
              <w:tc>
                <w:tcPr>
                  <w:tcW w:w="1001"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排放去向</w:t>
                  </w:r>
                </w:p>
              </w:tc>
              <w:tc>
                <w:tcPr>
                  <w:tcW w:w="739"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排放规律</w:t>
                  </w:r>
                </w:p>
              </w:tc>
              <w:tc>
                <w:tcPr>
                  <w:tcW w:w="23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u w:val="none"/>
                    </w:rPr>
                    <w:t>污染治理设施</w:t>
                  </w:r>
                </w:p>
              </w:tc>
              <w:tc>
                <w:tcPr>
                  <w:tcW w:w="690"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排放口编号</w:t>
                  </w:r>
                </w:p>
              </w:tc>
              <w:tc>
                <w:tcPr>
                  <w:tcW w:w="795"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排放口设置是否符合要求</w:t>
                  </w:r>
                </w:p>
              </w:tc>
              <w:tc>
                <w:tcPr>
                  <w:tcW w:w="1027" w:type="dxa"/>
                  <w:vMerge w:val="restart"/>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100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3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65" w:type="dxa"/>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污染治理设施编号</w:t>
                  </w:r>
                </w:p>
              </w:tc>
              <w:tc>
                <w:tcPr>
                  <w:tcW w:w="795" w:type="dxa"/>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污染治理设施名称</w:t>
                  </w:r>
                </w:p>
              </w:tc>
              <w:tc>
                <w:tcPr>
                  <w:tcW w:w="795" w:type="dxa"/>
                  <w:tcBorders>
                    <w:tl2br w:val="nil"/>
                    <w:tr2bl w:val="nil"/>
                  </w:tcBorders>
                  <w:vAlign w:val="center"/>
                </w:tcPr>
                <w:p>
                  <w:pPr>
                    <w:pStyle w:val="101"/>
                    <w:spacing w:beforeLines="0" w:afterLines="0"/>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eastAsia="宋体" w:cs="Times New Roman"/>
                      <w:color w:val="auto"/>
                      <w:sz w:val="18"/>
                      <w:szCs w:val="18"/>
                      <w:u w:val="none"/>
                    </w:rPr>
                    <w:t>污染治理设施工艺</w:t>
                  </w:r>
                </w:p>
              </w:tc>
              <w:tc>
                <w:tcPr>
                  <w:tcW w:w="6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9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10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生活污水</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u w:val="none"/>
                    </w:rPr>
                    <w:t>pH、COD</w:t>
                  </w:r>
                  <w:r>
                    <w:rPr>
                      <w:rFonts w:hint="default" w:ascii="Times New Roman" w:hAnsi="Times New Roman" w:eastAsia="宋体" w:cs="Times New Roman"/>
                      <w:color w:val="auto"/>
                      <w:sz w:val="18"/>
                      <w:szCs w:val="18"/>
                      <w:u w:val="none"/>
                      <w:vertAlign w:val="subscript"/>
                    </w:rPr>
                    <w:t>Cr</w:t>
                  </w:r>
                  <w:r>
                    <w:rPr>
                      <w:rFonts w:hint="default" w:ascii="Times New Roman" w:hAnsi="Times New Roman" w:eastAsia="宋体" w:cs="Times New Roman"/>
                      <w:color w:val="auto"/>
                      <w:sz w:val="18"/>
                      <w:szCs w:val="18"/>
                      <w:u w:val="none"/>
                    </w:rPr>
                    <w:t>、BOD</w:t>
                  </w:r>
                  <w:r>
                    <w:rPr>
                      <w:rFonts w:hint="default" w:ascii="Times New Roman" w:hAnsi="Times New Roman" w:eastAsia="宋体" w:cs="Times New Roman"/>
                      <w:color w:val="auto"/>
                      <w:sz w:val="18"/>
                      <w:szCs w:val="18"/>
                      <w:u w:val="none"/>
                      <w:vertAlign w:val="subscript"/>
                    </w:rPr>
                    <w:t>5</w:t>
                  </w:r>
                  <w:r>
                    <w:rPr>
                      <w:rFonts w:hint="default" w:ascii="Times New Roman" w:hAnsi="Times New Roman" w:eastAsia="宋体" w:cs="Times New Roman"/>
                      <w:color w:val="auto"/>
                      <w:sz w:val="18"/>
                      <w:szCs w:val="18"/>
                      <w:u w:val="none"/>
                    </w:rPr>
                    <w:t>、NH</w:t>
                  </w:r>
                  <w:r>
                    <w:rPr>
                      <w:rFonts w:hint="default" w:ascii="Times New Roman" w:hAnsi="Times New Roman" w:eastAsia="宋体" w:cs="Times New Roman"/>
                      <w:color w:val="auto"/>
                      <w:sz w:val="18"/>
                      <w:szCs w:val="18"/>
                      <w:u w:val="none"/>
                      <w:vertAlign w:val="subscript"/>
                    </w:rPr>
                    <w:t>3</w:t>
                  </w:r>
                  <w:r>
                    <w:rPr>
                      <w:rFonts w:hint="default" w:ascii="Times New Roman" w:hAnsi="Times New Roman" w:eastAsia="宋体" w:cs="Times New Roman"/>
                      <w:color w:val="auto"/>
                      <w:sz w:val="18"/>
                      <w:szCs w:val="18"/>
                      <w:u w:val="none"/>
                    </w:rPr>
                    <w:t>-N、SS</w:t>
                  </w:r>
                </w:p>
              </w:tc>
              <w:tc>
                <w:tcPr>
                  <w:tcW w:w="1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湖南汨罗高新技术产业开发区（循环园区）污水处理厂</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间断排放，排放期间流量稳定</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TW001</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化粪池</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w:t>
                  </w:r>
                </w:p>
              </w:tc>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DW001（依托</w:t>
                  </w:r>
                  <w:r>
                    <w:rPr>
                      <w:rStyle w:val="68"/>
                      <w:rFonts w:hint="default" w:ascii="Times New Roman" w:hAnsi="Times New Roman" w:eastAsia="宋体" w:cs="Times New Roman"/>
                      <w:b w:val="0"/>
                      <w:bCs w:val="0"/>
                      <w:color w:val="auto"/>
                      <w:sz w:val="18"/>
                      <w:szCs w:val="18"/>
                      <w:highlight w:val="none"/>
                      <w:u w:val="none" w:color="auto"/>
                      <w:lang w:val="en-US" w:eastAsia="zh-CN"/>
                    </w:rPr>
                    <w:t>湖南中塑新材料科技有限公司</w:t>
                  </w: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w:t>
                  </w:r>
                </w:p>
              </w:tc>
              <w:tc>
                <w:tcPr>
                  <w:tcW w:w="795" w:type="dxa"/>
                  <w:tcBorders>
                    <w:tl2br w:val="nil"/>
                    <w:tr2bl w:val="nil"/>
                  </w:tcBorders>
                  <w:vAlign w:val="center"/>
                </w:tcPr>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☑是</w:t>
                  </w:r>
                </w:p>
                <w:p>
                  <w:pPr>
                    <w:pStyle w:val="101"/>
                    <w:spacing w:beforeLines="0" w:afterLines="0"/>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u w:val="none"/>
                    </w:rPr>
                    <w:t>□否</w:t>
                  </w:r>
                </w:p>
              </w:tc>
              <w:tc>
                <w:tcPr>
                  <w:tcW w:w="1027" w:type="dxa"/>
                  <w:tcBorders>
                    <w:tl2br w:val="nil"/>
                    <w:tr2bl w:val="nil"/>
                  </w:tcBorders>
                  <w:vAlign w:val="center"/>
                </w:tcPr>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☑企业总排口</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□雨水排放</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（清净下水排放</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□温排水排放</w:t>
                  </w:r>
                </w:p>
                <w:p>
                  <w:pPr>
                    <w:pStyle w:val="101"/>
                    <w:spacing w:beforeLines="0" w:afterLines="0"/>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Fonts w:hint="default" w:ascii="Times New Roman" w:hAnsi="Times New Roman" w:eastAsia="宋体" w:cs="Times New Roman"/>
                      <w:color w:val="auto"/>
                      <w:sz w:val="18"/>
                      <w:szCs w:val="18"/>
                      <w:u w:val="none"/>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生产废水</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pH、COD</w:t>
                  </w:r>
                  <w:r>
                    <w:rPr>
                      <w:rFonts w:hint="default" w:ascii="Times New Roman" w:hAnsi="Times New Roman" w:eastAsia="宋体" w:cs="Times New Roman"/>
                      <w:color w:val="auto"/>
                      <w:sz w:val="18"/>
                      <w:szCs w:val="18"/>
                      <w:u w:val="none"/>
                      <w:vertAlign w:val="subscript"/>
                    </w:rPr>
                    <w:t>Cr</w:t>
                  </w:r>
                  <w:r>
                    <w:rPr>
                      <w:rFonts w:hint="default" w:ascii="Times New Roman" w:hAnsi="Times New Roman" w:eastAsia="宋体" w:cs="Times New Roman"/>
                      <w:color w:val="auto"/>
                      <w:sz w:val="18"/>
                      <w:szCs w:val="18"/>
                      <w:u w:val="none"/>
                    </w:rPr>
                    <w:t>、BOD</w:t>
                  </w:r>
                  <w:r>
                    <w:rPr>
                      <w:rFonts w:hint="default" w:ascii="Times New Roman" w:hAnsi="Times New Roman" w:eastAsia="宋体" w:cs="Times New Roman"/>
                      <w:color w:val="auto"/>
                      <w:sz w:val="18"/>
                      <w:szCs w:val="18"/>
                      <w:u w:val="none"/>
                      <w:vertAlign w:val="subscript"/>
                    </w:rPr>
                    <w:t>5</w:t>
                  </w:r>
                  <w:r>
                    <w:rPr>
                      <w:rFonts w:hint="default" w:ascii="Times New Roman" w:hAnsi="Times New Roman" w:eastAsia="宋体" w:cs="Times New Roman"/>
                      <w:color w:val="auto"/>
                      <w:sz w:val="18"/>
                      <w:szCs w:val="18"/>
                      <w:u w:val="none"/>
                    </w:rPr>
                    <w:t>、NH</w:t>
                  </w:r>
                  <w:r>
                    <w:rPr>
                      <w:rFonts w:hint="default" w:ascii="Times New Roman" w:hAnsi="Times New Roman" w:eastAsia="宋体" w:cs="Times New Roman"/>
                      <w:color w:val="auto"/>
                      <w:sz w:val="18"/>
                      <w:szCs w:val="18"/>
                      <w:u w:val="none"/>
                      <w:vertAlign w:val="subscript"/>
                    </w:rPr>
                    <w:t>3</w:t>
                  </w:r>
                  <w:r>
                    <w:rPr>
                      <w:rFonts w:hint="default" w:ascii="Times New Roman" w:hAnsi="Times New Roman" w:eastAsia="宋体" w:cs="Times New Roman"/>
                      <w:color w:val="auto"/>
                      <w:sz w:val="18"/>
                      <w:szCs w:val="18"/>
                      <w:u w:val="none"/>
                    </w:rPr>
                    <w:t>-N、SS</w:t>
                  </w:r>
                </w:p>
              </w:tc>
              <w:tc>
                <w:tcPr>
                  <w:tcW w:w="10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汨罗循环经济产业园再生材料产业园污水处理厂</w:t>
                  </w:r>
                </w:p>
              </w:tc>
              <w:tc>
                <w:tcPr>
                  <w:tcW w:w="7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间断排放，排放期间流量稳定</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TW002</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沉淀池</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DW002（依托</w:t>
                  </w:r>
                  <w:r>
                    <w:rPr>
                      <w:rStyle w:val="68"/>
                      <w:rFonts w:hint="default" w:ascii="Times New Roman" w:hAnsi="Times New Roman" w:eastAsia="宋体" w:cs="Times New Roman"/>
                      <w:b w:val="0"/>
                      <w:bCs w:val="0"/>
                      <w:color w:val="auto"/>
                      <w:sz w:val="18"/>
                      <w:szCs w:val="18"/>
                      <w:highlight w:val="none"/>
                      <w:u w:val="none" w:color="auto"/>
                      <w:lang w:val="en-US" w:eastAsia="zh-CN"/>
                    </w:rPr>
                    <w:t>湖南中塑新材料科技有限公司</w:t>
                  </w: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w:t>
                  </w:r>
                </w:p>
              </w:tc>
              <w:tc>
                <w:tcPr>
                  <w:tcW w:w="795" w:type="dxa"/>
                  <w:tcBorders>
                    <w:tl2br w:val="nil"/>
                    <w:tr2bl w:val="nil"/>
                  </w:tcBorders>
                  <w:shd w:val="clear" w:color="auto" w:fill="auto"/>
                  <w:vAlign w:val="center"/>
                </w:tcPr>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☑是</w:t>
                  </w:r>
                </w:p>
                <w:p>
                  <w:pPr>
                    <w:pStyle w:val="101"/>
                    <w:spacing w:beforeLines="0" w:afterLines="0"/>
                    <w:rPr>
                      <w:rFonts w:hint="default"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default" w:ascii="Times New Roman" w:hAnsi="Times New Roman" w:eastAsia="宋体" w:cs="Times New Roman"/>
                      <w:color w:val="auto"/>
                      <w:sz w:val="18"/>
                      <w:szCs w:val="18"/>
                      <w:u w:val="none"/>
                    </w:rPr>
                    <w:t>□否</w:t>
                  </w:r>
                </w:p>
              </w:tc>
              <w:tc>
                <w:tcPr>
                  <w:tcW w:w="1027" w:type="dxa"/>
                  <w:tcBorders>
                    <w:tl2br w:val="nil"/>
                    <w:tr2bl w:val="nil"/>
                  </w:tcBorders>
                  <w:shd w:val="clear" w:color="auto" w:fill="auto"/>
                  <w:vAlign w:val="center"/>
                </w:tcPr>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☑企业总排口</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□雨水排放</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（清净下水排放</w:t>
                  </w:r>
                </w:p>
                <w:p>
                  <w:pPr>
                    <w:pStyle w:val="101"/>
                    <w:spacing w:beforeLines="0" w:afterLines="0"/>
                    <w:rPr>
                      <w:rFonts w:hint="default" w:ascii="Times New Roman" w:hAnsi="Times New Roman" w:eastAsia="宋体" w:cs="Times New Roman"/>
                      <w:color w:val="auto"/>
                      <w:sz w:val="18"/>
                      <w:szCs w:val="18"/>
                      <w:u w:val="none"/>
                    </w:rPr>
                  </w:pPr>
                  <w:r>
                    <w:rPr>
                      <w:rFonts w:hint="default" w:ascii="Times New Roman" w:hAnsi="Times New Roman" w:eastAsia="宋体" w:cs="Times New Roman"/>
                      <w:color w:val="auto"/>
                      <w:sz w:val="18"/>
                      <w:szCs w:val="18"/>
                      <w:u w:val="none"/>
                    </w:rPr>
                    <w:t>□温排水排放</w:t>
                  </w:r>
                </w:p>
                <w:p>
                  <w:pPr>
                    <w:pStyle w:val="101"/>
                    <w:spacing w:beforeLines="0" w:afterLines="0"/>
                    <w:rPr>
                      <w:rFonts w:hint="default" w:ascii="Times New Roman" w:hAnsi="Times New Roman" w:eastAsia="宋体" w:cs="Times New Roman"/>
                      <w:b w:val="0"/>
                      <w:bCs w:val="0"/>
                      <w:color w:val="auto"/>
                      <w:kern w:val="2"/>
                      <w:sz w:val="18"/>
                      <w:szCs w:val="18"/>
                      <w:highlight w:val="none"/>
                      <w:u w:val="none" w:color="auto"/>
                      <w:vertAlign w:val="baseline"/>
                      <w:lang w:val="en-US" w:eastAsia="zh-CN" w:bidi="ar-SA"/>
                    </w:rPr>
                  </w:pPr>
                  <w:r>
                    <w:rPr>
                      <w:rFonts w:hint="default" w:ascii="Times New Roman" w:hAnsi="Times New Roman" w:eastAsia="宋体" w:cs="Times New Roman"/>
                      <w:color w:val="auto"/>
                      <w:sz w:val="18"/>
                      <w:szCs w:val="18"/>
                      <w:u w:val="none"/>
                    </w:rPr>
                    <w:t>□车间或车间处理设施排放口</w:t>
                  </w:r>
                </w:p>
              </w:tc>
            </w:tr>
          </w:tbl>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（2）废水间接排放口基本信息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Style w:val="68"/>
                <w:rFonts w:hint="default" w:ascii="Times New Roman" w:hAnsi="Times New Roman" w:eastAsia="宋体" w:cs="Times New Roman"/>
                <w:b w:val="0"/>
                <w:bCs w:val="0"/>
                <w:color w:val="auto"/>
                <w:sz w:val="24"/>
                <w:szCs w:val="24"/>
                <w:highlight w:val="none"/>
                <w:u w:val="none" w:color="auto"/>
                <w:vertAlign w:val="baseline"/>
                <w:lang w:val="en-US"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5</w:t>
            </w:r>
            <w:r>
              <w:rPr>
                <w:rStyle w:val="68"/>
                <w:rFonts w:hint="default" w:ascii="Times New Roman" w:hAnsi="Times New Roman" w:eastAsia="宋体" w:cs="Times New Roman"/>
                <w:b/>
                <w:bCs/>
                <w:color w:val="auto"/>
                <w:sz w:val="21"/>
                <w:szCs w:val="21"/>
                <w:highlight w:val="none"/>
                <w:u w:val="none" w:color="auto"/>
                <w:lang w:val="en-US" w:eastAsia="zh-CN"/>
              </w:rPr>
              <w:t xml:space="preserve"> 项目废水间接排放口基本情况表</w:t>
            </w:r>
          </w:p>
          <w:tbl>
            <w:tblPr>
              <w:tblStyle w:val="43"/>
              <w:tblW w:w="8006"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9"/>
              <w:gridCol w:w="630"/>
              <w:gridCol w:w="735"/>
              <w:gridCol w:w="866"/>
              <w:gridCol w:w="604"/>
              <w:gridCol w:w="852"/>
              <w:gridCol w:w="603"/>
              <w:gridCol w:w="570"/>
              <w:gridCol w:w="855"/>
              <w:gridCol w:w="765"/>
              <w:gridCol w:w="8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名称</w:t>
                  </w:r>
                </w:p>
              </w:tc>
              <w:tc>
                <w:tcPr>
                  <w:tcW w:w="6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排放口编号</w:t>
                  </w:r>
                </w:p>
              </w:tc>
              <w:tc>
                <w:tcPr>
                  <w:tcW w:w="160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排放口地理坐标</w:t>
                  </w:r>
                </w:p>
              </w:tc>
              <w:tc>
                <w:tcPr>
                  <w:tcW w:w="6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废水排放量（t/a）</w:t>
                  </w:r>
                </w:p>
              </w:tc>
              <w:tc>
                <w:tcPr>
                  <w:tcW w:w="8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排放去向</w:t>
                  </w:r>
                </w:p>
              </w:tc>
              <w:tc>
                <w:tcPr>
                  <w:tcW w:w="6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排放规律</w:t>
                  </w:r>
                </w:p>
              </w:tc>
              <w:tc>
                <w:tcPr>
                  <w:tcW w:w="5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间歇排放时段</w:t>
                  </w:r>
                </w:p>
              </w:tc>
              <w:tc>
                <w:tcPr>
                  <w:tcW w:w="246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受纳污水处理厂信息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经度</w:t>
                  </w:r>
                </w:p>
              </w:tc>
              <w:tc>
                <w:tcPr>
                  <w:tcW w:w="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纬度</w:t>
                  </w: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名称</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污染物种类</w:t>
                  </w:r>
                </w:p>
              </w:tc>
              <w:tc>
                <w:tcPr>
                  <w:tcW w:w="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国家或地方污染物排放标准浓度限值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生活污水排放口</w:t>
                  </w:r>
                </w:p>
              </w:tc>
              <w:tc>
                <w:tcPr>
                  <w:tcW w:w="6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DW001</w:t>
                  </w:r>
                </w:p>
              </w:tc>
              <w:tc>
                <w:tcPr>
                  <w:tcW w:w="7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113.173841°E</w:t>
                  </w:r>
                </w:p>
              </w:tc>
              <w:tc>
                <w:tcPr>
                  <w:tcW w:w="86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28.763947°N</w:t>
                  </w:r>
                </w:p>
              </w:tc>
              <w:tc>
                <w:tcPr>
                  <w:tcW w:w="6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608</w:t>
                  </w:r>
                </w:p>
              </w:tc>
              <w:tc>
                <w:tcPr>
                  <w:tcW w:w="8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湖南汨罗高新技术产业开发区（循环园区）污水处理厂</w:t>
                  </w:r>
                </w:p>
              </w:tc>
              <w:tc>
                <w:tcPr>
                  <w:tcW w:w="6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间断排放，流量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稳定</w:t>
                  </w:r>
                </w:p>
              </w:tc>
              <w:tc>
                <w:tcPr>
                  <w:tcW w:w="5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w:t>
                  </w:r>
                </w:p>
              </w:tc>
              <w:tc>
                <w:tcPr>
                  <w:tcW w:w="8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湖南汨罗高新技术产业开发区（循环园区）污水处理厂</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COD</w:t>
                  </w:r>
                </w:p>
              </w:tc>
              <w:tc>
                <w:tcPr>
                  <w:tcW w:w="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BOD</w:t>
                  </w:r>
                  <w:r>
                    <w:rPr>
                      <w:rStyle w:val="68"/>
                      <w:rFonts w:hint="default" w:ascii="Times New Roman" w:hAnsi="Times New Roman" w:eastAsia="宋体" w:cs="Times New Roman"/>
                      <w:b w:val="0"/>
                      <w:bCs w:val="0"/>
                      <w:color w:val="auto"/>
                      <w:sz w:val="18"/>
                      <w:szCs w:val="18"/>
                      <w:highlight w:val="none"/>
                      <w:u w:val="none" w:color="auto"/>
                      <w:vertAlign w:val="subscript"/>
                      <w:lang w:val="en-US" w:eastAsia="zh-CN"/>
                    </w:rPr>
                    <w:t>5</w:t>
                  </w:r>
                </w:p>
              </w:tc>
              <w:tc>
                <w:tcPr>
                  <w:tcW w:w="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氨氮</w:t>
                  </w:r>
                </w:p>
              </w:tc>
              <w:tc>
                <w:tcPr>
                  <w:tcW w:w="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SS</w:t>
                  </w:r>
                </w:p>
              </w:tc>
              <w:tc>
                <w:tcPr>
                  <w:tcW w:w="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none" w:color="auto"/>
                      <w:vertAlign w:val="baseline"/>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生产废水排放口</w:t>
                  </w:r>
                </w:p>
              </w:tc>
              <w:tc>
                <w:tcPr>
                  <w:tcW w:w="6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DW002</w:t>
                  </w:r>
                </w:p>
              </w:tc>
              <w:tc>
                <w:tcPr>
                  <w:tcW w:w="7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113.</w:t>
                  </w:r>
                  <w:r>
                    <w:rPr>
                      <w:rStyle w:val="68"/>
                      <w:rFonts w:hint="default" w:ascii="Times New Roman" w:hAnsi="Times New Roman" w:cs="Times New Roman"/>
                      <w:b w:val="0"/>
                      <w:bCs w:val="0"/>
                      <w:color w:val="auto"/>
                      <w:sz w:val="18"/>
                      <w:szCs w:val="18"/>
                      <w:highlight w:val="none"/>
                      <w:u w:val="single" w:color="auto"/>
                      <w:vertAlign w:val="baseline"/>
                      <w:lang w:val="en-US" w:eastAsia="zh-CN"/>
                    </w:rPr>
                    <w:t>175428</w:t>
                  </w: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°E</w:t>
                  </w:r>
                </w:p>
              </w:tc>
              <w:tc>
                <w:tcPr>
                  <w:tcW w:w="86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28.</w:t>
                  </w:r>
                  <w:r>
                    <w:rPr>
                      <w:rStyle w:val="68"/>
                      <w:rFonts w:hint="default" w:ascii="Times New Roman" w:hAnsi="Times New Roman" w:cs="Times New Roman"/>
                      <w:b w:val="0"/>
                      <w:bCs w:val="0"/>
                      <w:color w:val="auto"/>
                      <w:sz w:val="18"/>
                      <w:szCs w:val="18"/>
                      <w:highlight w:val="none"/>
                      <w:u w:val="single" w:color="auto"/>
                      <w:vertAlign w:val="baseline"/>
                      <w:lang w:val="en-US" w:eastAsia="zh-CN"/>
                    </w:rPr>
                    <w:t>762179</w:t>
                  </w: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°N</w:t>
                  </w:r>
                </w:p>
              </w:tc>
              <w:tc>
                <w:tcPr>
                  <w:tcW w:w="6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2580</w:t>
                  </w:r>
                </w:p>
              </w:tc>
              <w:tc>
                <w:tcPr>
                  <w:tcW w:w="8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汨罗循环经济产业园再生材料产业园污水处理厂</w:t>
                  </w:r>
                </w:p>
              </w:tc>
              <w:tc>
                <w:tcPr>
                  <w:tcW w:w="6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rPr>
                    <w:t>间断排放，排放期间流量稳定</w:t>
                  </w:r>
                </w:p>
              </w:tc>
              <w:tc>
                <w:tcPr>
                  <w:tcW w:w="5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w:t>
                  </w:r>
                </w:p>
              </w:tc>
              <w:tc>
                <w:tcPr>
                  <w:tcW w:w="8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r>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t>汨罗循环经济产业园再生材料产业园污水处理厂</w:t>
                  </w: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COD</w:t>
                  </w:r>
                  <w:r>
                    <w:rPr>
                      <w:rFonts w:hint="default" w:ascii="Times New Roman" w:hAnsi="Times New Roman" w:eastAsia="宋体" w:cs="Times New Roman"/>
                      <w:color w:val="auto"/>
                      <w:sz w:val="18"/>
                      <w:szCs w:val="18"/>
                      <w:highlight w:val="none"/>
                      <w:u w:val="single" w:color="auto"/>
                      <w:vertAlign w:val="subscript"/>
                    </w:rPr>
                    <w:t>Cr</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color="auto"/>
                    </w:rPr>
                  </w:pP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BOD</w:t>
                  </w:r>
                  <w:r>
                    <w:rPr>
                      <w:rFonts w:hint="default" w:ascii="Times New Roman" w:hAnsi="Times New Roman" w:eastAsia="宋体" w:cs="Times New Roman"/>
                      <w:color w:val="auto"/>
                      <w:position w:val="-3"/>
                      <w:sz w:val="18"/>
                      <w:szCs w:val="18"/>
                      <w:highlight w:val="none"/>
                      <w:u w:val="single" w:color="auto"/>
                      <w:vertAlign w:val="subscript"/>
                    </w:rPr>
                    <w:t>5</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氨氮</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TN</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TP</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67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6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5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8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18"/>
                      <w:szCs w:val="18"/>
                      <w:highlight w:val="none"/>
                      <w:u w:val="single" w:color="auto"/>
                      <w:vertAlign w:val="baseline"/>
                      <w:lang w:val="en-US" w:eastAsia="zh-CN"/>
                    </w:rPr>
                  </w:pPr>
                </w:p>
              </w:tc>
              <w:tc>
                <w:tcPr>
                  <w:tcW w:w="765" w:type="dxa"/>
                  <w:tcBorders>
                    <w:tl2br w:val="nil"/>
                    <w:tr2bl w:val="nil"/>
                  </w:tcBorders>
                  <w:shd w:val="clear" w:color="auto" w:fill="auto"/>
                  <w:vAlign w:val="center"/>
                </w:tcPr>
                <w:p>
                  <w:pPr>
                    <w:kinsoku w:val="0"/>
                    <w:overflowPunct w:val="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SS</w:t>
                  </w:r>
                </w:p>
              </w:tc>
              <w:tc>
                <w:tcPr>
                  <w:tcW w:w="847"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400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both"/>
              <w:textAlignment w:val="auto"/>
              <w:rPr>
                <w:rStyle w:val="68"/>
                <w:rFonts w:hint="default" w:ascii="Times New Roman" w:hAnsi="Times New Roman" w:eastAsia="宋体" w:cs="Times New Roman"/>
                <w:b/>
                <w:bCs/>
                <w:color w:val="auto"/>
                <w:sz w:val="24"/>
                <w:szCs w:val="24"/>
                <w:highlight w:val="none"/>
                <w:u w:val="none" w:color="auto"/>
                <w:lang w:val="en-US" w:eastAsia="zh-CN"/>
              </w:rPr>
            </w:pPr>
            <w:r>
              <w:rPr>
                <w:rStyle w:val="68"/>
                <w:rFonts w:hint="default" w:ascii="Times New Roman" w:hAnsi="Times New Roman" w:eastAsia="宋体" w:cs="Times New Roman"/>
                <w:b/>
                <w:bCs/>
                <w:color w:val="auto"/>
                <w:sz w:val="24"/>
                <w:szCs w:val="24"/>
                <w:highlight w:val="none"/>
                <w:u w:val="none" w:color="auto"/>
                <w:lang w:val="en-US" w:eastAsia="zh-CN"/>
              </w:rPr>
              <w:t>3、废水处理可行性分析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（1）生产废水处理可行性分析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①生产废水回用可行性分析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本项目湿法破碎、清洗及地面清洗废水经三级沉淀池（60m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）沉淀后回用，沉淀后的水在循环水池（54m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）暂存，废水产生量为</w:t>
            </w:r>
            <w:bookmarkStart w:id="16" w:name="OLE_LINK6"/>
            <w:r>
              <w:rPr>
                <w:rStyle w:val="68"/>
                <w:rFonts w:hint="default" w:ascii="Times New Roman" w:hAnsi="Times New Roman" w:cs="Times New Roman"/>
                <w:b w:val="0"/>
                <w:bCs w:val="0"/>
                <w:color w:val="auto"/>
                <w:sz w:val="24"/>
                <w:szCs w:val="24"/>
                <w:highlight w:val="none"/>
                <w:u w:val="single" w:color="auto"/>
                <w:lang w:val="en-US" w:eastAsia="zh-CN"/>
              </w:rPr>
              <w:t>72378</w:t>
            </w:r>
            <w:r>
              <w:rPr>
                <w:rStyle w:val="68"/>
                <w:rFonts w:hint="default" w:ascii="Times New Roman" w:hAnsi="Times New Roman" w:eastAsia="宋体" w:cs="Times New Roman"/>
                <w:b w:val="0"/>
                <w:bCs w:val="0"/>
                <w:color w:val="auto"/>
                <w:sz w:val="24"/>
                <w:szCs w:val="24"/>
                <w:highlight w:val="none"/>
                <w:u w:val="single" w:color="auto"/>
                <w:lang w:val="en-US" w:eastAsia="zh-CN"/>
              </w:rPr>
              <w:t>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/a</w:t>
            </w:r>
            <w:bookmarkEnd w:id="16"/>
            <w:r>
              <w:rPr>
                <w:rStyle w:val="68"/>
                <w:rFonts w:hint="default" w:ascii="Times New Roman" w:hAnsi="Times New Roman" w:eastAsia="宋体" w:cs="Times New Roman"/>
                <w:b w:val="0"/>
                <w:bCs w:val="0"/>
                <w:color w:val="auto"/>
                <w:sz w:val="24"/>
                <w:szCs w:val="24"/>
                <w:highlight w:val="none"/>
                <w:u w:val="single" w:color="auto"/>
                <w:lang w:val="en-US" w:eastAsia="zh-CN"/>
              </w:rPr>
              <w:t>，</w:t>
            </w:r>
            <w:r>
              <w:rPr>
                <w:rStyle w:val="68"/>
                <w:rFonts w:hint="default" w:ascii="Times New Roman" w:hAnsi="Times New Roman" w:cs="Times New Roman"/>
                <w:b w:val="0"/>
                <w:bCs w:val="0"/>
                <w:color w:val="auto"/>
                <w:sz w:val="24"/>
                <w:szCs w:val="24"/>
                <w:highlight w:val="none"/>
                <w:u w:val="single" w:color="auto"/>
                <w:lang w:val="en-US" w:eastAsia="zh-CN"/>
              </w:rPr>
              <w:t>241.26</w:t>
            </w:r>
            <w:r>
              <w:rPr>
                <w:rStyle w:val="68"/>
                <w:rFonts w:hint="default" w:ascii="Times New Roman" w:hAnsi="Times New Roman" w:eastAsia="宋体" w:cs="Times New Roman"/>
                <w:b w:val="0"/>
                <w:bCs w:val="0"/>
                <w:color w:val="auto"/>
                <w:sz w:val="24"/>
                <w:szCs w:val="24"/>
                <w:highlight w:val="none"/>
                <w:u w:val="single" w:color="auto"/>
                <w:lang w:val="en-US" w:eastAsia="zh-CN"/>
              </w:rPr>
              <w:t>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/d，</w:t>
            </w:r>
            <w:r>
              <w:rPr>
                <w:rStyle w:val="68"/>
                <w:rFonts w:hint="default" w:ascii="Times New Roman" w:hAnsi="Times New Roman" w:cs="Times New Roman"/>
                <w:b w:val="0"/>
                <w:bCs w:val="0"/>
                <w:color w:val="auto"/>
                <w:sz w:val="24"/>
                <w:szCs w:val="24"/>
                <w:highlight w:val="none"/>
                <w:u w:val="single" w:color="auto"/>
                <w:lang w:val="en-US" w:eastAsia="zh-CN"/>
              </w:rPr>
              <w:t>10.05</w:t>
            </w:r>
            <w:r>
              <w:rPr>
                <w:rStyle w:val="68"/>
                <w:rFonts w:hint="default" w:ascii="Times New Roman" w:hAnsi="Times New Roman" w:eastAsia="宋体" w:cs="Times New Roman"/>
                <w:b w:val="0"/>
                <w:bCs w:val="0"/>
                <w:color w:val="auto"/>
                <w:sz w:val="24"/>
                <w:szCs w:val="24"/>
                <w:highlight w:val="none"/>
                <w:u w:val="single" w:color="auto"/>
                <w:lang w:val="en-US" w:eastAsia="zh-CN"/>
              </w:rPr>
              <w:t>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/h，每级沉淀池的混凝沉淀时间约半小时，沉淀池及循环水池能够容纳产生的废水。根据《排污许可证申请与核发技术规范 废弃资源加工工业》（HJ1034-2019）表A.2废弃资源加工工业排污单位废水污染防治可行技术参考表，沉淀</w:t>
            </w:r>
            <w:r>
              <w:rPr>
                <w:rStyle w:val="68"/>
                <w:rFonts w:hint="default" w:ascii="Times New Roman" w:hAnsi="Times New Roman" w:cs="Times New Roman" w:eastAsiaTheme="majorEastAsia"/>
                <w:b w:val="0"/>
                <w:bCs w:val="0"/>
                <w:color w:val="auto"/>
                <w:sz w:val="24"/>
                <w:szCs w:val="24"/>
                <w:highlight w:val="none"/>
                <w:u w:val="single" w:color="auto"/>
                <w:lang w:val="en-US" w:eastAsia="zh-CN"/>
              </w:rPr>
              <w:t>、混凝</w:t>
            </w:r>
            <w:r>
              <w:rPr>
                <w:rStyle w:val="68"/>
                <w:rFonts w:hint="default" w:ascii="Times New Roman" w:hAnsi="Times New Roman" w:eastAsia="宋体" w:cs="Times New Roman"/>
                <w:b w:val="0"/>
                <w:bCs w:val="0"/>
                <w:color w:val="auto"/>
                <w:sz w:val="24"/>
                <w:szCs w:val="24"/>
                <w:highlight w:val="none"/>
                <w:u w:val="single" w:color="auto"/>
                <w:lang w:val="en-US" w:eastAsia="zh-CN"/>
              </w:rPr>
              <w:t>为废塑料废水处理可行技术。本项目破碎、清洗及地面清洗对水质要求不高，使用回用水不会对生产造成不利影响。</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cs="Times New Roman"/>
                <w:b w:val="0"/>
                <w:bCs w:val="0"/>
                <w:color w:val="auto"/>
                <w:sz w:val="24"/>
                <w:szCs w:val="24"/>
                <w:highlight w:val="none"/>
                <w:u w:val="none" w:color="auto"/>
                <w:lang w:val="en-US" w:eastAsia="zh-CN"/>
              </w:rPr>
              <w:t>②</w:t>
            </w:r>
            <w:r>
              <w:rPr>
                <w:rStyle w:val="68"/>
                <w:rFonts w:hint="default" w:ascii="Times New Roman" w:hAnsi="Times New Roman" w:eastAsia="宋体" w:cs="Times New Roman"/>
                <w:b w:val="0"/>
                <w:bCs w:val="0"/>
                <w:color w:val="auto"/>
                <w:sz w:val="24"/>
                <w:szCs w:val="24"/>
                <w:highlight w:val="none"/>
                <w:u w:val="none" w:color="auto"/>
                <w:lang w:val="en-US" w:eastAsia="zh-CN"/>
              </w:rPr>
              <w:t>生产废水依托</w:t>
            </w:r>
            <w:r>
              <w:rPr>
                <w:rFonts w:hint="default" w:ascii="Times New Roman" w:hAnsi="Times New Roman" w:eastAsia="宋体" w:cs="Times New Roman"/>
                <w:color w:val="auto"/>
                <w:kern w:val="0"/>
                <w:highlight w:val="none"/>
                <w:u w:val="none" w:color="auto"/>
                <w:lang w:val="en-US" w:eastAsia="zh-CN"/>
              </w:rPr>
              <w:t>湖南中塑新材料科技有限公司已建的废水处理站可行性分析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u w:val="single" w:color="auto"/>
                <w:lang w:val="en-US" w:eastAsia="zh-CN"/>
              </w:rPr>
            </w:pPr>
            <w:r>
              <w:rPr>
                <w:rFonts w:hint="default" w:ascii="Times New Roman" w:hAnsi="Times New Roman" w:eastAsia="宋体" w:cs="Times New Roman"/>
                <w:color w:val="auto"/>
                <w:kern w:val="0"/>
                <w:sz w:val="24"/>
                <w:szCs w:val="24"/>
                <w:highlight w:val="none"/>
                <w:u w:val="single" w:color="auto"/>
                <w:lang w:val="en-US" w:eastAsia="zh-CN"/>
              </w:rPr>
              <w:t>根据</w:t>
            </w:r>
            <w:r>
              <w:rPr>
                <w:rStyle w:val="68"/>
                <w:rFonts w:hint="default" w:ascii="Times New Roman" w:hAnsi="Times New Roman" w:eastAsia="宋体" w:cs="Times New Roman"/>
                <w:b w:val="0"/>
                <w:bCs w:val="0"/>
                <w:color w:val="auto"/>
                <w:sz w:val="24"/>
                <w:szCs w:val="24"/>
                <w:highlight w:val="none"/>
                <w:u w:val="single" w:color="auto"/>
                <w:lang w:val="en-US" w:eastAsia="zh-CN"/>
              </w:rPr>
              <w:t>《湖南中塑新材料科技有限公司年产 100 万吨再生塑料项目二期阶段性竣工环境保护验收监测报告表》</w:t>
            </w:r>
            <w:r>
              <w:rPr>
                <w:rFonts w:hint="default" w:ascii="Times New Roman" w:hAnsi="Times New Roman" w:eastAsia="宋体" w:cs="Times New Roman"/>
                <w:color w:val="auto"/>
                <w:kern w:val="0"/>
                <w:sz w:val="24"/>
                <w:szCs w:val="24"/>
                <w:highlight w:val="none"/>
                <w:u w:val="single" w:color="auto"/>
                <w:lang w:val="en-US" w:eastAsia="zh-CN"/>
              </w:rPr>
              <w:t>（精检竣监［2022］008 号）</w:t>
            </w:r>
            <w:r>
              <w:rPr>
                <w:rStyle w:val="68"/>
                <w:rFonts w:hint="default" w:ascii="Times New Roman" w:hAnsi="Times New Roman" w:eastAsia="宋体" w:cs="Times New Roman"/>
                <w:b w:val="0"/>
                <w:bCs w:val="0"/>
                <w:color w:val="auto"/>
                <w:sz w:val="24"/>
                <w:szCs w:val="24"/>
                <w:highlight w:val="none"/>
                <w:u w:val="single" w:color="auto"/>
                <w:lang w:val="en-US" w:eastAsia="zh-CN"/>
              </w:rPr>
              <w:t>》，</w:t>
            </w:r>
            <w:r>
              <w:rPr>
                <w:rFonts w:hint="default" w:ascii="Times New Roman" w:hAnsi="Times New Roman" w:eastAsia="宋体" w:cs="Times New Roman"/>
                <w:color w:val="auto"/>
                <w:kern w:val="0"/>
                <w:sz w:val="24"/>
                <w:szCs w:val="24"/>
                <w:highlight w:val="none"/>
                <w:u w:val="single" w:color="auto"/>
                <w:lang w:val="en-US" w:eastAsia="zh-CN"/>
              </w:rPr>
              <w:t>湖南中塑新材料科技有限公司废水处理站设计处理规模为150m</w:t>
            </w:r>
            <w:r>
              <w:rPr>
                <w:rFonts w:hint="default" w:ascii="Times New Roman" w:hAnsi="Times New Roman" w:eastAsia="宋体" w:cs="Times New Roman"/>
                <w:color w:val="auto"/>
                <w:kern w:val="0"/>
                <w:sz w:val="24"/>
                <w:szCs w:val="24"/>
                <w:highlight w:val="none"/>
                <w:u w:val="single" w:color="auto"/>
                <w:vertAlign w:val="superscript"/>
                <w:lang w:val="en-US" w:eastAsia="zh-CN"/>
              </w:rPr>
              <w:t>3</w:t>
            </w:r>
            <w:r>
              <w:rPr>
                <w:rFonts w:hint="default" w:ascii="Times New Roman" w:hAnsi="Times New Roman" w:eastAsia="宋体" w:cs="Times New Roman"/>
                <w:color w:val="auto"/>
                <w:kern w:val="0"/>
                <w:sz w:val="24"/>
                <w:szCs w:val="24"/>
                <w:highlight w:val="none"/>
                <w:u w:val="single" w:color="auto"/>
                <w:lang w:val="en-US" w:eastAsia="zh-CN"/>
              </w:rPr>
              <w:t>/h，24h运行，处理工艺为隔油+混凝气浮，</w:t>
            </w:r>
            <w:r>
              <w:rPr>
                <w:rStyle w:val="68"/>
                <w:rFonts w:hint="default" w:ascii="Times New Roman" w:hAnsi="Times New Roman" w:eastAsia="宋体" w:cs="Times New Roman"/>
                <w:b w:val="0"/>
                <w:bCs w:val="0"/>
                <w:color w:val="auto"/>
                <w:sz w:val="24"/>
                <w:szCs w:val="24"/>
                <w:highlight w:val="none"/>
                <w:u w:val="single" w:color="auto"/>
                <w:lang w:val="en-US" w:eastAsia="zh-CN"/>
              </w:rPr>
              <w:t>各污染物最小处理效率分别为：CODcr60.7%、BOD</w:t>
            </w:r>
            <w:r>
              <w:rPr>
                <w:rStyle w:val="68"/>
                <w:rFonts w:hint="default" w:ascii="Times New Roman" w:hAnsi="Times New Roman" w:eastAsia="宋体" w:cs="Times New Roman"/>
                <w:b w:val="0"/>
                <w:bCs w:val="0"/>
                <w:color w:val="auto"/>
                <w:sz w:val="24"/>
                <w:szCs w:val="24"/>
                <w:highlight w:val="none"/>
                <w:u w:val="single" w:color="auto"/>
                <w:vertAlign w:val="subscript"/>
                <w:lang w:val="en-US" w:eastAsia="zh-CN"/>
              </w:rPr>
              <w:t>5</w:t>
            </w:r>
            <w:r>
              <w:rPr>
                <w:rStyle w:val="68"/>
                <w:rFonts w:hint="default" w:ascii="Times New Roman" w:hAnsi="Times New Roman" w:eastAsia="宋体" w:cs="Times New Roman"/>
                <w:b w:val="0"/>
                <w:bCs w:val="0"/>
                <w:color w:val="auto"/>
                <w:sz w:val="24"/>
                <w:szCs w:val="24"/>
                <w:highlight w:val="none"/>
                <w:u w:val="single" w:color="auto"/>
                <w:vertAlign w:val="baseline"/>
                <w:lang w:val="en-US" w:eastAsia="zh-CN"/>
              </w:rPr>
              <w:t>65.4%、SS72.9%、氨氮</w:t>
            </w:r>
            <w:r>
              <w:rPr>
                <w:rStyle w:val="68"/>
                <w:rFonts w:hint="default" w:ascii="Times New Roman" w:hAnsi="Times New Roman" w:eastAsia="宋体" w:cs="Times New Roman"/>
                <w:b w:val="0"/>
                <w:bCs w:val="0"/>
                <w:color w:val="auto"/>
                <w:sz w:val="24"/>
                <w:szCs w:val="24"/>
                <w:highlight w:val="none"/>
                <w:u w:val="single" w:color="auto"/>
                <w:lang w:val="en-US" w:eastAsia="zh-CN"/>
              </w:rPr>
              <w:t>50.0%、TP65.5%、TN57.9%、石油类60.0%，目前该废水处理站处理量约为922.82m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/d(折合约38.45</w:t>
            </w:r>
            <w:r>
              <w:rPr>
                <w:rFonts w:hint="default" w:ascii="Times New Roman" w:hAnsi="Times New Roman" w:eastAsia="宋体" w:cs="Times New Roman"/>
                <w:color w:val="auto"/>
                <w:kern w:val="0"/>
                <w:sz w:val="24"/>
                <w:szCs w:val="24"/>
                <w:highlight w:val="none"/>
                <w:u w:val="single" w:color="auto"/>
                <w:lang w:val="en-US" w:eastAsia="zh-CN"/>
              </w:rPr>
              <w:t>m</w:t>
            </w:r>
            <w:r>
              <w:rPr>
                <w:rFonts w:hint="default" w:ascii="Times New Roman" w:hAnsi="Times New Roman" w:eastAsia="宋体" w:cs="Times New Roman"/>
                <w:color w:val="auto"/>
                <w:kern w:val="0"/>
                <w:sz w:val="24"/>
                <w:szCs w:val="24"/>
                <w:highlight w:val="none"/>
                <w:u w:val="single" w:color="auto"/>
                <w:vertAlign w:val="superscript"/>
                <w:lang w:val="en-US" w:eastAsia="zh-CN"/>
              </w:rPr>
              <w:t>3</w:t>
            </w:r>
            <w:r>
              <w:rPr>
                <w:rFonts w:hint="default" w:ascii="Times New Roman" w:hAnsi="Times New Roman" w:eastAsia="宋体" w:cs="Times New Roman"/>
                <w:color w:val="auto"/>
                <w:kern w:val="0"/>
                <w:sz w:val="24"/>
                <w:szCs w:val="24"/>
                <w:highlight w:val="none"/>
                <w:u w:val="single" w:color="auto"/>
                <w:lang w:val="en-US" w:eastAsia="zh-CN"/>
              </w:rPr>
              <w:t>/h</w:t>
            </w:r>
            <w:r>
              <w:rPr>
                <w:rStyle w:val="68"/>
                <w:rFonts w:hint="default" w:ascii="Times New Roman" w:hAnsi="Times New Roman" w:eastAsia="宋体" w:cs="Times New Roman"/>
                <w:b w:val="0"/>
                <w:bCs w:val="0"/>
                <w:color w:val="auto"/>
                <w:sz w:val="24"/>
                <w:szCs w:val="24"/>
                <w:highlight w:val="none"/>
                <w:u w:val="single" w:color="auto"/>
                <w:lang w:val="en-US" w:eastAsia="zh-CN"/>
              </w:rPr>
              <w:t>)，该废水处理站处理余量为111.55m</w:t>
            </w:r>
            <w:r>
              <w:rPr>
                <w:rStyle w:val="68"/>
                <w:rFonts w:hint="default" w:ascii="Times New Roman" w:hAnsi="Times New Roman" w:eastAsia="宋体" w:cs="Times New Roman"/>
                <w:b w:val="0"/>
                <w:bCs w:val="0"/>
                <w:color w:val="auto"/>
                <w:sz w:val="24"/>
                <w:szCs w:val="24"/>
                <w:highlight w:val="none"/>
                <w:u w:val="singl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single" w:color="auto"/>
                <w:lang w:val="en-US" w:eastAsia="zh-CN"/>
              </w:rPr>
              <w:t>/h，本项目生产废水排放量为2580t/a，0.36t/h，</w:t>
            </w:r>
            <w:r>
              <w:rPr>
                <w:rFonts w:hint="default" w:ascii="Times New Roman" w:hAnsi="Times New Roman" w:eastAsia="宋体" w:cs="Times New Roman"/>
                <w:color w:val="auto"/>
                <w:kern w:val="0"/>
                <w:sz w:val="24"/>
                <w:szCs w:val="24"/>
                <w:highlight w:val="none"/>
                <w:u w:val="single" w:color="auto"/>
                <w:lang w:val="en-US" w:eastAsia="zh-CN"/>
              </w:rPr>
              <w:t>本项目生产废水产生量占湖南中塑新材料科技有限公司废水处理站处理余量的</w:t>
            </w:r>
            <w:r>
              <w:rPr>
                <w:rFonts w:hint="default" w:ascii="Times New Roman" w:hAnsi="Times New Roman" w:cs="Times New Roman"/>
                <w:color w:val="auto"/>
                <w:kern w:val="0"/>
                <w:sz w:val="24"/>
                <w:szCs w:val="24"/>
                <w:highlight w:val="none"/>
                <w:u w:val="single" w:color="auto"/>
                <w:lang w:val="en-US" w:eastAsia="zh-CN"/>
              </w:rPr>
              <w:t>0.32</w:t>
            </w:r>
            <w:r>
              <w:rPr>
                <w:rFonts w:hint="default" w:ascii="Times New Roman" w:hAnsi="Times New Roman" w:eastAsia="宋体" w:cs="Times New Roman"/>
                <w:color w:val="auto"/>
                <w:kern w:val="0"/>
                <w:sz w:val="24"/>
                <w:szCs w:val="24"/>
                <w:highlight w:val="none"/>
                <w:u w:val="single" w:color="auto"/>
                <w:lang w:val="en-US" w:eastAsia="zh-CN"/>
              </w:rPr>
              <w:t>%，故湖南中塑新材料科技有限公司废水处理有足够的余量接纳本项目的生产废水</w:t>
            </w:r>
            <w:r>
              <w:rPr>
                <w:rFonts w:hint="default" w:ascii="Times New Roman" w:hAnsi="Times New Roman" w:cs="Times New Roman"/>
                <w:color w:val="auto"/>
                <w:kern w:val="0"/>
                <w:sz w:val="24"/>
                <w:szCs w:val="24"/>
                <w:highlight w:val="none"/>
                <w:u w:val="single" w:color="auto"/>
                <w:lang w:val="en-US" w:eastAsia="zh-CN"/>
              </w:rPr>
              <w:t>。根据表4-3，本项目废水经</w:t>
            </w:r>
            <w:r>
              <w:rPr>
                <w:rFonts w:hint="default" w:ascii="Times New Roman" w:hAnsi="Times New Roman" w:eastAsia="宋体" w:cs="Times New Roman"/>
                <w:color w:val="auto"/>
                <w:kern w:val="0"/>
                <w:sz w:val="24"/>
                <w:szCs w:val="24"/>
                <w:highlight w:val="none"/>
                <w:u w:val="single" w:color="auto"/>
                <w:lang w:val="en-US" w:eastAsia="zh-CN"/>
              </w:rPr>
              <w:t>湖南中塑新材料科技有限公司废水处理站处理后能满足</w:t>
            </w:r>
            <w:r>
              <w:rPr>
                <w:rStyle w:val="68"/>
                <w:rFonts w:hint="default" w:ascii="Times New Roman" w:hAnsi="Times New Roman" w:eastAsia="宋体" w:cs="Times New Roman"/>
                <w:b w:val="0"/>
                <w:bCs w:val="0"/>
                <w:color w:val="auto"/>
                <w:sz w:val="24"/>
                <w:szCs w:val="24"/>
                <w:highlight w:val="none"/>
                <w:u w:val="single" w:color="auto"/>
              </w:rPr>
              <w:t>湖南汨罗循环经济产业园再生材料产业园污水处理厂接管标准</w:t>
            </w:r>
            <w:r>
              <w:rPr>
                <w:rStyle w:val="68"/>
                <w:rFonts w:hint="default" w:ascii="Times New Roman" w:hAnsi="Times New Roman" w:eastAsia="宋体" w:cs="Times New Roman"/>
                <w:b w:val="0"/>
                <w:bCs w:val="0"/>
                <w:color w:val="auto"/>
                <w:sz w:val="24"/>
                <w:szCs w:val="24"/>
                <w:highlight w:val="none"/>
                <w:u w:val="single" w:color="auto"/>
                <w:lang w:val="en-US" w:eastAsia="zh-CN"/>
              </w:rPr>
              <w:t>要求</w:t>
            </w:r>
            <w:r>
              <w:rPr>
                <w:rFonts w:hint="eastAsia" w:ascii="Times New Roman" w:hAnsi="Times New Roman" w:eastAsia="宋体" w:cs="Times New Roman"/>
                <w:color w:val="auto"/>
                <w:kern w:val="0"/>
                <w:sz w:val="24"/>
                <w:szCs w:val="24"/>
                <w:highlight w:val="none"/>
                <w:u w:val="single" w:color="auto"/>
                <w:lang w:val="en-US" w:eastAsia="zh-CN"/>
              </w:rPr>
              <w:t>（未明确接管标准的污染因子满足</w:t>
            </w:r>
            <w:r>
              <w:rPr>
                <w:rStyle w:val="68"/>
                <w:rFonts w:hint="default" w:ascii="Times New Roman" w:hAnsi="Times New Roman" w:eastAsia="宋体" w:cs="Times New Roman"/>
                <w:b w:val="0"/>
                <w:bCs w:val="0"/>
                <w:color w:val="auto"/>
                <w:sz w:val="24"/>
                <w:szCs w:val="24"/>
                <w:highlight w:val="none"/>
                <w:u w:val="single" w:color="auto"/>
                <w:lang w:eastAsia="zh-CN"/>
              </w:rPr>
              <w:t>《污水综合排放标准》（GB8978-1996）中三级标准</w:t>
            </w:r>
            <w:r>
              <w:rPr>
                <w:rStyle w:val="68"/>
                <w:rFonts w:hint="eastAsia" w:ascii="宋体" w:hAnsi="宋体" w:eastAsia="宋体" w:cs="宋体"/>
                <w:b w:val="0"/>
                <w:bCs w:val="0"/>
                <w:color w:val="auto"/>
                <w:sz w:val="24"/>
                <w:szCs w:val="24"/>
                <w:highlight w:val="none"/>
                <w:u w:val="single" w:color="auto"/>
                <w:lang w:val="en-US" w:eastAsia="zh-CN"/>
              </w:rPr>
              <w:t>）</w:t>
            </w:r>
            <w:r>
              <w:rPr>
                <w:rFonts w:hint="default" w:ascii="Times New Roman" w:hAnsi="Times New Roman" w:eastAsia="宋体" w:cs="Times New Roman"/>
                <w:color w:val="auto"/>
                <w:kern w:val="0"/>
                <w:sz w:val="24"/>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Style w:val="68"/>
                <w:rFonts w:hint="default" w:ascii="Times New Roman" w:hAnsi="Times New Roman" w:eastAsia="宋体"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湖南</w:t>
            </w:r>
            <w:r>
              <w:rPr>
                <w:rFonts w:hint="default" w:ascii="Times New Roman" w:hAnsi="Times New Roman" w:eastAsia="宋体" w:cs="Times New Roman"/>
                <w:color w:val="auto"/>
                <w:kern w:val="0"/>
                <w:sz w:val="24"/>
                <w:szCs w:val="24"/>
                <w:highlight w:val="none"/>
                <w:u w:val="single" w:color="auto"/>
                <w:lang w:val="en-US" w:eastAsia="zh-CN"/>
              </w:rPr>
              <w:t>中塑新材料科技有限公司</w:t>
            </w:r>
            <w:r>
              <w:rPr>
                <w:rStyle w:val="68"/>
                <w:rFonts w:hint="default" w:ascii="Times New Roman" w:hAnsi="Times New Roman" w:eastAsia="宋体" w:cs="Times New Roman"/>
                <w:b w:val="0"/>
                <w:bCs w:val="0"/>
                <w:color w:val="auto"/>
                <w:sz w:val="24"/>
                <w:szCs w:val="24"/>
                <w:highlight w:val="none"/>
                <w:u w:val="single" w:color="auto"/>
              </w:rPr>
              <w:t>污水处理站的处理工艺流程如下：</w:t>
            </w:r>
          </w:p>
          <w:p>
            <w:pPr>
              <w:adjustRightInd w:val="0"/>
              <w:snapToGrid w:val="0"/>
              <w:spacing w:line="360" w:lineRule="auto"/>
              <w:rPr>
                <w:rStyle w:val="68"/>
                <w:rFonts w:hint="default" w:ascii="Times New Roman" w:hAnsi="Times New Roman" w:cs="Times New Roman"/>
                <w:b w:val="0"/>
                <w:bCs w:val="0"/>
                <w:color w:val="auto"/>
                <w:sz w:val="24"/>
                <w:szCs w:val="24"/>
                <w:highlight w:val="none"/>
                <w:u w:val="single" w:color="auto"/>
                <w:lang w:val="en-US" w:eastAsia="zh-CN"/>
              </w:rPr>
            </w:pPr>
            <w:r>
              <w:rPr>
                <w:rFonts w:hint="default" w:ascii="Times New Roman" w:hAnsi="Times New Roman" w:eastAsia="宋体" w:cs="Times New Roman"/>
                <w:color w:val="auto"/>
                <w:u w:val="single" w:color="auto"/>
              </w:rPr>
              <w:drawing>
                <wp:inline distT="0" distB="0" distL="114300" distR="114300">
                  <wp:extent cx="5017770" cy="3355340"/>
                  <wp:effectExtent l="0" t="0" r="11430" b="16510"/>
                  <wp:docPr id="12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4" name="图片 5"/>
                          <pic:cNvPicPr>
                            <a:picLocks noChangeAspect="true"/>
                          </pic:cNvPicPr>
                        </pic:nvPicPr>
                        <pic:blipFill>
                          <a:blip r:embed="rId19"/>
                          <a:stretch>
                            <a:fillRect/>
                          </a:stretch>
                        </pic:blipFill>
                        <pic:spPr>
                          <a:xfrm>
                            <a:off x="0" y="0"/>
                            <a:ext cx="5017770" cy="3355340"/>
                          </a:xfrm>
                          <a:prstGeom prst="rect">
                            <a:avLst/>
                          </a:prstGeom>
                          <a:noFill/>
                          <a:ln>
                            <a:noFill/>
                          </a:ln>
                        </pic:spPr>
                      </pic:pic>
                    </a:graphicData>
                  </a:graphic>
                </wp:inline>
              </w:drawing>
            </w:r>
          </w:p>
          <w:p>
            <w:pPr>
              <w:adjustRightInd w:val="0"/>
              <w:snapToGrid w:val="0"/>
              <w:spacing w:line="360" w:lineRule="auto"/>
              <w:ind w:firstLine="421" w:firstLineChars="200"/>
              <w:jc w:val="center"/>
              <w:rPr>
                <w:rStyle w:val="68"/>
                <w:rFonts w:hint="default" w:ascii="Times New Roman" w:hAnsi="Times New Roman"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color w:val="auto"/>
                <w:sz w:val="21"/>
                <w:szCs w:val="21"/>
                <w:highlight w:val="none"/>
                <w:u w:val="single" w:color="auto"/>
              </w:rPr>
              <w:t>图4-</w:t>
            </w:r>
            <w:r>
              <w:rPr>
                <w:rStyle w:val="68"/>
                <w:rFonts w:hint="default" w:ascii="Times New Roman" w:hAnsi="Times New Roman" w:cs="Times New Roman"/>
                <w:color w:val="auto"/>
                <w:sz w:val="21"/>
                <w:szCs w:val="21"/>
                <w:highlight w:val="none"/>
                <w:u w:val="single" w:color="auto"/>
                <w:lang w:val="en-US" w:eastAsia="zh-CN"/>
              </w:rPr>
              <w:t>1</w:t>
            </w:r>
            <w:r>
              <w:rPr>
                <w:rStyle w:val="68"/>
                <w:rFonts w:hint="default" w:ascii="Times New Roman" w:hAnsi="Times New Roman" w:eastAsia="宋体" w:cs="Times New Roman"/>
                <w:color w:val="auto"/>
                <w:sz w:val="21"/>
                <w:szCs w:val="21"/>
                <w:highlight w:val="none"/>
                <w:u w:val="single" w:color="auto"/>
              </w:rPr>
              <w:t xml:space="preserve">   </w:t>
            </w:r>
            <w:r>
              <w:rPr>
                <w:rStyle w:val="68"/>
                <w:rFonts w:hint="default" w:ascii="Times New Roman" w:hAnsi="Times New Roman" w:eastAsia="宋体" w:cs="Times New Roman"/>
                <w:color w:val="auto"/>
                <w:sz w:val="21"/>
                <w:szCs w:val="21"/>
                <w:highlight w:val="none"/>
                <w:u w:val="single" w:color="auto"/>
                <w:lang w:val="en-US" w:eastAsia="zh-CN"/>
              </w:rPr>
              <w:t>中塑</w:t>
            </w:r>
            <w:r>
              <w:rPr>
                <w:rStyle w:val="68"/>
                <w:rFonts w:hint="default" w:ascii="Times New Roman" w:hAnsi="Times New Roman" w:eastAsia="宋体" w:cs="Times New Roman"/>
                <w:color w:val="auto"/>
                <w:sz w:val="21"/>
                <w:szCs w:val="21"/>
                <w:highlight w:val="none"/>
                <w:u w:val="single" w:color="auto"/>
              </w:rPr>
              <w:t>废水处理工艺流程图</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single" w:color="auto"/>
              </w:rPr>
            </w:pPr>
            <w:r>
              <w:rPr>
                <w:rStyle w:val="68"/>
                <w:rFonts w:hint="default" w:ascii="Times New Roman" w:hAnsi="Times New Roman" w:eastAsia="宋体" w:cs="Times New Roman"/>
                <w:b w:val="0"/>
                <w:bCs w:val="0"/>
                <w:color w:val="auto"/>
                <w:sz w:val="24"/>
                <w:szCs w:val="24"/>
                <w:highlight w:val="none"/>
                <w:u w:val="single" w:color="auto"/>
              </w:rPr>
              <w:t>处理工艺说明：</w:t>
            </w:r>
          </w:p>
          <w:p>
            <w:pPr>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rPr>
            </w:pPr>
            <w:r>
              <w:rPr>
                <w:rStyle w:val="68"/>
                <w:rFonts w:hint="default" w:ascii="Times New Roman" w:hAnsi="Times New Roman" w:eastAsia="宋体" w:cs="Times New Roman"/>
                <w:b w:val="0"/>
                <w:bCs w:val="0"/>
                <w:color w:val="auto"/>
                <w:sz w:val="24"/>
                <w:szCs w:val="24"/>
                <w:highlight w:val="none"/>
                <w:u w:val="single" w:color="auto"/>
              </w:rPr>
              <w:t>污水先进入格栅井，通过格栅拦污后自流进入</w:t>
            </w:r>
            <w:r>
              <w:rPr>
                <w:rStyle w:val="68"/>
                <w:rFonts w:hint="default" w:ascii="Times New Roman" w:hAnsi="Times New Roman" w:eastAsia="宋体" w:cs="Times New Roman"/>
                <w:b w:val="0"/>
                <w:bCs w:val="0"/>
                <w:color w:val="auto"/>
                <w:sz w:val="24"/>
                <w:szCs w:val="24"/>
                <w:highlight w:val="none"/>
                <w:u w:val="single" w:color="auto"/>
                <w:lang w:val="en-US" w:eastAsia="zh-CN"/>
              </w:rPr>
              <w:t>调节池，再进入</w:t>
            </w:r>
            <w:r>
              <w:rPr>
                <w:rStyle w:val="68"/>
                <w:rFonts w:hint="default" w:ascii="Times New Roman" w:hAnsi="Times New Roman" w:eastAsia="宋体" w:cs="Times New Roman"/>
                <w:b w:val="0"/>
                <w:bCs w:val="0"/>
                <w:color w:val="auto"/>
                <w:sz w:val="24"/>
                <w:szCs w:val="24"/>
                <w:highlight w:val="none"/>
                <w:u w:val="single" w:color="auto"/>
              </w:rPr>
              <w:t>隔油池去除浮油，底部沉砂通过刮渣刮泥机进入隔油池后段污泥段，经过隔油后污水通过泵提升至</w:t>
            </w:r>
            <w:r>
              <w:rPr>
                <w:rStyle w:val="68"/>
                <w:rFonts w:hint="default" w:ascii="Times New Roman" w:hAnsi="Times New Roman" w:eastAsia="宋体" w:cs="Times New Roman"/>
                <w:b w:val="0"/>
                <w:bCs w:val="0"/>
                <w:color w:val="auto"/>
                <w:sz w:val="24"/>
                <w:szCs w:val="24"/>
                <w:highlight w:val="none"/>
                <w:u w:val="single" w:color="auto"/>
                <w:lang w:val="en-US" w:eastAsia="zh-CN"/>
              </w:rPr>
              <w:t>混凝沉淀池，</w:t>
            </w:r>
            <w:r>
              <w:rPr>
                <w:rStyle w:val="68"/>
                <w:rFonts w:hint="default" w:ascii="Times New Roman" w:hAnsi="Times New Roman" w:eastAsia="宋体" w:cs="Times New Roman"/>
                <w:b w:val="0"/>
                <w:bCs w:val="0"/>
                <w:color w:val="auto"/>
                <w:sz w:val="24"/>
                <w:szCs w:val="24"/>
                <w:highlight w:val="none"/>
                <w:u w:val="single" w:color="auto"/>
              </w:rPr>
              <w:t>通</w:t>
            </w:r>
            <w:r>
              <w:rPr>
                <w:rStyle w:val="68"/>
                <w:rFonts w:hint="default" w:ascii="Times New Roman" w:hAnsi="Times New Roman" w:eastAsia="宋体" w:cs="Times New Roman"/>
                <w:b w:val="0"/>
                <w:bCs w:val="0"/>
                <w:color w:val="auto"/>
                <w:sz w:val="24"/>
                <w:szCs w:val="24"/>
                <w:highlight w:val="none"/>
                <w:u w:val="single" w:color="auto"/>
                <w:lang w:val="en-US" w:eastAsia="zh-CN"/>
              </w:rPr>
              <w:t>过投</w:t>
            </w:r>
            <w:r>
              <w:rPr>
                <w:rStyle w:val="68"/>
                <w:rFonts w:hint="eastAsia" w:ascii="宋体" w:hAnsi="宋体" w:eastAsia="宋体" w:cs="宋体"/>
                <w:b w:val="0"/>
                <w:bCs w:val="0"/>
                <w:color w:val="auto"/>
                <w:sz w:val="24"/>
                <w:szCs w:val="24"/>
                <w:highlight w:val="none"/>
                <w:u w:val="single" w:color="auto"/>
                <w:lang w:val="en-US" w:eastAsia="zh-CN"/>
              </w:rPr>
              <w:t>加</w:t>
            </w:r>
            <w:r>
              <w:rPr>
                <w:rStyle w:val="68"/>
                <w:rFonts w:hint="default" w:ascii="Times New Roman" w:hAnsi="Times New Roman" w:eastAsia="宋体" w:cs="Times New Roman"/>
                <w:b w:val="0"/>
                <w:bCs w:val="0"/>
                <w:color w:val="auto"/>
                <w:sz w:val="24"/>
                <w:szCs w:val="24"/>
                <w:highlight w:val="none"/>
                <w:u w:val="single" w:color="auto"/>
                <w:lang w:val="en-US" w:eastAsia="zh-CN"/>
              </w:rPr>
              <w:t>絮凝剂，絮凝沉淀后进入气浮系统，进一步去除系统中的浮油和浮悬浮物。气浮出水排入清水池再排入再生材料产业园污水处理厂深度处理，沉淀污泥通过浓缩、经板框压滤机干化后，由环卫部门清运。</w:t>
            </w:r>
          </w:p>
          <w:p>
            <w:pPr>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rPr>
            </w:pPr>
            <w:r>
              <w:rPr>
                <w:rStyle w:val="68"/>
                <w:rFonts w:hint="default" w:ascii="Times New Roman" w:hAnsi="Times New Roman" w:eastAsia="宋体" w:cs="Times New Roman"/>
                <w:b w:val="0"/>
                <w:bCs w:val="0"/>
                <w:color w:val="auto"/>
                <w:sz w:val="24"/>
                <w:szCs w:val="24"/>
                <w:highlight w:val="none"/>
                <w:u w:val="single" w:color="auto"/>
              </w:rPr>
              <w:t>对照《排污许可证申请与核发技术规范 废弃资源加工工业》（HJ1034-2019）污染防治可行技术参考，废塑料行业对其产生综合废水可采用预处理（沉淀，气浮，混凝，调节），</w:t>
            </w:r>
            <w:r>
              <w:rPr>
                <w:rStyle w:val="68"/>
                <w:rFonts w:hint="default" w:ascii="Times New Roman" w:hAnsi="Times New Roman" w:eastAsia="宋体" w:cs="Times New Roman"/>
                <w:b w:val="0"/>
                <w:bCs w:val="0"/>
                <w:color w:val="auto"/>
                <w:sz w:val="24"/>
                <w:szCs w:val="24"/>
                <w:highlight w:val="none"/>
                <w:u w:val="single" w:color="auto"/>
                <w:lang w:val="en-US" w:eastAsia="zh-CN"/>
              </w:rPr>
              <w:t>湖南中塑新材料科技有限公司废水处理站</w:t>
            </w:r>
            <w:r>
              <w:rPr>
                <w:rStyle w:val="68"/>
                <w:rFonts w:hint="default" w:ascii="Times New Roman" w:hAnsi="Times New Roman" w:eastAsia="宋体" w:cs="Times New Roman"/>
                <w:b w:val="0"/>
                <w:bCs w:val="0"/>
                <w:color w:val="auto"/>
                <w:sz w:val="24"/>
                <w:szCs w:val="24"/>
                <w:highlight w:val="none"/>
                <w:u w:val="single" w:color="auto"/>
                <w:lang w:eastAsia="zh-CN"/>
              </w:rPr>
              <w:t>（隔油+混凝气浮）</w:t>
            </w:r>
            <w:r>
              <w:rPr>
                <w:rStyle w:val="68"/>
                <w:rFonts w:hint="default" w:ascii="Times New Roman" w:hAnsi="Times New Roman" w:eastAsia="宋体" w:cs="Times New Roman"/>
                <w:b w:val="0"/>
                <w:bCs w:val="0"/>
                <w:color w:val="auto"/>
                <w:sz w:val="24"/>
                <w:szCs w:val="24"/>
                <w:highlight w:val="none"/>
                <w:u w:val="single" w:color="auto"/>
              </w:rPr>
              <w:t>属于其污染防治可行技术要求中技术。</w:t>
            </w:r>
          </w:p>
          <w:p>
            <w:pPr>
              <w:adjustRightInd w:val="0"/>
              <w:snapToGrid w:val="0"/>
              <w:spacing w:line="360" w:lineRule="auto"/>
              <w:ind w:firstLine="480" w:firstLineChars="200"/>
              <w:rPr>
                <w:rStyle w:val="68"/>
                <w:rFonts w:hint="default" w:ascii="Times New Roman" w:hAnsi="Times New Roman" w:cs="Times New Roman"/>
                <w:b w:val="0"/>
                <w:bCs w:val="0"/>
                <w:color w:val="auto"/>
                <w:sz w:val="24"/>
                <w:szCs w:val="24"/>
                <w:highlight w:val="none"/>
                <w:u w:val="single" w:color="auto"/>
                <w:lang w:val="en-US" w:eastAsia="zh-CN"/>
              </w:rPr>
            </w:pPr>
            <w:r>
              <w:rPr>
                <w:rStyle w:val="68"/>
                <w:rFonts w:hint="default" w:ascii="Times New Roman" w:hAnsi="Times New Roman" w:eastAsia="宋体" w:cs="Times New Roman"/>
                <w:b w:val="0"/>
                <w:bCs w:val="0"/>
                <w:color w:val="auto"/>
                <w:sz w:val="24"/>
                <w:szCs w:val="24"/>
                <w:highlight w:val="none"/>
                <w:u w:val="single" w:color="auto"/>
                <w:lang w:val="en-US" w:eastAsia="zh-CN"/>
              </w:rPr>
              <w:t>综上所述，</w:t>
            </w:r>
            <w:r>
              <w:rPr>
                <w:rFonts w:hint="default" w:ascii="Times New Roman" w:hAnsi="Times New Roman" w:eastAsia="宋体" w:cs="Times New Roman"/>
                <w:color w:val="auto"/>
                <w:kern w:val="0"/>
                <w:sz w:val="24"/>
                <w:szCs w:val="24"/>
                <w:highlight w:val="none"/>
                <w:u w:val="single" w:color="auto"/>
                <w:lang w:val="en-US" w:eastAsia="zh-CN"/>
              </w:rPr>
              <w:t>本项目生产废水依托湖南中塑新材料科技有限公司废水处理站处理可行</w:t>
            </w:r>
            <w:r>
              <w:rPr>
                <w:rFonts w:hint="default" w:ascii="Times New Roman" w:hAnsi="Times New Roman" w:cs="Times New Roman"/>
                <w:color w:val="auto"/>
                <w:kern w:val="0"/>
                <w:sz w:val="24"/>
                <w:szCs w:val="24"/>
                <w:highlight w:val="none"/>
                <w:u w:val="single" w:color="auto"/>
                <w:lang w:val="en-US" w:eastAsia="zh-CN"/>
              </w:rPr>
              <w:t>。</w:t>
            </w:r>
          </w:p>
          <w:p>
            <w:pPr>
              <w:spacing w:line="500" w:lineRule="exact"/>
              <w:ind w:firstLine="480" w:firstLineChars="200"/>
              <w:jc w:val="left"/>
              <w:rPr>
                <w:rStyle w:val="68"/>
                <w:rFonts w:hint="default" w:ascii="Times New Roman" w:hAnsi="Times New Roman" w:eastAsia="宋体" w:cs="Times New Roman"/>
                <w:b w:val="0"/>
                <w:bCs w:val="0"/>
                <w:color w:val="auto"/>
                <w:sz w:val="24"/>
                <w:szCs w:val="24"/>
                <w:highlight w:val="none"/>
                <w:u w:val="single" w:color="auto"/>
              </w:rPr>
            </w:pPr>
            <w:r>
              <w:rPr>
                <w:rStyle w:val="68"/>
                <w:rFonts w:hint="default" w:ascii="Times New Roman" w:hAnsi="Times New Roman" w:cs="Times New Roman"/>
                <w:b w:val="0"/>
                <w:bCs w:val="0"/>
                <w:color w:val="auto"/>
                <w:sz w:val="24"/>
                <w:szCs w:val="24"/>
                <w:highlight w:val="none"/>
                <w:u w:val="single" w:color="auto"/>
                <w:lang w:val="en-US" w:eastAsia="zh-CN"/>
              </w:rPr>
              <w:t>③</w:t>
            </w:r>
            <w:r>
              <w:rPr>
                <w:rStyle w:val="68"/>
                <w:rFonts w:hint="default" w:ascii="Times New Roman" w:hAnsi="Times New Roman" w:eastAsia="宋体" w:cs="Times New Roman"/>
                <w:b w:val="0"/>
                <w:bCs w:val="0"/>
                <w:color w:val="auto"/>
                <w:sz w:val="24"/>
                <w:szCs w:val="24"/>
                <w:highlight w:val="none"/>
                <w:u w:val="single" w:color="auto"/>
                <w:lang w:val="en-US" w:eastAsia="zh-CN"/>
              </w:rPr>
              <w:t>生产废水</w:t>
            </w:r>
            <w:r>
              <w:rPr>
                <w:rStyle w:val="68"/>
                <w:rFonts w:hint="default" w:ascii="Times New Roman" w:hAnsi="Times New Roman" w:eastAsia="宋体" w:cs="Times New Roman"/>
                <w:b w:val="0"/>
                <w:bCs w:val="0"/>
                <w:color w:val="auto"/>
                <w:sz w:val="24"/>
                <w:szCs w:val="24"/>
                <w:highlight w:val="none"/>
                <w:u w:val="single" w:color="auto"/>
              </w:rPr>
              <w:t>排入湖南汨罗循环经济产业园再生材料产业园污水处理厂可行性分析</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single" w:color="auto"/>
                <w:lang w:val="en-US" w:eastAsia="zh-CN"/>
              </w:rPr>
            </w:pPr>
            <w:r>
              <w:rPr>
                <w:rFonts w:hint="default" w:ascii="Times New Roman" w:hAnsi="Times New Roman" w:eastAsia="宋体" w:cs="Times New Roman"/>
                <w:i w:val="0"/>
                <w:iCs w:val="0"/>
                <w:color w:val="auto"/>
                <w:highlight w:val="none"/>
                <w:u w:val="single" w:color="auto"/>
              </w:rPr>
              <w:t>根据《关于湖南汨罗循环经济产业园(再生材料产业园)1万吨/天污水处理及中水回用工程环境影响报告书的批复》（岳环评[2018]76号），湖南汨罗循环经济产业园再生材料产业园污水处理厂位于原汨罗市循环经济产业园湄江路以东、湄江河以西（位于本项目北面约150m处），总占地面积27200m</w:t>
            </w:r>
            <w:r>
              <w:rPr>
                <w:rFonts w:hint="default" w:ascii="Times New Roman" w:hAnsi="Times New Roman" w:eastAsia="宋体" w:cs="Times New Roman"/>
                <w:i w:val="0"/>
                <w:iCs w:val="0"/>
                <w:color w:val="auto"/>
                <w:highlight w:val="none"/>
                <w:u w:val="single" w:color="auto"/>
                <w:vertAlign w:val="superscript"/>
              </w:rPr>
              <w:t>2</w:t>
            </w:r>
            <w:r>
              <w:rPr>
                <w:rFonts w:hint="default" w:ascii="Times New Roman" w:hAnsi="Times New Roman" w:eastAsia="宋体" w:cs="Times New Roman"/>
                <w:i w:val="0"/>
                <w:iCs w:val="0"/>
                <w:color w:val="auto"/>
                <w:highlight w:val="none"/>
                <w:u w:val="single" w:color="auto"/>
              </w:rPr>
              <w:t>，污水处理设计规模近期为5000m</w:t>
            </w:r>
            <w:r>
              <w:rPr>
                <w:rFonts w:hint="default" w:ascii="Times New Roman" w:hAnsi="Times New Roman" w:eastAsia="宋体" w:cs="Times New Roman"/>
                <w:i w:val="0"/>
                <w:iCs w:val="0"/>
                <w:color w:val="auto"/>
                <w:highlight w:val="none"/>
                <w:u w:val="single" w:color="auto"/>
                <w:vertAlign w:val="superscript"/>
              </w:rPr>
              <w:t>3</w:t>
            </w:r>
            <w:r>
              <w:rPr>
                <w:rFonts w:hint="default" w:ascii="Times New Roman" w:hAnsi="Times New Roman" w:eastAsia="宋体" w:cs="Times New Roman"/>
                <w:i w:val="0"/>
                <w:iCs w:val="0"/>
                <w:color w:val="auto"/>
                <w:highlight w:val="none"/>
                <w:u w:val="single" w:color="auto"/>
              </w:rPr>
              <w:t>/d，远期增至10000m</w:t>
            </w:r>
            <w:r>
              <w:rPr>
                <w:rFonts w:hint="default" w:ascii="Times New Roman" w:hAnsi="Times New Roman" w:eastAsia="宋体" w:cs="Times New Roman"/>
                <w:i w:val="0"/>
                <w:iCs w:val="0"/>
                <w:color w:val="auto"/>
                <w:highlight w:val="none"/>
                <w:u w:val="single" w:color="auto"/>
                <w:vertAlign w:val="superscript"/>
              </w:rPr>
              <w:t>3</w:t>
            </w:r>
            <w:r>
              <w:rPr>
                <w:rFonts w:hint="default" w:ascii="Times New Roman" w:hAnsi="Times New Roman" w:eastAsia="宋体" w:cs="Times New Roman"/>
                <w:i w:val="0"/>
                <w:iCs w:val="0"/>
                <w:color w:val="auto"/>
                <w:highlight w:val="none"/>
                <w:u w:val="single" w:color="auto"/>
              </w:rPr>
              <w:t>/d</w:t>
            </w:r>
            <w:r>
              <w:rPr>
                <w:rFonts w:hint="default" w:ascii="Times New Roman" w:hAnsi="Times New Roman" w:eastAsia="宋体" w:cs="Times New Roman"/>
                <w:i w:val="0"/>
                <w:iCs w:val="0"/>
                <w:color w:val="auto"/>
                <w:highlight w:val="none"/>
                <w:u w:val="single" w:color="auto"/>
                <w:lang w:eastAsia="zh-CN"/>
              </w:rPr>
              <w:t>，</w:t>
            </w:r>
            <w:r>
              <w:rPr>
                <w:rFonts w:hint="default" w:ascii="Times New Roman" w:hAnsi="Times New Roman" w:eastAsia="宋体" w:cs="Times New Roman"/>
                <w:i w:val="0"/>
                <w:iCs w:val="0"/>
                <w:color w:val="auto"/>
                <w:highlight w:val="none"/>
                <w:u w:val="single" w:color="auto"/>
                <w:lang w:val="en-US" w:eastAsia="zh-CN"/>
              </w:rPr>
              <w:t>目前</w:t>
            </w:r>
            <w:r>
              <w:rPr>
                <w:rFonts w:hint="default" w:ascii="Times New Roman" w:hAnsi="Times New Roman" w:eastAsia="宋体" w:cs="Times New Roman"/>
                <w:i w:val="0"/>
                <w:iCs w:val="0"/>
                <w:color w:val="auto"/>
                <w:highlight w:val="none"/>
                <w:u w:val="single" w:color="auto"/>
              </w:rPr>
              <w:t>湖南汨罗循环经济产业园再生材料产业园污水处理厂</w:t>
            </w:r>
            <w:r>
              <w:rPr>
                <w:rFonts w:hint="default" w:ascii="Times New Roman" w:hAnsi="Times New Roman" w:eastAsia="宋体" w:cs="Times New Roman"/>
                <w:i w:val="0"/>
                <w:iCs w:val="0"/>
                <w:color w:val="auto"/>
                <w:highlight w:val="none"/>
                <w:u w:val="single" w:color="auto"/>
                <w:lang w:val="en-US" w:eastAsia="zh-CN"/>
              </w:rPr>
              <w:t>的处理能力为5000</w:t>
            </w:r>
            <w:r>
              <w:rPr>
                <w:rFonts w:hint="default" w:ascii="Times New Roman" w:hAnsi="Times New Roman" w:eastAsia="宋体" w:cs="Times New Roman"/>
                <w:i w:val="0"/>
                <w:iCs w:val="0"/>
                <w:color w:val="auto"/>
                <w:highlight w:val="none"/>
                <w:u w:val="single" w:color="auto"/>
              </w:rPr>
              <w:t>m</w:t>
            </w:r>
            <w:r>
              <w:rPr>
                <w:rFonts w:hint="default" w:ascii="Times New Roman" w:hAnsi="Times New Roman" w:eastAsia="宋体" w:cs="Times New Roman"/>
                <w:i w:val="0"/>
                <w:iCs w:val="0"/>
                <w:color w:val="auto"/>
                <w:highlight w:val="none"/>
                <w:u w:val="single" w:color="auto"/>
                <w:vertAlign w:val="superscript"/>
              </w:rPr>
              <w:t>3</w:t>
            </w:r>
            <w:r>
              <w:rPr>
                <w:rFonts w:hint="default" w:ascii="Times New Roman" w:hAnsi="Times New Roman" w:eastAsia="宋体" w:cs="Times New Roman"/>
                <w:i w:val="0"/>
                <w:iCs w:val="0"/>
                <w:color w:val="auto"/>
                <w:highlight w:val="none"/>
                <w:u w:val="single" w:color="auto"/>
              </w:rPr>
              <w:t>/d</w:t>
            </w:r>
            <w:r>
              <w:rPr>
                <w:rFonts w:hint="default" w:ascii="Times New Roman" w:hAnsi="Times New Roman" w:eastAsia="宋体" w:cs="Times New Roman"/>
                <w:i w:val="0"/>
                <w:iCs w:val="0"/>
                <w:color w:val="auto"/>
                <w:highlight w:val="none"/>
                <w:u w:val="single" w:color="auto"/>
                <w:lang w:eastAsia="zh-CN"/>
              </w:rPr>
              <w:t>，</w:t>
            </w:r>
            <w:r>
              <w:rPr>
                <w:rFonts w:hint="default" w:ascii="Times New Roman" w:hAnsi="Times New Roman" w:eastAsia="宋体" w:cs="Times New Roman"/>
                <w:i w:val="0"/>
                <w:iCs w:val="0"/>
                <w:color w:val="auto"/>
                <w:highlight w:val="none"/>
                <w:u w:val="single" w:color="auto"/>
                <w:lang w:val="en-US" w:eastAsia="zh-CN"/>
              </w:rPr>
              <w:t>目前实际处理规模为1000</w:t>
            </w:r>
            <w:r>
              <w:rPr>
                <w:rFonts w:hint="default" w:ascii="Times New Roman" w:hAnsi="Times New Roman" w:eastAsia="宋体" w:cs="Times New Roman"/>
                <w:i w:val="0"/>
                <w:iCs w:val="0"/>
                <w:color w:val="auto"/>
                <w:highlight w:val="none"/>
                <w:u w:val="single" w:color="auto"/>
              </w:rPr>
              <w:t>m</w:t>
            </w:r>
            <w:r>
              <w:rPr>
                <w:rFonts w:hint="default" w:ascii="Times New Roman" w:hAnsi="Times New Roman" w:eastAsia="宋体" w:cs="Times New Roman"/>
                <w:i w:val="0"/>
                <w:iCs w:val="0"/>
                <w:color w:val="auto"/>
                <w:highlight w:val="none"/>
                <w:u w:val="single" w:color="auto"/>
                <w:vertAlign w:val="superscript"/>
              </w:rPr>
              <w:t>3</w:t>
            </w:r>
            <w:r>
              <w:rPr>
                <w:rFonts w:hint="default" w:ascii="Times New Roman" w:hAnsi="Times New Roman" w:eastAsia="宋体" w:cs="Times New Roman"/>
                <w:i w:val="0"/>
                <w:iCs w:val="0"/>
                <w:color w:val="auto"/>
                <w:highlight w:val="none"/>
                <w:u w:val="single" w:color="auto"/>
              </w:rPr>
              <w:t>/d</w:t>
            </w:r>
            <w:r>
              <w:rPr>
                <w:rFonts w:hint="default" w:ascii="Times New Roman" w:hAnsi="Times New Roman" w:eastAsia="宋体" w:cs="Times New Roman"/>
                <w:i w:val="0"/>
                <w:iCs w:val="0"/>
                <w:color w:val="auto"/>
                <w:highlight w:val="none"/>
                <w:u w:val="single" w:color="auto"/>
                <w:lang w:eastAsia="zh-CN"/>
              </w:rPr>
              <w:t>，</w:t>
            </w:r>
            <w:r>
              <w:rPr>
                <w:rFonts w:hint="default" w:ascii="Times New Roman" w:hAnsi="Times New Roman" w:eastAsia="宋体" w:cs="Times New Roman"/>
                <w:i w:val="0"/>
                <w:iCs w:val="0"/>
                <w:color w:val="auto"/>
                <w:highlight w:val="none"/>
                <w:u w:val="single" w:color="auto"/>
                <w:lang w:val="en-US" w:eastAsia="zh-CN"/>
              </w:rPr>
              <w:t>处理余量为4000</w:t>
            </w:r>
            <w:r>
              <w:rPr>
                <w:rFonts w:hint="default" w:ascii="Times New Roman" w:hAnsi="Times New Roman" w:eastAsia="宋体" w:cs="Times New Roman"/>
                <w:i w:val="0"/>
                <w:iCs w:val="0"/>
                <w:color w:val="auto"/>
                <w:highlight w:val="none"/>
                <w:u w:val="single" w:color="auto"/>
              </w:rPr>
              <w:t>m</w:t>
            </w:r>
            <w:r>
              <w:rPr>
                <w:rFonts w:hint="default" w:ascii="Times New Roman" w:hAnsi="Times New Roman" w:eastAsia="宋体" w:cs="Times New Roman"/>
                <w:i w:val="0"/>
                <w:iCs w:val="0"/>
                <w:color w:val="auto"/>
                <w:highlight w:val="none"/>
                <w:u w:val="single" w:color="auto"/>
                <w:vertAlign w:val="superscript"/>
              </w:rPr>
              <w:t>3</w:t>
            </w:r>
            <w:r>
              <w:rPr>
                <w:rFonts w:hint="default" w:ascii="Times New Roman" w:hAnsi="Times New Roman" w:eastAsia="宋体" w:cs="Times New Roman"/>
                <w:i w:val="0"/>
                <w:iCs w:val="0"/>
                <w:color w:val="auto"/>
                <w:highlight w:val="none"/>
                <w:u w:val="single" w:color="auto"/>
              </w:rPr>
              <w:t>/d</w:t>
            </w:r>
            <w:r>
              <w:rPr>
                <w:rFonts w:hint="default" w:ascii="Times New Roman" w:hAnsi="Times New Roman" w:eastAsia="宋体" w:cs="Times New Roman"/>
                <w:i w:val="0"/>
                <w:iCs w:val="0"/>
                <w:color w:val="auto"/>
                <w:highlight w:val="none"/>
                <w:u w:val="single" w:color="auto"/>
                <w:lang w:eastAsia="zh-CN"/>
              </w:rPr>
              <w:t>，</w:t>
            </w:r>
            <w:r>
              <w:rPr>
                <w:rFonts w:hint="default" w:ascii="Times New Roman" w:hAnsi="Times New Roman" w:cs="Times New Roman"/>
                <w:i w:val="0"/>
                <w:iCs w:val="0"/>
                <w:color w:val="auto"/>
                <w:highlight w:val="none"/>
                <w:u w:val="single" w:color="auto"/>
                <w:lang w:val="en-US" w:eastAsia="zh-CN"/>
              </w:rPr>
              <w:t>本项目生产废水约2580t/a，8.6t/d，</w:t>
            </w:r>
            <w:r>
              <w:rPr>
                <w:rFonts w:hint="default" w:ascii="Times New Roman" w:hAnsi="Times New Roman" w:eastAsia="宋体" w:cs="Times New Roman"/>
                <w:i w:val="0"/>
                <w:iCs w:val="0"/>
                <w:color w:val="auto"/>
                <w:highlight w:val="none"/>
                <w:u w:val="single" w:color="auto"/>
                <w:lang w:eastAsia="zh-CN"/>
              </w:rPr>
              <w:t>占汨罗循环经济产业园污水处理及中水回用厂处理</w:t>
            </w:r>
            <w:r>
              <w:rPr>
                <w:rFonts w:hint="default" w:ascii="Times New Roman" w:hAnsi="Times New Roman" w:eastAsia="宋体" w:cs="Times New Roman"/>
                <w:i w:val="0"/>
                <w:iCs w:val="0"/>
                <w:color w:val="auto"/>
                <w:highlight w:val="none"/>
                <w:u w:val="single" w:color="auto"/>
                <w:lang w:val="en-US" w:eastAsia="zh-CN"/>
              </w:rPr>
              <w:t>余量</w:t>
            </w:r>
            <w:r>
              <w:rPr>
                <w:rFonts w:hint="default" w:ascii="Times New Roman" w:hAnsi="Times New Roman" w:eastAsia="宋体" w:cs="Times New Roman"/>
                <w:i w:val="0"/>
                <w:iCs w:val="0"/>
                <w:color w:val="auto"/>
                <w:highlight w:val="none"/>
                <w:u w:val="single" w:color="auto"/>
                <w:lang w:eastAsia="zh-CN"/>
              </w:rPr>
              <w:t>的</w:t>
            </w:r>
            <w:r>
              <w:rPr>
                <w:rFonts w:hint="default" w:ascii="Times New Roman" w:hAnsi="Times New Roman" w:cs="Times New Roman"/>
                <w:i w:val="0"/>
                <w:iCs w:val="0"/>
                <w:color w:val="auto"/>
                <w:highlight w:val="none"/>
                <w:u w:val="single" w:color="auto"/>
                <w:lang w:val="en-US" w:eastAsia="zh-CN"/>
              </w:rPr>
              <w:t>0.215</w:t>
            </w:r>
            <w:r>
              <w:rPr>
                <w:rFonts w:hint="default" w:ascii="Times New Roman" w:hAnsi="Times New Roman" w:eastAsia="宋体" w:cs="Times New Roman"/>
                <w:i w:val="0"/>
                <w:iCs w:val="0"/>
                <w:color w:val="auto"/>
                <w:highlight w:val="none"/>
                <w:u w:val="single" w:color="auto"/>
                <w:lang w:eastAsia="zh-CN"/>
              </w:rPr>
              <w:t>%，</w:t>
            </w:r>
            <w:r>
              <w:rPr>
                <w:rFonts w:hint="default" w:ascii="Times New Roman" w:hAnsi="Times New Roman" w:eastAsia="宋体" w:cs="Times New Roman"/>
                <w:i w:val="0"/>
                <w:iCs w:val="0"/>
                <w:color w:val="auto"/>
                <w:highlight w:val="none"/>
                <w:u w:val="single" w:color="auto"/>
                <w:lang w:val="en-US" w:eastAsia="zh-CN"/>
              </w:rPr>
              <w:t>因此</w:t>
            </w:r>
            <w:r>
              <w:rPr>
                <w:rStyle w:val="68"/>
                <w:rFonts w:hint="default" w:ascii="Times New Roman" w:hAnsi="Times New Roman" w:eastAsia="宋体" w:cs="Times New Roman"/>
                <w:b w:val="0"/>
                <w:bCs w:val="0"/>
                <w:color w:val="auto"/>
                <w:sz w:val="24"/>
                <w:szCs w:val="24"/>
                <w:highlight w:val="none"/>
                <w:u w:val="single" w:color="auto"/>
              </w:rPr>
              <w:t>湖南汨罗循环经济产业园再生材料产业园污水处理厂</w:t>
            </w:r>
            <w:r>
              <w:rPr>
                <w:rFonts w:hint="default" w:ascii="Times New Roman" w:hAnsi="Times New Roman" w:eastAsia="宋体" w:cs="Times New Roman"/>
                <w:i w:val="0"/>
                <w:iCs w:val="0"/>
                <w:color w:val="auto"/>
                <w:highlight w:val="none"/>
                <w:u w:val="single" w:color="auto"/>
                <w:lang w:val="en-US" w:eastAsia="zh-CN"/>
              </w:rPr>
              <w:t>有足够的余量处理本项目生产废水</w:t>
            </w:r>
            <w:r>
              <w:rPr>
                <w:rFonts w:hint="default" w:ascii="Times New Roman" w:hAnsi="Times New Roman" w:eastAsia="宋体" w:cs="Times New Roman"/>
                <w:i w:val="0"/>
                <w:iCs w:val="0"/>
                <w:color w:val="auto"/>
                <w:highlight w:val="none"/>
                <w:u w:val="single" w:color="auto"/>
              </w:rPr>
              <w:t>。</w:t>
            </w:r>
            <w:r>
              <w:rPr>
                <w:rStyle w:val="68"/>
                <w:rFonts w:hint="default" w:ascii="Times New Roman" w:hAnsi="Times New Roman" w:eastAsia="宋体" w:cs="Times New Roman"/>
                <w:b w:val="0"/>
                <w:bCs w:val="0"/>
                <w:color w:val="auto"/>
                <w:sz w:val="24"/>
                <w:szCs w:val="24"/>
                <w:highlight w:val="none"/>
                <w:u w:val="single" w:color="auto"/>
              </w:rPr>
              <w:t>湖南汨罗循环经济产业园再生材料产业园污水处理厂</w:t>
            </w:r>
            <w:r>
              <w:rPr>
                <w:rFonts w:hint="default" w:ascii="Times New Roman" w:hAnsi="Times New Roman" w:eastAsia="宋体" w:cs="Times New Roman"/>
                <w:i w:val="0"/>
                <w:iCs w:val="0"/>
                <w:color w:val="auto"/>
                <w:highlight w:val="none"/>
                <w:u w:val="single" w:color="auto"/>
              </w:rPr>
              <w:t>处理工艺采用CASS生物池+滤布滤池工艺，废水经处理达到《城镇污水处理厂污染物排放标准》（GB18918-2002）及其修改单中一级A标准要求后全部回用于再生材料产业园企业生产，不外排。项目西侧湄江路已建成污水处理厂污水管网，本项目废水接入再生材料产业园污水处理厂可行。</w:t>
            </w:r>
            <w:r>
              <w:rPr>
                <w:rFonts w:hint="default" w:ascii="Times New Roman" w:hAnsi="Times New Roman" w:eastAsia="宋体" w:cs="Times New Roman"/>
                <w:color w:val="auto"/>
                <w:highlight w:val="none"/>
                <w:u w:val="single" w:color="auto"/>
              </w:rPr>
              <w:t>故本项目生产废水污染物排放浓度和水量均满足湖南汨罗循环经济产业园再生材料产业园污水处理厂进水要求</w:t>
            </w:r>
            <w:r>
              <w:rPr>
                <w:rFonts w:hint="default" w:ascii="Times New Roman" w:hAnsi="Times New Roman" w:cs="Times New Roman"/>
                <w:color w:val="auto"/>
                <w:highlight w:val="none"/>
                <w:u w:val="single" w:color="auto"/>
                <w:lang w:eastAsia="zh-CN"/>
              </w:rPr>
              <w:t>，</w:t>
            </w:r>
            <w:r>
              <w:rPr>
                <w:rFonts w:hint="default" w:ascii="Times New Roman" w:hAnsi="Times New Roman" w:eastAsia="宋体" w:cs="Times New Roman"/>
                <w:color w:val="auto"/>
                <w:highlight w:val="none"/>
                <w:u w:val="single" w:color="auto"/>
              </w:rPr>
              <w:t>在其处理负荷范围内。同时，再生材料产业园污水处理厂处理后中水可回用于再生材料产业园企业，本项目属于再生材料产业园管理范围，中水回用管网已建成，项目管网已接通，利用其中水作为生产用水可行。</w:t>
            </w:r>
          </w:p>
          <w:p>
            <w:pPr>
              <w:adjustRightInd w:val="0"/>
              <w:snapToGrid w:val="0"/>
              <w:spacing w:line="360" w:lineRule="auto"/>
              <w:ind w:firstLine="421" w:firstLineChars="200"/>
              <w:rPr>
                <w:rStyle w:val="68"/>
                <w:rFonts w:hint="default" w:ascii="Times New Roman" w:hAnsi="Times New Roman" w:eastAsia="宋体" w:cs="Times New Roman"/>
                <w:b w:val="0"/>
                <w:bCs w:val="0"/>
                <w:color w:val="auto"/>
                <w:sz w:val="24"/>
                <w:szCs w:val="24"/>
                <w:highlight w:val="none"/>
                <w:u w:val="none" w:color="auto"/>
                <w:lang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 xml:space="preserve">6 </w:t>
            </w:r>
            <w:r>
              <w:rPr>
                <w:rStyle w:val="68"/>
                <w:rFonts w:hint="default" w:ascii="Times New Roman" w:hAnsi="Times New Roman" w:eastAsia="宋体" w:cs="Times New Roman"/>
                <w:b/>
                <w:bCs/>
                <w:color w:val="auto"/>
                <w:sz w:val="21"/>
                <w:szCs w:val="21"/>
                <w:highlight w:val="none"/>
                <w:u w:val="none" w:color="auto"/>
                <w:lang w:val="en-US" w:eastAsia="zh-CN"/>
              </w:rPr>
              <w:t xml:space="preserve"> 本项目生产废水排放浓度及再生材料产业园污水处理厂接管标准</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960"/>
              <w:gridCol w:w="1710"/>
              <w:gridCol w:w="3495"/>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17" w:type="dxa"/>
                  <w:tcBorders>
                    <w:top w:val="single" w:color="auto" w:sz="12" w:space="0"/>
                    <w:bottom w:val="single" w:color="auto" w:sz="4" w:space="0"/>
                  </w:tcBorders>
                  <w:shd w:val="clear" w:color="auto" w:fill="auto"/>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lang w:val="en-US" w:eastAsia="zh-CN"/>
                    </w:rPr>
                    <w:t>序号</w:t>
                  </w:r>
                </w:p>
              </w:tc>
              <w:tc>
                <w:tcPr>
                  <w:tcW w:w="960" w:type="dxa"/>
                  <w:tcBorders>
                    <w:top w:val="single" w:color="auto" w:sz="12" w:space="0"/>
                    <w:bottom w:val="single" w:color="auto" w:sz="4" w:space="0"/>
                  </w:tcBorders>
                  <w:shd w:val="clear" w:color="auto" w:fill="auto"/>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污染物</w:t>
                  </w:r>
                </w:p>
              </w:tc>
              <w:tc>
                <w:tcPr>
                  <w:tcW w:w="1710" w:type="dxa"/>
                  <w:tcBorders>
                    <w:top w:val="single" w:color="auto" w:sz="12" w:space="0"/>
                    <w:bottom w:val="single" w:color="auto" w:sz="4" w:space="0"/>
                  </w:tcBorders>
                  <w:shd w:val="clear" w:color="auto" w:fill="auto"/>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lang w:val="en-US" w:eastAsia="zh-CN"/>
                    </w:rPr>
                    <w:t>本项目废水</w:t>
                  </w:r>
                  <w:r>
                    <w:rPr>
                      <w:rFonts w:hint="default" w:ascii="Times New Roman" w:hAnsi="Times New Roman" w:eastAsia="宋体" w:cs="Times New Roman"/>
                      <w:bCs/>
                      <w:color w:val="auto"/>
                      <w:sz w:val="21"/>
                      <w:szCs w:val="21"/>
                      <w:highlight w:val="none"/>
                      <w:u w:val="none" w:color="auto"/>
                    </w:rPr>
                    <w:t>排放浓度（mg/L）</w:t>
                  </w:r>
                </w:p>
              </w:tc>
              <w:tc>
                <w:tcPr>
                  <w:tcW w:w="3495" w:type="dxa"/>
                  <w:tcBorders>
                    <w:top w:val="single" w:color="auto" w:sz="12" w:space="0"/>
                    <w:bottom w:val="single" w:color="auto" w:sz="4" w:space="0"/>
                  </w:tcBorders>
                  <w:shd w:val="clear" w:color="auto" w:fill="auto"/>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再生材料产业园污水处理厂接管标准</w:t>
                  </w:r>
                  <w:r>
                    <w:rPr>
                      <w:rFonts w:hint="default" w:ascii="Times New Roman" w:hAnsi="Times New Roman" w:eastAsia="宋体" w:cs="Times New Roman"/>
                      <w:bCs/>
                      <w:color w:val="auto"/>
                      <w:sz w:val="21"/>
                      <w:szCs w:val="21"/>
                      <w:highlight w:val="none"/>
                      <w:u w:val="none" w:color="auto"/>
                    </w:rPr>
                    <w:t>（mg/L）</w:t>
                  </w:r>
                </w:p>
              </w:tc>
              <w:tc>
                <w:tcPr>
                  <w:tcW w:w="1224" w:type="dxa"/>
                  <w:tcBorders>
                    <w:top w:val="single" w:color="auto" w:sz="12" w:space="0"/>
                    <w:bottom w:val="single" w:color="auto" w:sz="4" w:space="0"/>
                    <w:right w:val="single" w:color="auto" w:sz="12" w:space="0"/>
                  </w:tcBorders>
                  <w:shd w:val="clear" w:color="auto" w:fill="auto"/>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是否满足接管要求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COD</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163.1</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500</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BOD</w:t>
                  </w:r>
                  <w:r>
                    <w:rPr>
                      <w:rStyle w:val="68"/>
                      <w:rFonts w:hint="default" w:ascii="Times New Roman" w:hAnsi="Times New Roman" w:eastAsia="宋体" w:cs="Times New Roman"/>
                      <w:b w:val="0"/>
                      <w:bCs w:val="0"/>
                      <w:color w:val="auto"/>
                      <w:sz w:val="21"/>
                      <w:szCs w:val="21"/>
                      <w:highlight w:val="none"/>
                      <w:u w:val="none" w:color="auto"/>
                      <w:vertAlign w:val="subscript"/>
                      <w:lang w:val="en-US" w:eastAsia="zh-CN"/>
                    </w:rPr>
                    <w:t>5</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58.3</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200</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3</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SS</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23.7</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400</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18.25</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25</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5</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 xml:space="preserve">总磷 </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0.6</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4</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6</w:t>
                  </w:r>
                </w:p>
              </w:tc>
              <w:tc>
                <w:tcPr>
                  <w:tcW w:w="96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总氮</w:t>
                  </w:r>
                </w:p>
              </w:tc>
              <w:tc>
                <w:tcPr>
                  <w:tcW w:w="1710" w:type="dxa"/>
                  <w:tcBorders>
                    <w:top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18.8</w:t>
                  </w:r>
                </w:p>
              </w:tc>
              <w:tc>
                <w:tcPr>
                  <w:tcW w:w="349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35</w:t>
                  </w:r>
                </w:p>
              </w:tc>
              <w:tc>
                <w:tcPr>
                  <w:tcW w:w="1224" w:type="dxa"/>
                  <w:tcBorders>
                    <w:top w:val="single" w:color="auto" w:sz="4" w:space="0"/>
                    <w:bottom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7</w:t>
                  </w:r>
                </w:p>
              </w:tc>
              <w:tc>
                <w:tcPr>
                  <w:tcW w:w="0" w:type="auto"/>
                  <w:tcBorders>
                    <w:top w:val="single" w:color="auto" w:sz="4" w:space="0"/>
                    <w:bottom w:val="single" w:color="auto"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石油类</w:t>
                  </w:r>
                </w:p>
              </w:tc>
              <w:tc>
                <w:tcPr>
                  <w:tcW w:w="0" w:type="auto"/>
                  <w:tcBorders>
                    <w:top w:val="single" w:color="auto" w:sz="4" w:space="0"/>
                    <w:bottom w:val="single" w:color="auto"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0.2</w:t>
                  </w:r>
                </w:p>
              </w:tc>
              <w:tc>
                <w:tcPr>
                  <w:tcW w:w="0" w:type="auto"/>
                  <w:tcBorders>
                    <w:top w:val="single" w:color="auto" w:sz="4" w:space="0"/>
                    <w:bottom w:val="single" w:color="auto"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10</w:t>
                  </w:r>
                </w:p>
              </w:tc>
              <w:tc>
                <w:tcPr>
                  <w:tcW w:w="0" w:type="auto"/>
                  <w:tcBorders>
                    <w:top w:val="single" w:color="auto" w:sz="4" w:space="0"/>
                    <w:bottom w:val="single" w:color="auto" w:sz="12" w:space="0"/>
                    <w:right w:val="single" w:color="auto" w:sz="12"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bCs/>
                      <w:color w:val="auto"/>
                      <w:sz w:val="21"/>
                      <w:szCs w:val="21"/>
                      <w:highlight w:val="none"/>
                      <w:u w:val="none" w:color="auto"/>
                      <w:lang w:val="en-US" w:eastAsia="zh-CN"/>
                    </w:rPr>
                    <w:t>满足</w:t>
                  </w:r>
                </w:p>
              </w:tc>
            </w:tr>
          </w:tbl>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eastAsia="zh-CN"/>
              </w:rPr>
              <w:t>（</w:t>
            </w:r>
            <w:r>
              <w:rPr>
                <w:rStyle w:val="68"/>
                <w:rFonts w:hint="default" w:ascii="Times New Roman" w:hAnsi="Times New Roman" w:eastAsia="宋体" w:cs="Times New Roman"/>
                <w:b w:val="0"/>
                <w:bCs w:val="0"/>
                <w:color w:val="auto"/>
                <w:sz w:val="24"/>
                <w:szCs w:val="24"/>
                <w:highlight w:val="none"/>
                <w:u w:val="none" w:color="auto"/>
                <w:lang w:val="en-US" w:eastAsia="zh-CN"/>
              </w:rPr>
              <w:t>2</w:t>
            </w:r>
            <w:r>
              <w:rPr>
                <w:rStyle w:val="68"/>
                <w:rFonts w:hint="default" w:ascii="Times New Roman" w:hAnsi="Times New Roman" w:eastAsia="宋体" w:cs="Times New Roman"/>
                <w:b w:val="0"/>
                <w:bCs w:val="0"/>
                <w:color w:val="auto"/>
                <w:sz w:val="24"/>
                <w:szCs w:val="24"/>
                <w:highlight w:val="none"/>
                <w:u w:val="none" w:color="auto"/>
                <w:lang w:eastAsia="zh-CN"/>
              </w:rPr>
              <w:t>）</w:t>
            </w:r>
            <w:r>
              <w:rPr>
                <w:rStyle w:val="68"/>
                <w:rFonts w:hint="default" w:ascii="Times New Roman" w:hAnsi="Times New Roman" w:eastAsia="宋体" w:cs="Times New Roman"/>
                <w:b w:val="0"/>
                <w:bCs w:val="0"/>
                <w:color w:val="auto"/>
                <w:sz w:val="24"/>
                <w:szCs w:val="24"/>
                <w:highlight w:val="none"/>
                <w:u w:val="none" w:color="auto"/>
              </w:rPr>
              <w:t>生活污水排入污水处理厂可行性分析</w:t>
            </w:r>
          </w:p>
          <w:p>
            <w:pPr>
              <w:keepNext w:val="0"/>
              <w:keepLines w:val="0"/>
              <w:suppressLineNumbers w:val="0"/>
              <w:spacing w:before="0" w:beforeLines="0" w:beforeAutospacing="0" w:after="0" w:afterLines="0" w:afterAutospacing="0" w:line="360" w:lineRule="auto"/>
              <w:ind w:left="0" w:right="0" w:firstLine="480" w:firstLineChars="200"/>
              <w:jc w:val="left"/>
              <w:rPr>
                <w:rStyle w:val="68"/>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cs="Times New Roman"/>
                <w:color w:val="auto"/>
                <w:kern w:val="0"/>
                <w:sz w:val="24"/>
                <w:szCs w:val="24"/>
                <w:u w:val="none"/>
                <w:lang w:val="en-US" w:eastAsia="zh-CN"/>
              </w:rPr>
              <w:t>本项目生活污水排放量为608</w:t>
            </w:r>
            <w:r>
              <w:rPr>
                <w:rStyle w:val="68"/>
                <w:rFonts w:hint="default" w:ascii="Times New Roman" w:hAnsi="Times New Roman" w:eastAsia="宋体" w:cs="Times New Roman"/>
                <w:b w:val="0"/>
                <w:bCs w:val="0"/>
                <w:color w:val="auto"/>
                <w:sz w:val="24"/>
                <w:szCs w:val="24"/>
                <w:highlight w:val="none"/>
                <w:u w:val="none" w:color="auto"/>
                <w:lang w:val="en-US" w:eastAsia="zh-CN"/>
              </w:rPr>
              <w:t>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/a（2.03m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/d），本项目员工生活污水依托中塑新材料公司已有化粪池处理后进入汨罗市城市污水处理厂处理。本项目依托已建的化粪池尺寸为3m×5m×1.5m，可容纳 22.5m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生活污水，设计停留时间为24h，因此处理能力为22.5m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/d＞2.03m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/d，可满足本项目生活污水的处理需求。</w:t>
            </w:r>
          </w:p>
          <w:p>
            <w:pPr>
              <w:keepNext w:val="0"/>
              <w:keepLines w:val="0"/>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cs="Times New Roman"/>
                <w:color w:val="auto"/>
                <w:kern w:val="0"/>
                <w:sz w:val="24"/>
                <w:szCs w:val="24"/>
                <w:u w:val="none"/>
                <w:lang w:val="en-US" w:eastAsia="zh-CN"/>
              </w:rPr>
            </w:pPr>
            <w:r>
              <w:rPr>
                <w:rFonts w:hint="default" w:ascii="Times New Roman" w:hAnsi="Times New Roman" w:cs="Times New Roman"/>
                <w:color w:val="auto"/>
                <w:kern w:val="0"/>
                <w:sz w:val="24"/>
                <w:szCs w:val="24"/>
                <w:u w:val="none"/>
                <w:lang w:val="en-US" w:eastAsia="zh-CN"/>
              </w:rPr>
              <w:t>厂区内职工产生的生活污水经化粪池处理达到湖南汨罗高新技术产业开发区（循环园区）污水处理厂接管标准后，经园区污水管网进入湖南汨罗高新技术产业开发区（循环园区）污水处理厂处理后，最终排入汨罗江。</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湖南汨罗高新技术产业开发区（循环园区）污水处理厂位于汨罗市归义镇重金属污水处理厂西侧、汨罗江大道南侧。服务范围为湖南汨罗高新技术产业开发区新市片以及循环工业园工业地块范围，北至汨罗江大道，南至水库路东至湄江河路，西至东风路、武广高铁，面积约32k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2</w:t>
            </w:r>
            <w:r>
              <w:rPr>
                <w:rStyle w:val="68"/>
                <w:rFonts w:hint="default" w:ascii="Times New Roman" w:hAnsi="Times New Roman" w:eastAsia="宋体" w:cs="Times New Roman"/>
                <w:b w:val="0"/>
                <w:bCs w:val="0"/>
                <w:color w:val="auto"/>
                <w:sz w:val="24"/>
                <w:szCs w:val="24"/>
                <w:highlight w:val="none"/>
                <w:u w:val="none" w:color="auto"/>
                <w:lang w:val="en-US" w:eastAsia="zh-CN"/>
              </w:rPr>
              <w:t>，包含园区规划范围内企业一般工业废水、生活污水、重金属污水处理厂尾水、汨罗市PCB产业园污水处理厂尾水。设计处理规模为3万m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/d，近期设计规模为2万m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/d，远期设计规模为1万m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/d。采用“预处理+水解酸化-改良型 AAO 生物池+高效沉淀+反硝化深床滤池+紫外消毒”工艺。出水水质达到《城镇污水处理厂污染物排放标准》（GB18918-2002）一级A标准（其中化学需氧量、氨氮、总氮、总磷执行《湖南省城镇污水处理厂主要水污染物排放标准》（DB43/T1546-2018）一级标准，枯水期等应急时段总磷执行≤0.1mg/L标准）。项目运营期生活污水排放量为608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/a（2.03m</w:t>
            </w:r>
            <w:r>
              <w:rPr>
                <w:rStyle w:val="68"/>
                <w:rFonts w:hint="default" w:ascii="Times New Roman" w:hAnsi="Times New Roman" w:eastAsia="宋体" w:cs="Times New Roman"/>
                <w:b w:val="0"/>
                <w:bCs w:val="0"/>
                <w:color w:val="auto"/>
                <w:sz w:val="24"/>
                <w:szCs w:val="24"/>
                <w:highlight w:val="none"/>
                <w:u w:val="none" w:color="auto"/>
                <w:vertAlign w:val="superscript"/>
                <w:lang w:val="en-US" w:eastAsia="zh-CN"/>
              </w:rPr>
              <w:t>3</w:t>
            </w:r>
            <w:r>
              <w:rPr>
                <w:rStyle w:val="68"/>
                <w:rFonts w:hint="default" w:ascii="Times New Roman" w:hAnsi="Times New Roman" w:eastAsia="宋体" w:cs="Times New Roman"/>
                <w:b w:val="0"/>
                <w:bCs w:val="0"/>
                <w:color w:val="auto"/>
                <w:sz w:val="24"/>
                <w:szCs w:val="24"/>
                <w:highlight w:val="none"/>
                <w:u w:val="none" w:color="auto"/>
                <w:lang w:val="en-US" w:eastAsia="zh-CN"/>
              </w:rPr>
              <w:t>/d），占湖南汨罗高新技术产业开发区（循环园区）污水处理厂近期处理规模的0.01%，因此湖南汨罗高新技术产业开发区（循环园区）污水处理厂有足够的剩余能力接纳本项目的废水。</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根据《湖南汨罗高新技术产业开发区（循环园区）污水处理厂项目重大变动环境影响报告书》，湖南汨罗高新技术产业开发区（循环园区）污水处理厂进水水质及本项目生活污水排放浓度如下表：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Style w:val="68"/>
                <w:rFonts w:hint="default" w:ascii="Times New Roman" w:hAnsi="Times New Roman" w:eastAsia="宋体" w:cs="Times New Roman"/>
                <w:b w:val="0"/>
                <w:bCs w:val="0"/>
                <w:color w:val="auto"/>
                <w:sz w:val="24"/>
                <w:szCs w:val="24"/>
                <w:highlight w:val="none"/>
                <w:u w:val="none" w:color="auto"/>
                <w:vertAlign w:val="baseline"/>
                <w:lang w:val="en-US" w:eastAsia="zh-CN"/>
              </w:rPr>
            </w:pPr>
            <w:r>
              <w:rPr>
                <w:rStyle w:val="68"/>
                <w:rFonts w:hint="default" w:ascii="Times New Roman" w:hAnsi="Times New Roman" w:eastAsia="宋体" w:cs="Times New Roman"/>
                <w:b/>
                <w:bCs/>
                <w:color w:val="auto"/>
                <w:sz w:val="21"/>
                <w:szCs w:val="21"/>
                <w:highlight w:val="none"/>
                <w:u w:val="none" w:color="auto"/>
                <w:lang w:val="en-US" w:eastAsia="zh-CN"/>
              </w:rPr>
              <w:t>表4-</w:t>
            </w:r>
            <w:r>
              <w:rPr>
                <w:rStyle w:val="68"/>
                <w:rFonts w:hint="default" w:ascii="Times New Roman" w:hAnsi="Times New Roman" w:cs="Times New Roman"/>
                <w:b/>
                <w:bCs/>
                <w:color w:val="auto"/>
                <w:sz w:val="21"/>
                <w:szCs w:val="21"/>
                <w:highlight w:val="none"/>
                <w:u w:val="none" w:color="auto"/>
                <w:lang w:val="en-US" w:eastAsia="zh-CN"/>
              </w:rPr>
              <w:t>7</w:t>
            </w:r>
            <w:r>
              <w:rPr>
                <w:rStyle w:val="68"/>
                <w:rFonts w:hint="default" w:ascii="Times New Roman" w:hAnsi="Times New Roman" w:eastAsia="宋体" w:cs="Times New Roman"/>
                <w:b/>
                <w:bCs/>
                <w:color w:val="auto"/>
                <w:sz w:val="21"/>
                <w:szCs w:val="21"/>
                <w:highlight w:val="none"/>
                <w:u w:val="none" w:color="auto"/>
                <w:lang w:val="en-US" w:eastAsia="zh-CN"/>
              </w:rPr>
              <w:t xml:space="preserve"> 项目生活污水排放浓度（单位：mg/L）</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237"/>
              <w:gridCol w:w="1237"/>
              <w:gridCol w:w="1237"/>
              <w:gridCol w:w="123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1"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污染因子</w:t>
                  </w:r>
                </w:p>
              </w:tc>
              <w:tc>
                <w:tcPr>
                  <w:tcW w:w="123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COD</w:t>
                  </w:r>
                </w:p>
              </w:tc>
              <w:tc>
                <w:tcPr>
                  <w:tcW w:w="123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BOD</w:t>
                  </w:r>
                  <w:r>
                    <w:rPr>
                      <w:rStyle w:val="68"/>
                      <w:rFonts w:hint="default" w:ascii="Times New Roman" w:hAnsi="Times New Roman" w:cs="Times New Roman" w:eastAsiaTheme="majorEastAsia"/>
                      <w:b w:val="0"/>
                      <w:bCs w:val="0"/>
                      <w:color w:val="auto"/>
                      <w:sz w:val="21"/>
                      <w:szCs w:val="21"/>
                      <w:highlight w:val="none"/>
                      <w:u w:val="none" w:color="auto"/>
                      <w:vertAlign w:val="subscript"/>
                      <w:lang w:val="en-US" w:eastAsia="zh-CN"/>
                    </w:rPr>
                    <w:t>5</w:t>
                  </w:r>
                </w:p>
              </w:tc>
              <w:tc>
                <w:tcPr>
                  <w:tcW w:w="123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SS</w:t>
                  </w:r>
                </w:p>
              </w:tc>
              <w:tc>
                <w:tcPr>
                  <w:tcW w:w="123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氨氮</w:t>
                  </w:r>
                </w:p>
              </w:tc>
              <w:tc>
                <w:tcPr>
                  <w:tcW w:w="1237" w:type="dxa"/>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本项目排放浓度</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240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120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90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28.5</w:t>
                  </w:r>
                </w:p>
              </w:tc>
              <w:tc>
                <w:tcPr>
                  <w:tcW w:w="1237"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污水处理厂进水标准</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420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200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250</w:t>
                  </w:r>
                </w:p>
              </w:tc>
              <w:tc>
                <w:tcPr>
                  <w:tcW w:w="12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30</w:t>
                  </w:r>
                </w:p>
              </w:tc>
              <w:tc>
                <w:tcPr>
                  <w:tcW w:w="1237" w:type="dxa"/>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是否达标</w:t>
                  </w:r>
                </w:p>
              </w:tc>
              <w:tc>
                <w:tcPr>
                  <w:tcW w:w="123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达标</w:t>
                  </w:r>
                </w:p>
              </w:tc>
              <w:tc>
                <w:tcPr>
                  <w:tcW w:w="123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达标</w:t>
                  </w:r>
                </w:p>
              </w:tc>
              <w:tc>
                <w:tcPr>
                  <w:tcW w:w="123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达标</w:t>
                  </w:r>
                </w:p>
              </w:tc>
              <w:tc>
                <w:tcPr>
                  <w:tcW w:w="1237"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达标</w:t>
                  </w:r>
                </w:p>
              </w:tc>
              <w:tc>
                <w:tcPr>
                  <w:tcW w:w="1237" w:type="dxa"/>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pPr>
                  <w:r>
                    <w:rPr>
                      <w:rStyle w:val="68"/>
                      <w:rFonts w:hint="default" w:ascii="Times New Roman" w:hAnsi="Times New Roman" w:cs="Times New Roman" w:eastAsiaTheme="majorEastAsia"/>
                      <w:b w:val="0"/>
                      <w:bCs w:val="0"/>
                      <w:color w:val="auto"/>
                      <w:sz w:val="21"/>
                      <w:szCs w:val="21"/>
                      <w:highlight w:val="none"/>
                      <w:u w:val="none" w:color="auto"/>
                      <w:vertAlign w:val="baseline"/>
                      <w:lang w:val="en-US" w:eastAsia="zh-CN"/>
                    </w:rPr>
                    <w:t>达标</w:t>
                  </w:r>
                </w:p>
              </w:tc>
            </w:tr>
          </w:tbl>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本项目生活污水排放浓度能够达到湖南汨罗高新技术产业开发区（循环园区）污水处理厂进水水质要求。</w:t>
            </w:r>
          </w:p>
          <w:p>
            <w:pPr>
              <w:adjustRightInd w:val="0"/>
              <w:snapToGrid w:val="0"/>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根据对项目现场情况调查，项目位于湖南汨罗高新技术产业开发区（循环园区）污水处理厂服务范围内，项目所在区域已完善污水管网的配套建设，湖南汨罗高新技术产业开发区（循环园区）污水处理厂目前已建成并投入试运营，因此从接管时间和湖南汨罗高新技术产业开发区（循环园区）污水处理厂运行时间上分析，本项目生活污水接入湖南汨罗高新技术产业开发区（循环园区）污水处理厂也是可行的。</w:t>
            </w:r>
          </w:p>
          <w:p>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Style w:val="68"/>
                <w:rFonts w:hint="default" w:ascii="Times New Roman" w:hAnsi="Times New Roman" w:eastAsia="宋体" w:cs="Times New Roman"/>
                <w:b w:val="0"/>
                <w:bCs w:val="0"/>
                <w:color w:val="auto"/>
                <w:sz w:val="24"/>
                <w:szCs w:val="24"/>
                <w:highlight w:val="none"/>
                <w:u w:val="none" w:color="auto"/>
                <w:lang w:val="en-US" w:eastAsia="zh-CN"/>
              </w:rPr>
              <w:t>综上所述，本项目生活污水</w:t>
            </w:r>
            <w:r>
              <w:rPr>
                <w:rFonts w:hint="default" w:ascii="Times New Roman" w:hAnsi="Times New Roman" w:cs="Times New Roman"/>
                <w:color w:val="auto"/>
                <w:sz w:val="24"/>
                <w:szCs w:val="24"/>
                <w:lang w:val="en-US" w:eastAsia="zh-CN"/>
              </w:rPr>
              <w:t>排入湖南汨罗高新技术产业开发区（循环园区）污水处理厂可行。</w:t>
            </w:r>
          </w:p>
          <w:p>
            <w:pPr>
              <w:spacing w:line="500" w:lineRule="exact"/>
              <w:ind w:firstLine="481" w:firstLineChars="200"/>
              <w:jc w:val="left"/>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rPr>
              <w:t>三、噪声污染源分析</w:t>
            </w:r>
          </w:p>
          <w:p>
            <w:pPr>
              <w:spacing w:line="500" w:lineRule="exact"/>
              <w:ind w:firstLine="481" w:firstLineChars="200"/>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1</w:t>
            </w:r>
            <w:r>
              <w:rPr>
                <w:rStyle w:val="68"/>
                <w:rFonts w:hint="default" w:ascii="Times New Roman" w:hAnsi="Times New Roman" w:eastAsia="宋体" w:cs="Times New Roman"/>
                <w:color w:val="auto"/>
                <w:sz w:val="24"/>
                <w:szCs w:val="24"/>
                <w:highlight w:val="none"/>
                <w:u w:val="none" w:color="auto"/>
              </w:rPr>
              <w:t>、噪声污染源强核算</w:t>
            </w:r>
          </w:p>
          <w:p>
            <w:pPr>
              <w:spacing w:line="500" w:lineRule="exact"/>
              <w:ind w:firstLine="480" w:firstLineChars="200"/>
              <w:rPr>
                <w:rStyle w:val="68"/>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highlight w:val="none"/>
                <w:u w:val="none" w:color="auto"/>
                <w:lang w:val="en-US" w:eastAsia="zh-CN"/>
              </w:rPr>
              <w:t>本</w:t>
            </w:r>
            <w:r>
              <w:rPr>
                <w:rFonts w:hint="default" w:ascii="Times New Roman" w:hAnsi="Times New Roman" w:eastAsia="宋体" w:cs="Times New Roman"/>
                <w:color w:val="auto"/>
                <w:highlight w:val="none"/>
                <w:u w:val="none" w:color="auto"/>
              </w:rPr>
              <w:t>项目噪声产生源主要为</w:t>
            </w:r>
            <w:r>
              <w:rPr>
                <w:rFonts w:hint="default" w:ascii="Times New Roman" w:hAnsi="Times New Roman" w:cs="Times New Roman"/>
                <w:color w:val="auto"/>
                <w:highlight w:val="none"/>
                <w:u w:val="none" w:color="auto"/>
                <w:lang w:val="en-US" w:eastAsia="zh-CN"/>
              </w:rPr>
              <w:t>破碎、清洗、分选</w:t>
            </w:r>
            <w:r>
              <w:rPr>
                <w:rFonts w:hint="default" w:ascii="Times New Roman" w:hAnsi="Times New Roman" w:eastAsia="宋体" w:cs="Times New Roman"/>
                <w:color w:val="auto"/>
                <w:highlight w:val="none"/>
                <w:u w:val="none" w:color="auto"/>
              </w:rPr>
              <w:t>产生的噪声，噪声为</w:t>
            </w:r>
            <w:r>
              <w:rPr>
                <w:rFonts w:hint="default" w:ascii="Times New Roman" w:hAnsi="Times New Roman" w:cs="Times New Roman"/>
                <w:color w:val="auto"/>
                <w:highlight w:val="none"/>
                <w:u w:val="none" w:color="auto"/>
                <w:lang w:val="en-US" w:eastAsia="zh-CN"/>
              </w:rPr>
              <w:t>85</w:t>
            </w: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90</w:t>
            </w:r>
            <w:r>
              <w:rPr>
                <w:rFonts w:hint="default" w:ascii="Times New Roman" w:hAnsi="Times New Roman" w:eastAsia="宋体" w:cs="Times New Roman"/>
                <w:color w:val="auto"/>
                <w:highlight w:val="none"/>
                <w:u w:val="none" w:color="auto"/>
              </w:rPr>
              <w:t>dB（A）。项目噪声采取相关减震措施、建筑物隔声、距离衰减，加强对设备的维护及保养，以避免不正常的设备噪声产生。</w:t>
            </w:r>
            <w:r>
              <w:rPr>
                <w:rStyle w:val="68"/>
                <w:rFonts w:hint="default" w:ascii="Times New Roman" w:hAnsi="Times New Roman" w:eastAsia="宋体" w:cs="Times New Roman"/>
                <w:b w:val="0"/>
                <w:bCs w:val="0"/>
                <w:color w:val="auto"/>
                <w:sz w:val="24"/>
                <w:szCs w:val="24"/>
                <w:highlight w:val="none"/>
                <w:u w:val="none" w:color="auto"/>
              </w:rPr>
              <w:t>具体噪声源强见下表。</w:t>
            </w:r>
          </w:p>
          <w:p>
            <w:pPr>
              <w:spacing w:line="500" w:lineRule="exact"/>
              <w:ind w:firstLine="421" w:firstLineChars="200"/>
              <w:jc w:val="center"/>
              <w:rPr>
                <w:rStyle w:val="68"/>
                <w:rFonts w:hint="default" w:ascii="Times New Roman" w:hAnsi="Times New Roman" w:eastAsia="宋体" w:cs="Times New Roman"/>
                <w:color w:val="auto"/>
                <w:sz w:val="21"/>
                <w:szCs w:val="21"/>
                <w:highlight w:val="none"/>
                <w:u w:val="single" w:color="auto"/>
              </w:rPr>
            </w:pPr>
            <w:r>
              <w:rPr>
                <w:rStyle w:val="68"/>
                <w:rFonts w:hint="default" w:ascii="Times New Roman" w:hAnsi="Times New Roman" w:eastAsia="宋体" w:cs="Times New Roman"/>
                <w:color w:val="auto"/>
                <w:sz w:val="21"/>
                <w:szCs w:val="21"/>
                <w:highlight w:val="none"/>
                <w:u w:val="single" w:color="auto"/>
              </w:rPr>
              <w:t>表4-</w:t>
            </w:r>
            <w:r>
              <w:rPr>
                <w:rStyle w:val="68"/>
                <w:rFonts w:hint="default" w:ascii="Times New Roman" w:hAnsi="Times New Roman" w:cs="Times New Roman"/>
                <w:color w:val="auto"/>
                <w:sz w:val="21"/>
                <w:szCs w:val="21"/>
                <w:highlight w:val="none"/>
                <w:u w:val="single" w:color="auto"/>
                <w:lang w:val="en-US" w:eastAsia="zh-CN"/>
              </w:rPr>
              <w:t>8</w:t>
            </w:r>
            <w:r>
              <w:rPr>
                <w:rStyle w:val="68"/>
                <w:rFonts w:hint="default" w:ascii="Times New Roman" w:hAnsi="Times New Roman" w:eastAsia="宋体" w:cs="Times New Roman"/>
                <w:color w:val="auto"/>
                <w:sz w:val="21"/>
                <w:szCs w:val="21"/>
                <w:highlight w:val="none"/>
                <w:u w:val="single" w:color="auto"/>
              </w:rPr>
              <w:t xml:space="preserve"> 噪声污染源强核算一览表</w:t>
            </w:r>
          </w:p>
          <w:tbl>
            <w:tblPr>
              <w:tblStyle w:val="4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73"/>
              <w:gridCol w:w="497"/>
              <w:gridCol w:w="544"/>
              <w:gridCol w:w="760"/>
              <w:gridCol w:w="719"/>
              <w:gridCol w:w="1219"/>
              <w:gridCol w:w="587"/>
              <w:gridCol w:w="638"/>
              <w:gridCol w:w="545"/>
              <w:gridCol w:w="668"/>
              <w:gridCol w:w="668"/>
              <w:gridCol w:w="3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序号</w:t>
                  </w:r>
                </w:p>
              </w:tc>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建筑物名称</w:t>
                  </w:r>
                </w:p>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声源名称</w:t>
                  </w:r>
                </w:p>
              </w:tc>
              <w:tc>
                <w:tcPr>
                  <w:tcW w:w="34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数量（台/套）</w:t>
                  </w:r>
                </w:p>
              </w:tc>
              <w:tc>
                <w:tcPr>
                  <w:tcW w:w="476"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声级源强dB(A)/1m</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声源控制措施</w:t>
                  </w:r>
                </w:p>
              </w:tc>
              <w:tc>
                <w:tcPr>
                  <w:tcW w:w="76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空间相对中心位置/m</w:t>
                  </w:r>
                </w:p>
              </w:tc>
              <w:tc>
                <w:tcPr>
                  <w:tcW w:w="368"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eastAsia="zh-CN"/>
                    </w:rPr>
                  </w:pPr>
                  <w:r>
                    <w:rPr>
                      <w:rFonts w:hint="default" w:ascii="Times New Roman" w:hAnsi="Times New Roman" w:eastAsia="宋体" w:cs="Times New Roman"/>
                      <w:color w:val="auto"/>
                      <w:sz w:val="18"/>
                      <w:szCs w:val="18"/>
                      <w:highlight w:val="none"/>
                      <w:u w:val="single" w:color="auto"/>
                    </w:rPr>
                    <w:t>距室内边界距离</w:t>
                  </w:r>
                  <w:r>
                    <w:rPr>
                      <w:rFonts w:hint="default" w:ascii="Times New Roman" w:hAnsi="Times New Roman" w:eastAsia="宋体" w:cs="Times New Roman"/>
                      <w:color w:val="auto"/>
                      <w:sz w:val="18"/>
                      <w:szCs w:val="18"/>
                      <w:highlight w:val="none"/>
                      <w:u w:val="single" w:color="auto"/>
                      <w:lang w:eastAsia="zh-CN"/>
                    </w:rPr>
                    <w:t>（</w:t>
                  </w:r>
                  <w:r>
                    <w:rPr>
                      <w:rFonts w:hint="default" w:ascii="Times New Roman" w:hAnsi="Times New Roman" w:eastAsia="宋体" w:cs="Times New Roman"/>
                      <w:color w:val="auto"/>
                      <w:sz w:val="18"/>
                      <w:szCs w:val="18"/>
                      <w:highlight w:val="none"/>
                      <w:u w:val="single" w:color="auto"/>
                      <w:lang w:val="en-US" w:eastAsia="zh-CN"/>
                    </w:rPr>
                    <w:t>东,南,西,北</w:t>
                  </w:r>
                  <w:r>
                    <w:rPr>
                      <w:rFonts w:hint="default" w:ascii="Times New Roman" w:hAnsi="Times New Roman" w:eastAsia="宋体" w:cs="Times New Roman"/>
                      <w:color w:val="auto"/>
                      <w:sz w:val="18"/>
                      <w:szCs w:val="18"/>
                      <w:highlight w:val="none"/>
                      <w:u w:val="single" w:color="auto"/>
                      <w:lang w:eastAsia="zh-CN"/>
                    </w:rPr>
                    <w:t>）</w:t>
                  </w:r>
                </w:p>
              </w:tc>
              <w:tc>
                <w:tcPr>
                  <w:tcW w:w="400"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室内边界声级dB(A)</w:t>
                  </w:r>
                  <w:r>
                    <w:rPr>
                      <w:rFonts w:hint="default" w:ascii="Times New Roman" w:hAnsi="Times New Roman" w:eastAsia="宋体" w:cs="Times New Roman"/>
                      <w:color w:val="auto"/>
                      <w:sz w:val="18"/>
                      <w:szCs w:val="18"/>
                      <w:highlight w:val="none"/>
                      <w:u w:val="single" w:color="auto"/>
                      <w:lang w:eastAsia="zh-CN"/>
                    </w:rPr>
                    <w:t>（</w:t>
                  </w:r>
                  <w:r>
                    <w:rPr>
                      <w:rFonts w:hint="default" w:ascii="Times New Roman" w:hAnsi="Times New Roman" w:eastAsia="宋体" w:cs="Times New Roman"/>
                      <w:color w:val="auto"/>
                      <w:sz w:val="18"/>
                      <w:szCs w:val="18"/>
                      <w:highlight w:val="none"/>
                      <w:u w:val="single" w:color="auto"/>
                      <w:lang w:val="en-US" w:eastAsia="zh-CN"/>
                    </w:rPr>
                    <w:t>东,南,西,北</w:t>
                  </w:r>
                  <w:r>
                    <w:rPr>
                      <w:rFonts w:hint="default" w:ascii="Times New Roman" w:hAnsi="Times New Roman" w:eastAsia="宋体" w:cs="Times New Roman"/>
                      <w:color w:val="auto"/>
                      <w:sz w:val="18"/>
                      <w:szCs w:val="18"/>
                      <w:highlight w:val="none"/>
                      <w:u w:val="single" w:color="auto"/>
                      <w:lang w:eastAsia="zh-CN"/>
                    </w:rPr>
                    <w:t>）</w:t>
                  </w:r>
                </w:p>
              </w:tc>
              <w:tc>
                <w:tcPr>
                  <w:tcW w:w="342"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运行时段</w:t>
                  </w:r>
                </w:p>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建筑物插入损失/ dB（A）</w:t>
                  </w:r>
                </w:p>
              </w:tc>
              <w:tc>
                <w:tcPr>
                  <w:tcW w:w="654" w:type="pct"/>
                  <w:gridSpan w:val="2"/>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X,Y,Z</w:t>
                  </w:r>
                </w:p>
              </w:tc>
              <w:tc>
                <w:tcPr>
                  <w:tcW w:w="368"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00"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声压级/ dB（A）</w:t>
                  </w:r>
                  <w:r>
                    <w:rPr>
                      <w:rFonts w:hint="default" w:ascii="Times New Roman" w:hAnsi="Times New Roman" w:eastAsia="宋体" w:cs="Times New Roman"/>
                      <w:color w:val="auto"/>
                      <w:sz w:val="18"/>
                      <w:szCs w:val="18"/>
                      <w:highlight w:val="none"/>
                      <w:u w:val="single" w:color="auto"/>
                      <w:lang w:eastAsia="zh-CN"/>
                    </w:rPr>
                    <w:t>（</w:t>
                  </w:r>
                  <w:r>
                    <w:rPr>
                      <w:rFonts w:hint="default" w:ascii="Times New Roman" w:hAnsi="Times New Roman" w:eastAsia="宋体" w:cs="Times New Roman"/>
                      <w:color w:val="auto"/>
                      <w:sz w:val="18"/>
                      <w:szCs w:val="18"/>
                      <w:highlight w:val="none"/>
                      <w:u w:val="single" w:color="auto"/>
                      <w:lang w:val="en-US" w:eastAsia="zh-CN"/>
                    </w:rPr>
                    <w:t>东,南,西,北</w:t>
                  </w:r>
                  <w:r>
                    <w:rPr>
                      <w:rFonts w:hint="default" w:ascii="Times New Roman" w:hAnsi="Times New Roman" w:eastAsia="宋体" w:cs="Times New Roman"/>
                      <w:color w:val="auto"/>
                      <w:sz w:val="18"/>
                      <w:szCs w:val="18"/>
                      <w:highlight w:val="none"/>
                      <w:u w:val="single" w:color="auto"/>
                      <w:lang w:eastAsia="zh-CN"/>
                    </w:rPr>
                    <w:t>）</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1</w:t>
                  </w:r>
                </w:p>
              </w:tc>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eastAsia="宋体" w:cs="Times New Roman"/>
                      <w:color w:val="auto"/>
                      <w:sz w:val="18"/>
                      <w:szCs w:val="18"/>
                      <w:highlight w:val="none"/>
                      <w:u w:val="single" w:color="auto"/>
                      <w:lang w:val="en-US" w:eastAsia="zh-CN"/>
                    </w:rPr>
                    <w:t>生产厂房</w:t>
                  </w: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kern w:val="2"/>
                      <w:sz w:val="18"/>
                      <w:szCs w:val="18"/>
                      <w:highlight w:val="none"/>
                      <w:u w:val="single" w:color="auto"/>
                      <w:lang w:val="en-US" w:eastAsia="zh-CN" w:bidi="ar-SA"/>
                    </w:rPr>
                    <w:t>破碎机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1</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90</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18.3,36.4,1.2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9.4</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73.9</w:t>
                  </w:r>
                </w:p>
              </w:tc>
              <w:tc>
                <w:tcPr>
                  <w:tcW w:w="342"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24h</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47.9</w:t>
                  </w:r>
                </w:p>
              </w:tc>
              <w:tc>
                <w:tcPr>
                  <w:tcW w:w="23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60.3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82.0</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11.0</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73.9</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47.9</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2</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restart"/>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全金属分选机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1</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85</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28.7,8.7,1.2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10.6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68.9</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42.9</w:t>
                  </w:r>
                </w:p>
              </w:tc>
              <w:tc>
                <w:tcPr>
                  <w:tcW w:w="23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30.8</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81.3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shd w:val="clear" w:color="auto" w:fill="auto"/>
                  <w:vAlign w:val="center"/>
                </w:tcPr>
                <w:p>
                  <w:pPr>
                    <w:pStyle w:val="27"/>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3</w:t>
                  </w:r>
                </w:p>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kern w:val="2"/>
                      <w:sz w:val="18"/>
                      <w:szCs w:val="18"/>
                      <w:highlight w:val="none"/>
                      <w:u w:val="single" w:color="auto"/>
                      <w:lang w:val="en-US" w:eastAsia="zh-CN" w:bidi="ar-SA"/>
                    </w:rPr>
                    <w:t xml:space="preserve">涡电流 </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3</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b w:val="0"/>
                      <w:bCs w:val="0"/>
                      <w:color w:val="auto"/>
                      <w:kern w:val="2"/>
                      <w:sz w:val="18"/>
                      <w:szCs w:val="18"/>
                      <w:highlight w:val="none"/>
                      <w:u w:val="single" w:color="auto"/>
                      <w:lang w:val="en-US" w:eastAsia="zh-CN" w:bidi="ar-SA"/>
                    </w:rPr>
                    <w:t>84.8（等效后）</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22.9,23.2,1.2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10.3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68.7</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42.7</w:t>
                  </w:r>
                </w:p>
              </w:tc>
              <w:tc>
                <w:tcPr>
                  <w:tcW w:w="23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46.3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81.3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textAlignment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25.0</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restart"/>
                  <w:tcBorders>
                    <w:tl2br w:val="nil"/>
                    <w:tr2bl w:val="nil"/>
                  </w:tcBorders>
                  <w:shd w:val="clear" w:color="auto" w:fill="auto"/>
                  <w:vAlign w:val="center"/>
                </w:tcPr>
                <w:p>
                  <w:pPr>
                    <w:pStyle w:val="27"/>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4</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破碎机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1</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90</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-10.2,24.2,1.2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40.4</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lang w:val="en-US" w:eastAsia="zh-CN"/>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56.5</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lang w:val="en-US" w:eastAsia="zh-CN"/>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51.0</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lang w:val="en-US" w:eastAsia="zh-CN"/>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13.8</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73.8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47.8</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脱水机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3</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84.8（等效后）</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-2.7,8.5,1.2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eastAsia="宋体" w:cs="Times New Roman"/>
                      <w:color w:val="auto"/>
                      <w:sz w:val="18"/>
                      <w:szCs w:val="18"/>
                      <w:highlight w:val="none"/>
                      <w:u w:val="single" w:color="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lang w:val="en-US" w:eastAsia="zh-CN"/>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39.3</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sz w:val="18"/>
                      <w:szCs w:val="18"/>
                      <w:highlight w:val="none"/>
                      <w:u w:val="single" w:color="auto"/>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sz w:val="18"/>
                      <w:szCs w:val="18"/>
                      <w:highlight w:val="none"/>
                      <w:u w:val="single" w:color="auto"/>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color w:val="auto"/>
                      <w:sz w:val="18"/>
                      <w:szCs w:val="18"/>
                      <w:highlight w:val="none"/>
                      <w:u w:val="single" w:color="auto"/>
                      <w:lang w:val="en-US" w:eastAsia="zh-CN"/>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52.1</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31.1</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脱水机</w:t>
                  </w:r>
                </w:p>
              </w:tc>
              <w:tc>
                <w:tcPr>
                  <w:tcW w:w="341" w:type="pct"/>
                  <w:vMerge w:val="restart"/>
                  <w:tcBorders>
                    <w:tl2br w:val="nil"/>
                    <w:tr2bl w:val="nil"/>
                  </w:tcBorders>
                  <w:shd w:val="clear" w:color="auto" w:fill="auto"/>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3</w:t>
                  </w:r>
                </w:p>
              </w:tc>
              <w:tc>
                <w:tcPr>
                  <w:tcW w:w="476" w:type="pct"/>
                  <w:vMerge w:val="restart"/>
                  <w:tcBorders>
                    <w:tl2br w:val="nil"/>
                    <w:tr2bl w:val="nil"/>
                  </w:tcBorders>
                  <w:shd w:val="clear" w:color="auto" w:fill="auto"/>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84.8（等效后）</w:t>
                  </w:r>
                </w:p>
              </w:tc>
              <w:tc>
                <w:tcPr>
                  <w:tcW w:w="451" w:type="pct"/>
                  <w:vMerge w:val="restart"/>
                  <w:tcBorders>
                    <w:tl2br w:val="nil"/>
                    <w:tr2bl w:val="nil"/>
                  </w:tcBorders>
                  <w:shd w:val="clear" w:color="auto" w:fill="auto"/>
                  <w:vAlign w:val="center"/>
                </w:tcPr>
                <w:p>
                  <w:pPr>
                    <w:pStyle w:val="27"/>
                    <w:spacing w:line="240" w:lineRule="auto"/>
                    <w:ind w:firstLine="0" w:firstLineChars="0"/>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-21.7，-1.7,1.2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61.0</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34.8</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30.6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34.9</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68.6</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42.6</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sz w:val="18"/>
                      <w:szCs w:val="18"/>
                      <w:highlight w:val="none"/>
                      <w:u w:val="single" w:color="auto"/>
                      <w:lang w:val="en-US" w:eastAsia="zh-CN"/>
                    </w:rPr>
                    <w:t>材质机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2</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b w:val="0"/>
                      <w:bCs w:val="0"/>
                      <w:color w:val="auto"/>
                      <w:kern w:val="2"/>
                      <w:sz w:val="18"/>
                      <w:szCs w:val="18"/>
                      <w:highlight w:val="none"/>
                      <w:u w:val="single" w:color="auto"/>
                      <w:lang w:val="en-US" w:eastAsia="zh-CN" w:bidi="ar-SA"/>
                    </w:rPr>
                    <w:t>88（等效后）</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-29.7，-23.5,1.2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76.9</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71.8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45.8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16.1</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71.8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45.8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15.1</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71.8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45.8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53.2</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71.85</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45.8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8</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kern w:val="2"/>
                      <w:sz w:val="18"/>
                      <w:szCs w:val="18"/>
                      <w:highlight w:val="none"/>
                      <w:u w:val="single" w:color="auto"/>
                      <w:lang w:val="en-US" w:eastAsia="zh-CN" w:bidi="ar-SA"/>
                    </w:rPr>
                    <w:t>X光机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2</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b w:val="0"/>
                      <w:bCs w:val="0"/>
                      <w:color w:val="auto"/>
                      <w:kern w:val="2"/>
                      <w:sz w:val="18"/>
                      <w:szCs w:val="18"/>
                      <w:highlight w:val="none"/>
                      <w:u w:val="single" w:color="auto"/>
                      <w:lang w:val="en-US" w:eastAsia="zh-CN" w:bidi="ar-SA"/>
                    </w:rPr>
                    <w:t>83（等效后）</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-17.3，-19.5,1.2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63.9</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66.8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16.5</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66.8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28.1</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66.8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53.2</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66.8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40.8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9</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kern w:val="2"/>
                      <w:sz w:val="18"/>
                      <w:szCs w:val="18"/>
                      <w:highlight w:val="none"/>
                      <w:u w:val="single" w:color="auto"/>
                      <w:lang w:val="en-US" w:eastAsia="zh-CN" w:bidi="ar-SA"/>
                    </w:rPr>
                    <w:t>静电分选机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5</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b w:val="0"/>
                      <w:bCs w:val="0"/>
                      <w:color w:val="auto"/>
                      <w:kern w:val="2"/>
                      <w:sz w:val="18"/>
                      <w:szCs w:val="18"/>
                      <w:highlight w:val="none"/>
                      <w:u w:val="single" w:color="auto"/>
                      <w:lang w:val="en-US" w:eastAsia="zh-CN" w:bidi="ar-SA"/>
                    </w:rPr>
                    <w:t>82（等效后）</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both"/>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,2.6，-14.3,1.2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43.6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65.8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15.9</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65.8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48.5</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65.8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54.4</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65.8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39.8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10</w:t>
                  </w: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restart"/>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cs="Times New Roman"/>
                      <w:color w:val="auto"/>
                      <w:kern w:val="2"/>
                      <w:sz w:val="18"/>
                      <w:szCs w:val="18"/>
                      <w:highlight w:val="none"/>
                      <w:u w:val="single" w:color="auto"/>
                      <w:lang w:val="en-US" w:eastAsia="zh-CN" w:bidi="ar-SA"/>
                    </w:rPr>
                    <w:t>色选机</w:t>
                  </w:r>
                </w:p>
              </w:tc>
              <w:tc>
                <w:tcPr>
                  <w:tcW w:w="341" w:type="pct"/>
                  <w:vMerge w:val="restart"/>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r>
                    <w:rPr>
                      <w:rFonts w:hint="default" w:ascii="Times New Roman" w:hAnsi="Times New Roman" w:cs="Times New Roman"/>
                      <w:color w:val="auto"/>
                      <w:kern w:val="0"/>
                      <w:sz w:val="18"/>
                      <w:szCs w:val="18"/>
                      <w:highlight w:val="none"/>
                      <w:u w:val="single" w:color="auto"/>
                      <w:lang w:val="en-US" w:eastAsia="zh-CN" w:bidi="ar-SA"/>
                    </w:rPr>
                    <w:t>1</w:t>
                  </w:r>
                </w:p>
              </w:tc>
              <w:tc>
                <w:tcPr>
                  <w:tcW w:w="476" w:type="pct"/>
                  <w:vMerge w:val="restart"/>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r>
                    <w:rPr>
                      <w:rFonts w:hint="default" w:ascii="Times New Roman" w:hAnsi="Times New Roman" w:cs="Times New Roman"/>
                      <w:b w:val="0"/>
                      <w:bCs w:val="0"/>
                      <w:color w:val="auto"/>
                      <w:kern w:val="2"/>
                      <w:sz w:val="18"/>
                      <w:szCs w:val="18"/>
                      <w:highlight w:val="none"/>
                      <w:u w:val="single" w:color="auto"/>
                      <w:lang w:val="en-US" w:eastAsia="zh-CN" w:bidi="ar-SA"/>
                    </w:rPr>
                    <w:t>75</w:t>
                  </w:r>
                </w:p>
              </w:tc>
              <w:tc>
                <w:tcPr>
                  <w:tcW w:w="451"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r>
                    <w:rPr>
                      <w:rFonts w:hint="default" w:ascii="Times New Roman" w:hAnsi="Times New Roman" w:cs="Times New Roman"/>
                      <w:color w:val="auto"/>
                      <w:sz w:val="18"/>
                      <w:szCs w:val="18"/>
                      <w:highlight w:val="none"/>
                      <w:u w:val="single" w:color="auto"/>
                      <w:lang w:val="en-US" w:eastAsia="zh-CN"/>
                    </w:rPr>
                    <w:t>减振、厂房隔声</w:t>
                  </w:r>
                </w:p>
              </w:tc>
              <w:tc>
                <w:tcPr>
                  <w:tcW w:w="765" w:type="pct"/>
                  <w:vMerge w:val="restar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22，-7.2,1.2</w:t>
                  </w: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22.9</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32.8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17.4</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32.8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69.2</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32.8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234"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311" w:type="pct"/>
                  <w:vMerge w:val="continue"/>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p>
              </w:tc>
              <w:tc>
                <w:tcPr>
                  <w:tcW w:w="341" w:type="pct"/>
                  <w:vMerge w:val="continue"/>
                  <w:tcBorders>
                    <w:tl2br w:val="nil"/>
                    <w:tr2bl w:val="nil"/>
                  </w:tcBorders>
                  <w:vAlign w:val="center"/>
                </w:tcPr>
                <w:p>
                  <w:pPr>
                    <w:pStyle w:val="92"/>
                    <w:spacing w:beforeLines="0" w:afterLines="0" w:line="240" w:lineRule="auto"/>
                    <w:jc w:val="center"/>
                    <w:rPr>
                      <w:rFonts w:hint="default" w:ascii="Times New Roman" w:hAnsi="Times New Roman" w:eastAsia="宋体" w:cs="Times New Roman"/>
                      <w:color w:val="auto"/>
                      <w:kern w:val="0"/>
                      <w:sz w:val="18"/>
                      <w:szCs w:val="18"/>
                      <w:highlight w:val="none"/>
                      <w:u w:val="single" w:color="auto"/>
                      <w:lang w:val="en-US" w:eastAsia="zh-CN" w:bidi="ar-SA"/>
                    </w:rPr>
                  </w:pPr>
                </w:p>
              </w:tc>
              <w:tc>
                <w:tcPr>
                  <w:tcW w:w="476" w:type="pct"/>
                  <w:vMerge w:val="continue"/>
                  <w:tcBorders>
                    <w:tl2br w:val="nil"/>
                    <w:tr2bl w:val="nil"/>
                  </w:tcBorders>
                  <w:vAlign w:val="center"/>
                </w:tcPr>
                <w:p>
                  <w:pPr>
                    <w:pStyle w:val="92"/>
                    <w:spacing w:before="24" w:after="24"/>
                    <w:jc w:val="center"/>
                    <w:rPr>
                      <w:rFonts w:hint="default" w:ascii="Times New Roman" w:hAnsi="Times New Roman" w:eastAsia="宋体" w:cs="Times New Roman"/>
                      <w:b w:val="0"/>
                      <w:bCs w:val="0"/>
                      <w:color w:val="auto"/>
                      <w:kern w:val="2"/>
                      <w:sz w:val="18"/>
                      <w:szCs w:val="18"/>
                      <w:highlight w:val="none"/>
                      <w:u w:val="single" w:color="auto"/>
                      <w:lang w:val="en-US" w:eastAsia="zh-CN" w:bidi="ar-SA"/>
                    </w:rPr>
                  </w:pPr>
                </w:p>
              </w:tc>
              <w:tc>
                <w:tcPr>
                  <w:tcW w:w="451"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765"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lang w:val="en-US" w:eastAsia="zh-CN"/>
                    </w:rPr>
                  </w:pPr>
                </w:p>
              </w:tc>
              <w:tc>
                <w:tcPr>
                  <w:tcW w:w="36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53.6</w:t>
                  </w:r>
                </w:p>
              </w:tc>
              <w:tc>
                <w:tcPr>
                  <w:tcW w:w="4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58.8</w:t>
                  </w:r>
                </w:p>
              </w:tc>
              <w:tc>
                <w:tcPr>
                  <w:tcW w:w="342" w:type="pct"/>
                  <w:vMerge w:val="continue"/>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c>
                <w:tcPr>
                  <w:tcW w:w="41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26</w:t>
                  </w:r>
                </w:p>
              </w:tc>
              <w:tc>
                <w:tcPr>
                  <w:tcW w:w="419" w:type="pct"/>
                  <w:tcBorders>
                    <w:tl2br w:val="nil"/>
                    <w:tr2bl w:val="nil"/>
                  </w:tcBorders>
                  <w:vAlign w:val="center"/>
                </w:tcPr>
                <w:p>
                  <w:pPr>
                    <w:pStyle w:val="27"/>
                    <w:spacing w:line="240" w:lineRule="auto"/>
                    <w:ind w:firstLine="0" w:firstLineChars="0"/>
                    <w:jc w:val="center"/>
                    <w:rPr>
                      <w:rFonts w:hint="default" w:ascii="Times New Roman" w:hAnsi="Times New Roman" w:cs="Times New Roman"/>
                      <w:color w:val="auto"/>
                      <w:sz w:val="18"/>
                      <w:szCs w:val="18"/>
                      <w:highlight w:val="none"/>
                      <w:u w:val="single" w:color="auto"/>
                      <w:lang w:val="en-US" w:eastAsia="zh-CN"/>
                    </w:rPr>
                  </w:pPr>
                  <w:r>
                    <w:rPr>
                      <w:rFonts w:hint="default" w:ascii="Times New Roman" w:hAnsi="Times New Roman" w:cs="Times New Roman"/>
                      <w:color w:val="auto"/>
                      <w:sz w:val="18"/>
                      <w:szCs w:val="18"/>
                      <w:highlight w:val="none"/>
                      <w:u w:val="single" w:color="auto"/>
                      <w:lang w:val="en-US" w:eastAsia="zh-CN"/>
                    </w:rPr>
                    <w:t>32.8</w:t>
                  </w:r>
                </w:p>
              </w:tc>
              <w:tc>
                <w:tcPr>
                  <w:tcW w:w="235" w:type="pct"/>
                  <w:tcBorders>
                    <w:tl2br w:val="nil"/>
                    <w:tr2bl w:val="nil"/>
                  </w:tcBorders>
                  <w:vAlign w:val="center"/>
                </w:tcPr>
                <w:p>
                  <w:pPr>
                    <w:pStyle w:val="27"/>
                    <w:spacing w:line="240" w:lineRule="auto"/>
                    <w:ind w:firstLine="0" w:firstLineChars="0"/>
                    <w:jc w:val="center"/>
                    <w:rPr>
                      <w:rFonts w:hint="default" w:ascii="Times New Roman" w:hAnsi="Times New Roman" w:eastAsia="宋体" w:cs="Times New Roman"/>
                      <w:color w:val="auto"/>
                      <w:sz w:val="18"/>
                      <w:szCs w:val="18"/>
                      <w:highlight w:val="none"/>
                      <w:u w:val="single" w:color="auto"/>
                    </w:rPr>
                  </w:pPr>
                </w:p>
              </w:tc>
            </w:tr>
          </w:tbl>
          <w:p>
            <w:pPr>
              <w:pStyle w:val="25"/>
              <w:rPr>
                <w:rStyle w:val="68"/>
                <w:rFonts w:hint="default" w:ascii="Times New Roman" w:hAnsi="Times New Roman" w:eastAsia="宋体" w:cs="Times New Roman"/>
                <w:color w:val="auto"/>
                <w:sz w:val="21"/>
                <w:szCs w:val="21"/>
                <w:highlight w:val="none"/>
                <w:u w:val="none" w:color="auto"/>
              </w:rPr>
            </w:pPr>
          </w:p>
          <w:p>
            <w:pPr>
              <w:spacing w:line="360" w:lineRule="auto"/>
              <w:ind w:firstLine="481" w:firstLineChars="200"/>
              <w:jc w:val="left"/>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lang w:val="en-US" w:eastAsia="zh-CN"/>
              </w:rPr>
              <w:t>2</w:t>
            </w:r>
            <w:r>
              <w:rPr>
                <w:rStyle w:val="68"/>
                <w:rFonts w:hint="default" w:ascii="Times New Roman" w:hAnsi="Times New Roman" w:eastAsia="宋体" w:cs="Times New Roman"/>
                <w:color w:val="auto"/>
                <w:sz w:val="24"/>
                <w:szCs w:val="24"/>
                <w:highlight w:val="none"/>
                <w:u w:val="none" w:color="auto"/>
              </w:rPr>
              <w:t>、噪声污染防治措施</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（1）企业在选购设备时购置符合国家颁布的各类机械噪声标准的低噪声设备，保证运行时能符合工业企业车间噪声卫生标准，同时能保证达到厂界噪声控制值。</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（2）对噪声污染大的设备，</w:t>
            </w:r>
            <w:r>
              <w:rPr>
                <w:rStyle w:val="68"/>
                <w:rFonts w:hint="default" w:ascii="Times New Roman" w:hAnsi="Times New Roman" w:eastAsia="宋体" w:cs="Times New Roman"/>
                <w:b w:val="0"/>
                <w:bCs w:val="0"/>
                <w:color w:val="auto"/>
                <w:sz w:val="24"/>
                <w:szCs w:val="24"/>
                <w:highlight w:val="none"/>
                <w:u w:val="none" w:color="auto"/>
                <w:lang w:val="en-US" w:eastAsia="zh-CN"/>
              </w:rPr>
              <w:t>设置基础</w:t>
            </w:r>
            <w:r>
              <w:rPr>
                <w:rStyle w:val="68"/>
                <w:rFonts w:hint="default" w:ascii="Times New Roman" w:hAnsi="Times New Roman" w:eastAsia="宋体" w:cs="Times New Roman"/>
                <w:b w:val="0"/>
                <w:bCs w:val="0"/>
                <w:color w:val="auto"/>
                <w:sz w:val="24"/>
                <w:szCs w:val="24"/>
                <w:highlight w:val="none"/>
                <w:u w:val="none" w:color="auto"/>
              </w:rPr>
              <w:t>减振装置</w:t>
            </w:r>
            <w:r>
              <w:rPr>
                <w:rStyle w:val="68"/>
                <w:rFonts w:hint="default" w:ascii="Times New Roman" w:hAnsi="Times New Roman" w:eastAsia="宋体" w:cs="Times New Roman"/>
                <w:b w:val="0"/>
                <w:bCs w:val="0"/>
                <w:color w:val="auto"/>
                <w:sz w:val="24"/>
                <w:szCs w:val="24"/>
                <w:highlight w:val="none"/>
                <w:u w:val="none" w:color="auto"/>
                <w:lang w:eastAsia="zh-CN"/>
              </w:rPr>
              <w:t>，</w:t>
            </w:r>
            <w:r>
              <w:rPr>
                <w:rStyle w:val="68"/>
                <w:rFonts w:hint="default" w:ascii="Times New Roman" w:hAnsi="Times New Roman" w:eastAsia="宋体" w:cs="Times New Roman"/>
                <w:b w:val="0"/>
                <w:bCs w:val="0"/>
                <w:color w:val="auto"/>
                <w:sz w:val="24"/>
                <w:szCs w:val="24"/>
                <w:highlight w:val="none"/>
                <w:u w:val="none" w:color="auto"/>
                <w:lang w:val="en-US" w:eastAsia="zh-CN"/>
              </w:rPr>
              <w:t>风机设置隔音罩和吸音材料吸音，出风口设置消声器，风机与风管处采用软连接等措施</w:t>
            </w:r>
            <w:r>
              <w:rPr>
                <w:rStyle w:val="68"/>
                <w:rFonts w:hint="default" w:ascii="Times New Roman" w:hAnsi="Times New Roman" w:eastAsia="宋体" w:cs="Times New Roman"/>
                <w:b w:val="0"/>
                <w:bCs w:val="0"/>
                <w:color w:val="auto"/>
                <w:sz w:val="24"/>
                <w:szCs w:val="24"/>
                <w:highlight w:val="none"/>
                <w:u w:val="none" w:color="auto"/>
              </w:rPr>
              <w:t>。</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（3）对产生的机械撞击性噪声采用性能好的隔声门窗将噪声封隔起来，以减少噪声的传播，设置隔声控制室，将操作人员与噪声源分离开来。</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（4）在噪声传播途径上采取措施加以控制，如强噪声源车间的建筑围护结构均以封闭为主，同时采取车间外及厂界的绿化，利用建筑物与树木阻隔声音的传播。</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（5）项目噪声污染防治工作执行建设项目竣工环境保护制度。对防振垫、隔声、吸声、消声器等降噪设备应进行定期检查、维修，对不符合要求的及时更换，防止机械噪声的升高。</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Style w:val="68"/>
                <w:rFonts w:hint="default" w:ascii="Times New Roman" w:hAnsi="Times New Roman" w:eastAsia="宋体" w:cs="Times New Roman"/>
                <w:b w:val="0"/>
                <w:bCs w:val="0"/>
                <w:color w:val="auto"/>
                <w:sz w:val="24"/>
                <w:szCs w:val="24"/>
                <w:highlight w:val="none"/>
                <w:u w:val="none" w:color="auto"/>
              </w:rPr>
              <w:t>（6）加强设备的维修保养，使设备处于最佳工作状态。</w:t>
            </w:r>
          </w:p>
          <w:p>
            <w:pPr>
              <w:spacing w:line="360" w:lineRule="auto"/>
              <w:ind w:firstLine="481" w:firstLineChars="200"/>
              <w:jc w:val="left"/>
              <w:rPr>
                <w:rStyle w:val="68"/>
                <w:rFonts w:hint="default" w:ascii="Times New Roman" w:hAnsi="Times New Roman" w:eastAsia="宋体" w:cs="Times New Roman"/>
                <w:color w:val="auto"/>
                <w:sz w:val="24"/>
                <w:szCs w:val="24"/>
                <w:highlight w:val="none"/>
                <w:u w:val="none" w:color="auto"/>
              </w:rPr>
            </w:pPr>
            <w:r>
              <w:rPr>
                <w:rStyle w:val="68"/>
                <w:rFonts w:hint="default" w:ascii="Times New Roman" w:hAnsi="Times New Roman" w:eastAsia="宋体" w:cs="Times New Roman"/>
                <w:color w:val="auto"/>
                <w:sz w:val="24"/>
                <w:szCs w:val="24"/>
                <w:highlight w:val="none"/>
                <w:u w:val="none" w:color="auto"/>
                <w:lang w:val="en-US" w:eastAsia="zh-CN"/>
              </w:rPr>
              <w:t>3</w:t>
            </w:r>
            <w:r>
              <w:rPr>
                <w:rStyle w:val="68"/>
                <w:rFonts w:hint="default" w:ascii="Times New Roman" w:hAnsi="Times New Roman" w:eastAsia="宋体" w:cs="Times New Roman"/>
                <w:color w:val="auto"/>
                <w:sz w:val="24"/>
                <w:szCs w:val="24"/>
                <w:highlight w:val="none"/>
                <w:u w:val="none" w:color="auto"/>
              </w:rPr>
              <w:t>、厂界和环境保护目标达标情况分析</w:t>
            </w:r>
          </w:p>
          <w:p>
            <w:pPr>
              <w:spacing w:line="360" w:lineRule="auto"/>
              <w:ind w:firstLine="480" w:firstLineChars="200"/>
              <w:jc w:val="left"/>
              <w:rPr>
                <w:rStyle w:val="68"/>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color w:val="auto"/>
                <w:highlight w:val="none"/>
                <w:u w:val="none" w:color="auto"/>
              </w:rPr>
              <w:t>项目噪声主要为各设备运转时产生的噪声，噪声源强主要在75-85dB(A)；项目在采取设备减震基础、厂房隔音措施后，可降噪15~20dB(A)。</w:t>
            </w:r>
            <w:r>
              <w:rPr>
                <w:rStyle w:val="68"/>
                <w:rFonts w:hint="default" w:ascii="Times New Roman" w:hAnsi="Times New Roman" w:eastAsia="宋体" w:cs="Times New Roman"/>
                <w:b w:val="0"/>
                <w:bCs w:val="0"/>
                <w:color w:val="auto"/>
                <w:sz w:val="24"/>
                <w:szCs w:val="24"/>
                <w:highlight w:val="none"/>
                <w:u w:val="none" w:color="auto"/>
              </w:rPr>
              <w:t xml:space="preserve"> </w:t>
            </w:r>
          </w:p>
          <w:p>
            <w:pPr>
              <w:spacing w:line="360" w:lineRule="auto"/>
              <w:ind w:firstLine="480"/>
              <w:rPr>
                <w:rFonts w:hint="default" w:ascii="Times New Roman" w:hAnsi="Times New Roman" w:eastAsia="宋体" w:cs="Times New Roman"/>
                <w:bCs/>
                <w:color w:val="auto"/>
                <w:highlight w:val="none"/>
                <w:u w:val="none" w:color="auto"/>
              </w:rPr>
            </w:pPr>
            <w:r>
              <w:rPr>
                <w:rFonts w:hint="default" w:ascii="Times New Roman" w:hAnsi="Times New Roman" w:eastAsia="宋体" w:cs="Times New Roman"/>
                <w:bCs/>
                <w:color w:val="auto"/>
                <w:highlight w:val="none"/>
                <w:u w:val="none" w:color="auto"/>
              </w:rPr>
              <w:fldChar w:fldCharType="begin"/>
            </w:r>
            <w:r>
              <w:rPr>
                <w:rFonts w:hint="default" w:ascii="Times New Roman" w:hAnsi="Times New Roman" w:eastAsia="宋体" w:cs="Times New Roman"/>
                <w:bCs/>
                <w:color w:val="auto"/>
                <w:highlight w:val="none"/>
                <w:u w:val="none" w:color="auto"/>
              </w:rPr>
              <w:instrText xml:space="preserve"> = 1 \* GB3 </w:instrText>
            </w:r>
            <w:r>
              <w:rPr>
                <w:rFonts w:hint="default" w:ascii="Times New Roman" w:hAnsi="Times New Roman" w:eastAsia="宋体" w:cs="Times New Roman"/>
                <w:bCs/>
                <w:color w:val="auto"/>
                <w:highlight w:val="none"/>
                <w:u w:val="none" w:color="auto"/>
              </w:rPr>
              <w:fldChar w:fldCharType="separate"/>
            </w:r>
            <w:r>
              <w:rPr>
                <w:rFonts w:hint="default" w:ascii="Times New Roman" w:hAnsi="Times New Roman" w:eastAsia="宋体" w:cs="Times New Roman"/>
                <w:bCs/>
                <w:color w:val="auto"/>
                <w:highlight w:val="none"/>
                <w:u w:val="none" w:color="auto"/>
              </w:rPr>
              <w:t>①</w:t>
            </w:r>
            <w:r>
              <w:rPr>
                <w:rFonts w:hint="default" w:ascii="Times New Roman" w:hAnsi="Times New Roman" w:eastAsia="宋体" w:cs="Times New Roman"/>
                <w:bCs/>
                <w:color w:val="auto"/>
                <w:highlight w:val="none"/>
                <w:u w:val="none" w:color="auto"/>
              </w:rPr>
              <w:fldChar w:fldCharType="end"/>
            </w:r>
            <w:r>
              <w:rPr>
                <w:rFonts w:hint="default" w:ascii="Times New Roman" w:hAnsi="Times New Roman" w:eastAsia="宋体" w:cs="Times New Roman"/>
                <w:bCs/>
                <w:color w:val="auto"/>
                <w:kern w:val="0"/>
                <w:highlight w:val="none"/>
                <w:u w:val="none" w:color="auto"/>
              </w:rPr>
              <w:t>室内声源靠近维护结构处的倍频带声压级计算方法</w:t>
            </w:r>
          </w:p>
          <w:p>
            <w:pPr>
              <w:spacing w:line="360" w:lineRule="auto"/>
              <w:ind w:firstLine="480"/>
              <w:jc w:val="center"/>
              <w:rPr>
                <w:rFonts w:hint="default" w:ascii="Times New Roman" w:hAnsi="Times New Roman" w:eastAsia="宋体" w:cs="Times New Roman"/>
                <w:bCs/>
                <w:color w:val="auto"/>
                <w:kern w:val="0"/>
                <w:highlight w:val="none"/>
                <w:u w:val="none" w:color="auto"/>
              </w:rPr>
            </w:pPr>
            <m:oMathPara>
              <m:oMath>
                <m:sSub>
                  <m:sSubPr>
                    <m:ctrlPr>
                      <w:rPr>
                        <w:rFonts w:hint="default" w:ascii="Cambria Math" w:hAnsi="Cambria Math" w:eastAsia="宋体" w:cs="Times New Roman"/>
                        <w:color w:val="auto"/>
                        <w:kern w:val="0"/>
                        <w:highlight w:val="none"/>
                        <w:u w:val="none" w:color="auto"/>
                      </w:rPr>
                    </m:ctrlPr>
                  </m:sSubPr>
                  <m:e>
                    <m:r>
                      <m:rPr>
                        <m:sty m:val="p"/>
                      </m:rPr>
                      <w:rPr>
                        <w:rFonts w:hint="default" w:ascii="Cambria Math" w:hAnsi="Cambria Math" w:eastAsia="宋体" w:cs="Times New Roman"/>
                        <w:color w:val="auto"/>
                        <w:kern w:val="0"/>
                        <w:highlight w:val="none"/>
                        <w:u w:val="none" w:color="auto"/>
                      </w:rPr>
                      <m:t>L</m:t>
                    </m:r>
                    <m:ctrlPr>
                      <w:rPr>
                        <w:rFonts w:hint="default" w:ascii="Cambria Math" w:hAnsi="Cambria Math" w:eastAsia="宋体" w:cs="Times New Roman"/>
                        <w:color w:val="auto"/>
                        <w:kern w:val="0"/>
                        <w:highlight w:val="none"/>
                        <w:u w:val="none" w:color="auto"/>
                      </w:rPr>
                    </m:ctrlPr>
                  </m:e>
                  <m:sub>
                    <m:r>
                      <m:rPr>
                        <m:sty m:val="p"/>
                      </m:rPr>
                      <w:rPr>
                        <w:rFonts w:hint="default" w:ascii="Cambria Math" w:hAnsi="Cambria Math" w:eastAsia="宋体" w:cs="Times New Roman"/>
                        <w:color w:val="auto"/>
                        <w:kern w:val="0"/>
                        <w:highlight w:val="none"/>
                        <w:u w:val="none" w:color="auto"/>
                      </w:rPr>
                      <m:t>1</m:t>
                    </m:r>
                    <m:ctrlPr>
                      <w:rPr>
                        <w:rFonts w:hint="default" w:ascii="Cambria Math" w:hAnsi="Cambria Math" w:eastAsia="宋体" w:cs="Times New Roman"/>
                        <w:color w:val="auto"/>
                        <w:kern w:val="0"/>
                        <w:highlight w:val="none"/>
                        <w:u w:val="none" w:color="auto"/>
                      </w:rPr>
                    </m:ctrlPr>
                  </m:sub>
                </m:sSub>
                <m:r>
                  <m:rPr>
                    <m:sty m:val="p"/>
                  </m:rPr>
                  <w:rPr>
                    <w:rFonts w:hint="default" w:ascii="Cambria Math" w:hAnsi="Cambria Math" w:eastAsia="宋体" w:cs="Times New Roman"/>
                    <w:color w:val="auto"/>
                    <w:kern w:val="0"/>
                    <w:highlight w:val="none"/>
                    <w:u w:val="none" w:color="auto"/>
                  </w:rPr>
                  <m:t>=</m:t>
                </m:r>
                <m:sSub>
                  <m:sSubPr>
                    <m:ctrlPr>
                      <w:rPr>
                        <w:rFonts w:hint="default" w:ascii="Cambria Math" w:hAnsi="Cambria Math" w:eastAsia="宋体" w:cs="Times New Roman"/>
                        <w:color w:val="auto"/>
                        <w:kern w:val="0"/>
                        <w:highlight w:val="none"/>
                        <w:u w:val="none" w:color="auto"/>
                      </w:rPr>
                    </m:ctrlPr>
                  </m:sSubPr>
                  <m:e>
                    <m:r>
                      <m:rPr>
                        <m:sty m:val="p"/>
                      </m:rPr>
                      <w:rPr>
                        <w:rFonts w:hint="default" w:ascii="Cambria Math" w:hAnsi="Cambria Math" w:eastAsia="宋体" w:cs="Times New Roman"/>
                        <w:color w:val="auto"/>
                        <w:kern w:val="0"/>
                        <w:highlight w:val="none"/>
                        <w:u w:val="none" w:color="auto"/>
                      </w:rPr>
                      <m:t>L</m:t>
                    </m:r>
                    <m:ctrlPr>
                      <w:rPr>
                        <w:rFonts w:hint="default" w:ascii="Cambria Math" w:hAnsi="Cambria Math" w:eastAsia="宋体" w:cs="Times New Roman"/>
                        <w:color w:val="auto"/>
                        <w:kern w:val="0"/>
                        <w:highlight w:val="none"/>
                        <w:u w:val="none" w:color="auto"/>
                      </w:rPr>
                    </m:ctrlPr>
                  </m:e>
                  <m:sub>
                    <m:r>
                      <m:rPr>
                        <m:sty m:val="p"/>
                      </m:rPr>
                      <w:rPr>
                        <w:rFonts w:hint="default" w:ascii="Cambria Math" w:hAnsi="Cambria Math" w:eastAsia="宋体" w:cs="Times New Roman"/>
                        <w:color w:val="auto"/>
                        <w:kern w:val="0"/>
                        <w:highlight w:val="none"/>
                        <w:u w:val="none" w:color="auto"/>
                      </w:rPr>
                      <m:t>W1</m:t>
                    </m:r>
                    <m:ctrlPr>
                      <w:rPr>
                        <w:rFonts w:hint="default" w:ascii="Cambria Math" w:hAnsi="Cambria Math" w:eastAsia="宋体" w:cs="Times New Roman"/>
                        <w:color w:val="auto"/>
                        <w:kern w:val="0"/>
                        <w:highlight w:val="none"/>
                        <w:u w:val="none" w:color="auto"/>
                      </w:rPr>
                    </m:ctrlPr>
                  </m:sub>
                </m:sSub>
                <m:r>
                  <m:rPr>
                    <m:sty m:val="p"/>
                  </m:rPr>
                  <w:rPr>
                    <w:rFonts w:hint="default" w:ascii="Cambria Math" w:hAnsi="Cambria Math" w:eastAsia="宋体" w:cs="Times New Roman"/>
                    <w:color w:val="auto"/>
                    <w:kern w:val="0"/>
                    <w:highlight w:val="none"/>
                    <w:u w:val="none" w:color="auto"/>
                  </w:rPr>
                  <m:t>+10lg⁡(</m:t>
                </m:r>
                <m:f>
                  <m:fPr>
                    <m:ctrlPr>
                      <w:rPr>
                        <w:rFonts w:hint="default" w:ascii="Cambria Math" w:hAnsi="Cambria Math" w:eastAsia="宋体" w:cs="Times New Roman"/>
                        <w:color w:val="auto"/>
                        <w:kern w:val="0"/>
                        <w:highlight w:val="none"/>
                        <w:u w:val="none" w:color="auto"/>
                      </w:rPr>
                    </m:ctrlPr>
                  </m:fPr>
                  <m:num>
                    <m:r>
                      <m:rPr>
                        <m:sty m:val="p"/>
                      </m:rPr>
                      <w:rPr>
                        <w:rFonts w:hint="default" w:ascii="Cambria Math" w:hAnsi="Cambria Math" w:eastAsia="宋体" w:cs="Times New Roman"/>
                        <w:color w:val="auto"/>
                        <w:kern w:val="0"/>
                        <w:highlight w:val="none"/>
                        <w:u w:val="none" w:color="auto"/>
                      </w:rPr>
                      <m:t>Q</m:t>
                    </m:r>
                    <m:ctrlPr>
                      <w:rPr>
                        <w:rFonts w:hint="default" w:ascii="Cambria Math" w:hAnsi="Cambria Math" w:eastAsia="宋体" w:cs="Times New Roman"/>
                        <w:color w:val="auto"/>
                        <w:kern w:val="0"/>
                        <w:highlight w:val="none"/>
                        <w:u w:val="none" w:color="auto"/>
                      </w:rPr>
                    </m:ctrlPr>
                  </m:num>
                  <m:den>
                    <m:r>
                      <m:rPr>
                        <m:sty m:val="p"/>
                      </m:rPr>
                      <w:rPr>
                        <w:rFonts w:hint="default" w:ascii="Cambria Math" w:hAnsi="Cambria Math" w:eastAsia="宋体" w:cs="Times New Roman"/>
                        <w:color w:val="auto"/>
                        <w:kern w:val="0"/>
                        <w:highlight w:val="none"/>
                        <w:u w:val="none" w:color="auto"/>
                      </w:rPr>
                      <m:t>4π</m:t>
                    </m:r>
                    <m:sSup>
                      <m:sSupPr>
                        <m:ctrlPr>
                          <w:rPr>
                            <w:rFonts w:hint="default" w:ascii="Cambria Math" w:hAnsi="Cambria Math" w:eastAsia="宋体" w:cs="Times New Roman"/>
                            <w:color w:val="auto"/>
                            <w:kern w:val="0"/>
                            <w:highlight w:val="none"/>
                            <w:u w:val="none" w:color="auto"/>
                          </w:rPr>
                        </m:ctrlPr>
                      </m:sSupPr>
                      <m:e>
                        <m:r>
                          <m:rPr>
                            <m:sty m:val="p"/>
                          </m:rPr>
                          <w:rPr>
                            <w:rFonts w:hint="default" w:ascii="Cambria Math" w:hAnsi="Cambria Math" w:eastAsia="宋体" w:cs="Times New Roman"/>
                            <w:color w:val="auto"/>
                            <w:kern w:val="0"/>
                            <w:highlight w:val="none"/>
                            <w:u w:val="none" w:color="auto"/>
                          </w:rPr>
                          <m:t>r</m:t>
                        </m:r>
                        <m:ctrlPr>
                          <w:rPr>
                            <w:rFonts w:hint="default" w:ascii="Cambria Math" w:hAnsi="Cambria Math" w:eastAsia="宋体" w:cs="Times New Roman"/>
                            <w:color w:val="auto"/>
                            <w:kern w:val="0"/>
                            <w:highlight w:val="none"/>
                            <w:u w:val="none" w:color="auto"/>
                          </w:rPr>
                        </m:ctrlPr>
                      </m:e>
                      <m:sup>
                        <m:r>
                          <m:rPr>
                            <m:sty m:val="p"/>
                          </m:rPr>
                          <w:rPr>
                            <w:rFonts w:hint="default" w:ascii="Cambria Math" w:hAnsi="Cambria Math" w:eastAsia="宋体" w:cs="Times New Roman"/>
                            <w:color w:val="auto"/>
                            <w:kern w:val="0"/>
                            <w:highlight w:val="none"/>
                            <w:u w:val="none" w:color="auto"/>
                          </w:rPr>
                          <m:t>2</m:t>
                        </m:r>
                        <m:ctrlPr>
                          <w:rPr>
                            <w:rFonts w:hint="default" w:ascii="Cambria Math" w:hAnsi="Cambria Math" w:eastAsia="宋体" w:cs="Times New Roman"/>
                            <w:color w:val="auto"/>
                            <w:kern w:val="0"/>
                            <w:highlight w:val="none"/>
                            <w:u w:val="none" w:color="auto"/>
                          </w:rPr>
                        </m:ctrlPr>
                      </m:sup>
                    </m:sSup>
                    <m:ctrlPr>
                      <w:rPr>
                        <w:rFonts w:hint="default" w:ascii="Cambria Math" w:hAnsi="Cambria Math" w:eastAsia="宋体" w:cs="Times New Roman"/>
                        <w:color w:val="auto"/>
                        <w:kern w:val="0"/>
                        <w:highlight w:val="none"/>
                        <w:u w:val="none" w:color="auto"/>
                      </w:rPr>
                    </m:ctrlPr>
                  </m:den>
                </m:f>
                <m:r>
                  <m:rPr>
                    <m:sty m:val="p"/>
                  </m:rPr>
                  <w:rPr>
                    <w:rFonts w:hint="default" w:ascii="Cambria Math" w:hAnsi="Cambria Math" w:eastAsia="宋体" w:cs="Times New Roman"/>
                    <w:color w:val="auto"/>
                    <w:kern w:val="0"/>
                    <w:highlight w:val="none"/>
                    <w:u w:val="none" w:color="auto"/>
                  </w:rPr>
                  <m:t>+</m:t>
                </m:r>
                <m:f>
                  <m:fPr>
                    <m:ctrlPr>
                      <w:rPr>
                        <w:rFonts w:hint="default" w:ascii="Cambria Math" w:hAnsi="Cambria Math" w:eastAsia="宋体" w:cs="Times New Roman"/>
                        <w:color w:val="auto"/>
                        <w:kern w:val="0"/>
                        <w:highlight w:val="none"/>
                        <w:u w:val="none" w:color="auto"/>
                      </w:rPr>
                    </m:ctrlPr>
                  </m:fPr>
                  <m:num>
                    <m:r>
                      <m:rPr>
                        <m:sty m:val="p"/>
                      </m:rPr>
                      <w:rPr>
                        <w:rFonts w:hint="default" w:ascii="Cambria Math" w:hAnsi="Cambria Math" w:eastAsia="宋体" w:cs="Times New Roman"/>
                        <w:color w:val="auto"/>
                        <w:kern w:val="0"/>
                        <w:highlight w:val="none"/>
                        <w:u w:val="none" w:color="auto"/>
                      </w:rPr>
                      <m:t>4</m:t>
                    </m:r>
                    <m:ctrlPr>
                      <w:rPr>
                        <w:rFonts w:hint="default" w:ascii="Cambria Math" w:hAnsi="Cambria Math" w:eastAsia="宋体" w:cs="Times New Roman"/>
                        <w:color w:val="auto"/>
                        <w:kern w:val="0"/>
                        <w:highlight w:val="none"/>
                        <w:u w:val="none" w:color="auto"/>
                      </w:rPr>
                    </m:ctrlPr>
                  </m:num>
                  <m:den>
                    <m:r>
                      <m:rPr>
                        <m:sty m:val="p"/>
                      </m:rPr>
                      <w:rPr>
                        <w:rFonts w:hint="default" w:ascii="Cambria Math" w:hAnsi="Cambria Math" w:eastAsia="宋体" w:cs="Times New Roman"/>
                        <w:color w:val="auto"/>
                        <w:kern w:val="0"/>
                        <w:highlight w:val="none"/>
                        <w:u w:val="none" w:color="auto"/>
                      </w:rPr>
                      <m:t>R</m:t>
                    </m:r>
                    <m:ctrlPr>
                      <w:rPr>
                        <w:rFonts w:hint="default" w:ascii="Cambria Math" w:hAnsi="Cambria Math" w:eastAsia="宋体" w:cs="Times New Roman"/>
                        <w:color w:val="auto"/>
                        <w:kern w:val="0"/>
                        <w:highlight w:val="none"/>
                        <w:u w:val="none" w:color="auto"/>
                      </w:rPr>
                    </m:ctrlPr>
                  </m:den>
                </m:f>
                <m:r>
                  <m:rPr>
                    <m:sty m:val="p"/>
                  </m:rPr>
                  <w:rPr>
                    <w:rFonts w:hint="default" w:ascii="Cambria Math" w:hAnsi="Cambria Math" w:eastAsia="宋体" w:cs="Times New Roman"/>
                    <w:color w:val="auto"/>
                    <w:kern w:val="0"/>
                    <w:highlight w:val="none"/>
                    <w:u w:val="none" w:color="auto"/>
                  </w:rPr>
                  <m:t>)</m:t>
                </m:r>
              </m:oMath>
            </m:oMathPara>
          </w:p>
          <w:p>
            <w:pPr>
              <w:spacing w:line="360" w:lineRule="auto"/>
              <w:ind w:firstLine="480"/>
              <w:jc w:val="left"/>
              <w:rPr>
                <w:rFonts w:hint="default" w:ascii="Times New Roman" w:hAnsi="Times New Roman" w:eastAsia="宋体" w:cs="Times New Roman"/>
                <w:bCs/>
                <w:color w:val="auto"/>
                <w:kern w:val="0"/>
                <w:highlight w:val="none"/>
                <w:u w:val="none" w:color="auto"/>
              </w:rPr>
            </w:pPr>
            <w:r>
              <w:rPr>
                <w:rFonts w:hint="default" w:ascii="Times New Roman" w:hAnsi="Times New Roman" w:eastAsia="宋体" w:cs="Times New Roman"/>
                <w:bCs/>
                <w:color w:val="auto"/>
                <w:kern w:val="0"/>
                <w:highlight w:val="none"/>
                <w:u w:val="none" w:color="auto"/>
              </w:rPr>
              <w:t>式中：</w:t>
            </w:r>
          </w:p>
          <w:p>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color w:val="auto"/>
                <w:kern w:val="0"/>
                <w:highlight w:val="none"/>
                <w:u w:val="none" w:color="auto"/>
              </w:rPr>
              <w:t>L</w:t>
            </w:r>
            <w:r>
              <w:rPr>
                <w:rFonts w:hint="default" w:ascii="Times New Roman" w:hAnsi="Times New Roman" w:eastAsia="宋体" w:cs="Times New Roman"/>
                <w:bCs/>
                <w:color w:val="auto"/>
                <w:kern w:val="0"/>
                <w:highlight w:val="none"/>
                <w:u w:val="none" w:color="auto"/>
                <w:vertAlign w:val="subscript"/>
              </w:rPr>
              <w:t>W1</w:t>
            </w:r>
            <w:r>
              <w:rPr>
                <w:rFonts w:hint="default" w:ascii="Times New Roman" w:hAnsi="Times New Roman" w:eastAsia="宋体" w:cs="Times New Roman"/>
                <w:color w:val="auto"/>
                <w:highlight w:val="none"/>
                <w:u w:val="none" w:color="auto"/>
              </w:rPr>
              <w:t>—某个室内声源在靠近围护结构处产生的倍频带声功率级，dB；</w:t>
            </w:r>
          </w:p>
          <w:p>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r—某个室内声源与靠近围护结构处的距离，m;</w:t>
            </w:r>
          </w:p>
          <w:p>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color w:val="auto"/>
                <w:kern w:val="0"/>
                <w:highlight w:val="none"/>
                <w:u w:val="none" w:color="auto"/>
              </w:rPr>
              <w:t>Q</w:t>
            </w:r>
            <w:r>
              <w:rPr>
                <w:rFonts w:hint="default" w:ascii="Times New Roman" w:hAnsi="Times New Roman" w:eastAsia="宋体" w:cs="Times New Roman"/>
                <w:color w:val="auto"/>
                <w:highlight w:val="none"/>
                <w:u w:val="none" w:color="auto"/>
              </w:rPr>
              <w:t>—指向性因素；通常对无指向性声源，当声源放在房间中心时，Q=1；当放在一面墙的中心时，Q=2；当放在两面墙夹角处时，Q=4；当放在三面墙夹角处时，Q=8；</w:t>
            </w:r>
          </w:p>
          <w:p>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L</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—靠近围护结构处的倍频声压级，dB；</w:t>
            </w:r>
          </w:p>
          <w:p>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R—车间常数，R=Sα/(1-α)，α-平均吸声系数；</w:t>
            </w:r>
          </w:p>
          <w:p>
            <w:pPr>
              <w:spacing w:line="360" w:lineRule="auto"/>
              <w:ind w:firstLine="480"/>
              <w:rPr>
                <w:rFonts w:hint="default" w:ascii="Times New Roman" w:hAnsi="Times New Roman" w:eastAsia="宋体" w:cs="Times New Roman"/>
                <w:bCs/>
                <w:snapToGrid w:val="0"/>
                <w:color w:val="auto"/>
                <w:highlight w:val="none"/>
                <w:u w:val="none" w:color="auto"/>
              </w:rPr>
            </w:pPr>
            <w:r>
              <w:rPr>
                <w:rFonts w:hint="default" w:ascii="Times New Roman" w:hAnsi="Times New Roman" w:eastAsia="宋体" w:cs="Times New Roman"/>
                <w:bCs/>
                <w:snapToGrid w:val="0"/>
                <w:color w:val="auto"/>
                <w:highlight w:val="none"/>
                <w:u w:val="none" w:color="auto"/>
              </w:rPr>
              <w:fldChar w:fldCharType="begin"/>
            </w:r>
            <w:r>
              <w:rPr>
                <w:rFonts w:hint="default" w:ascii="Times New Roman" w:hAnsi="Times New Roman" w:eastAsia="宋体" w:cs="Times New Roman"/>
                <w:bCs/>
                <w:snapToGrid w:val="0"/>
                <w:color w:val="auto"/>
                <w:highlight w:val="none"/>
                <w:u w:val="none" w:color="auto"/>
              </w:rPr>
              <w:instrText xml:space="preserve"> = 2 \* GB3 </w:instrText>
            </w:r>
            <w:r>
              <w:rPr>
                <w:rFonts w:hint="default" w:ascii="Times New Roman" w:hAnsi="Times New Roman" w:eastAsia="宋体" w:cs="Times New Roman"/>
                <w:bCs/>
                <w:snapToGrid w:val="0"/>
                <w:color w:val="auto"/>
                <w:highlight w:val="none"/>
                <w:u w:val="none" w:color="auto"/>
              </w:rPr>
              <w:fldChar w:fldCharType="separate"/>
            </w:r>
            <w:r>
              <w:rPr>
                <w:rFonts w:hint="default" w:ascii="Times New Roman" w:hAnsi="Times New Roman" w:eastAsia="宋体" w:cs="Times New Roman"/>
                <w:bCs/>
                <w:snapToGrid w:val="0"/>
                <w:color w:val="auto"/>
                <w:highlight w:val="none"/>
                <w:u w:val="none" w:color="auto"/>
              </w:rPr>
              <w:t>②</w:t>
            </w:r>
            <w:r>
              <w:rPr>
                <w:rFonts w:hint="default" w:ascii="Times New Roman" w:hAnsi="Times New Roman" w:eastAsia="宋体" w:cs="Times New Roman"/>
                <w:bCs/>
                <w:snapToGrid w:val="0"/>
                <w:color w:val="auto"/>
                <w:highlight w:val="none"/>
                <w:u w:val="none" w:color="auto"/>
              </w:rPr>
              <w:fldChar w:fldCharType="end"/>
            </w:r>
            <w:r>
              <w:rPr>
                <w:rFonts w:hint="default" w:ascii="Times New Roman" w:hAnsi="Times New Roman" w:eastAsia="宋体" w:cs="Times New Roman"/>
                <w:bCs/>
                <w:snapToGrid w:val="0"/>
                <w:color w:val="auto"/>
                <w:highlight w:val="none"/>
                <w:u w:val="none" w:color="auto"/>
              </w:rPr>
              <w:t>室内声源等效室外声源声功率级计算方法</w:t>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声源位于室内，室内声源可采用等效室外声源声功率级法进行计算。设靠近开口处（或窗户）室内、室外某倍频带的声压级分别为</w:t>
            </w:r>
            <w:r>
              <w:rPr>
                <w:rFonts w:hint="default" w:ascii="Times New Roman" w:hAnsi="Times New Roman" w:eastAsia="宋体" w:cs="Times New Roman"/>
                <w:i/>
                <w:iCs/>
                <w:color w:val="auto"/>
                <w:szCs w:val="24"/>
                <w:highlight w:val="none"/>
                <w:u w:val="none" w:color="auto"/>
              </w:rPr>
              <w:t>Lp</w:t>
            </w:r>
            <w:r>
              <w:rPr>
                <w:rFonts w:hint="default" w:ascii="Times New Roman" w:hAnsi="Times New Roman" w:eastAsia="宋体" w:cs="Times New Roman"/>
                <w:color w:val="auto"/>
                <w:szCs w:val="24"/>
                <w:highlight w:val="none"/>
                <w:u w:val="none" w:color="auto"/>
              </w:rPr>
              <w:t>1和</w:t>
            </w:r>
            <w:r>
              <w:rPr>
                <w:rFonts w:hint="default" w:ascii="Times New Roman" w:hAnsi="Times New Roman" w:eastAsia="宋体" w:cs="Times New Roman"/>
                <w:i/>
                <w:iCs/>
                <w:color w:val="auto"/>
                <w:szCs w:val="24"/>
                <w:highlight w:val="none"/>
                <w:u w:val="none" w:color="auto"/>
              </w:rPr>
              <w:t>Lp</w:t>
            </w:r>
            <w:r>
              <w:rPr>
                <w:rFonts w:hint="default" w:ascii="Times New Roman" w:hAnsi="Times New Roman" w:eastAsia="宋体" w:cs="Times New Roman"/>
                <w:color w:val="auto"/>
                <w:szCs w:val="24"/>
                <w:highlight w:val="none"/>
                <w:u w:val="none" w:color="auto"/>
              </w:rPr>
              <w:t>2。若声源所在室内声场为近似扩散声场，按下列公式计算出靠近室外围护结构处的声压级：</w:t>
            </w:r>
          </w:p>
          <w:p>
            <w:pPr>
              <w:autoSpaceDE w:val="0"/>
              <w:autoSpaceDN w:val="0"/>
              <w:spacing w:line="360" w:lineRule="auto"/>
              <w:ind w:firstLine="48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drawing>
                <wp:inline distT="0" distB="0" distL="114300" distR="114300">
                  <wp:extent cx="1595120" cy="223520"/>
                  <wp:effectExtent l="0" t="0" r="5080" b="5080"/>
                  <wp:docPr id="149" name="图片 11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9" name="图片 11023"/>
                          <pic:cNvPicPr>
                            <a:picLocks noChangeAspect="true"/>
                          </pic:cNvPicPr>
                        </pic:nvPicPr>
                        <pic:blipFill>
                          <a:blip r:embed="rId20"/>
                          <a:stretch>
                            <a:fillRect/>
                          </a:stretch>
                        </pic:blipFill>
                        <pic:spPr>
                          <a:xfrm>
                            <a:off x="0" y="0"/>
                            <a:ext cx="1595120" cy="223520"/>
                          </a:xfrm>
                          <a:prstGeom prst="rect">
                            <a:avLst/>
                          </a:prstGeom>
                          <a:noFill/>
                          <a:ln>
                            <a:noFill/>
                          </a:ln>
                        </pic:spPr>
                      </pic:pic>
                    </a:graphicData>
                  </a:graphic>
                </wp:inline>
              </w:drawing>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式中：</w:t>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i/>
                <w:iCs/>
                <w:color w:val="auto"/>
                <w:szCs w:val="24"/>
                <w:highlight w:val="none"/>
                <w:u w:val="none" w:color="auto"/>
              </w:rPr>
              <w:t>L</w:t>
            </w:r>
            <w:r>
              <w:rPr>
                <w:rFonts w:hint="default" w:ascii="Times New Roman" w:hAnsi="Times New Roman" w:eastAsia="宋体" w:cs="Times New Roman"/>
                <w:i/>
                <w:iCs/>
                <w:color w:val="auto"/>
                <w:szCs w:val="24"/>
                <w:highlight w:val="none"/>
                <w:u w:val="none" w:color="auto"/>
                <w:vertAlign w:val="subscript"/>
              </w:rPr>
              <w:t xml:space="preserve">P </w:t>
            </w:r>
            <w:r>
              <w:rPr>
                <w:rFonts w:hint="default" w:ascii="Times New Roman" w:hAnsi="Times New Roman" w:eastAsia="宋体" w:cs="Times New Roman"/>
                <w:color w:val="auto"/>
                <w:szCs w:val="24"/>
                <w:highlight w:val="none"/>
                <w:u w:val="none" w:color="auto"/>
                <w:vertAlign w:val="subscript"/>
              </w:rPr>
              <w:t>2</w:t>
            </w:r>
            <w:r>
              <w:rPr>
                <w:rFonts w:hint="default" w:ascii="Times New Roman" w:hAnsi="Times New Roman" w:eastAsia="宋体" w:cs="Times New Roman"/>
                <w:i/>
                <w:iCs/>
                <w:color w:val="auto"/>
                <w:szCs w:val="24"/>
                <w:highlight w:val="none"/>
                <w:u w:val="none" w:color="auto"/>
                <w:vertAlign w:val="subscript"/>
              </w:rPr>
              <w:t>i</w:t>
            </w:r>
            <w:r>
              <w:rPr>
                <w:rFonts w:hint="default" w:ascii="Times New Roman" w:hAnsi="Times New Roman" w:eastAsia="宋体" w:cs="Times New Roman"/>
                <w:color w:val="auto"/>
                <w:szCs w:val="24"/>
                <w:highlight w:val="none"/>
                <w:u w:val="none" w:color="auto"/>
              </w:rPr>
              <w:t>(</w:t>
            </w:r>
            <w:r>
              <w:rPr>
                <w:rFonts w:hint="default" w:ascii="Times New Roman" w:hAnsi="Times New Roman" w:eastAsia="宋体" w:cs="Times New Roman"/>
                <w:i/>
                <w:iCs/>
                <w:color w:val="auto"/>
                <w:szCs w:val="24"/>
                <w:highlight w:val="none"/>
                <w:u w:val="none" w:color="auto"/>
              </w:rPr>
              <w:t>T</w:t>
            </w:r>
            <w:r>
              <w:rPr>
                <w:rFonts w:hint="default" w:ascii="Times New Roman" w:hAnsi="Times New Roman" w:eastAsia="宋体" w:cs="Times New Roman"/>
                <w:color w:val="auto"/>
                <w:szCs w:val="24"/>
                <w:highlight w:val="none"/>
                <w:u w:val="none" w:color="auto"/>
              </w:rPr>
              <w:t>)</w:t>
            </w:r>
            <w:r>
              <w:rPr>
                <w:rFonts w:hint="default" w:ascii="Times New Roman" w:hAnsi="Times New Roman" w:eastAsia="宋体" w:cs="Times New Roman"/>
                <w:i/>
                <w:iCs/>
                <w:color w:val="auto"/>
                <w:szCs w:val="24"/>
                <w:highlight w:val="none"/>
                <w:u w:val="none" w:color="auto"/>
              </w:rPr>
              <w:t xml:space="preserve"> </w:t>
            </w:r>
            <w:r>
              <w:rPr>
                <w:rFonts w:hint="default" w:ascii="Times New Roman" w:hAnsi="Times New Roman" w:eastAsia="宋体" w:cs="Times New Roman"/>
                <w:color w:val="auto"/>
                <w:szCs w:val="24"/>
                <w:highlight w:val="none"/>
                <w:u w:val="none" w:color="auto"/>
              </w:rPr>
              <w:t>—靠近围护结构处室</w:t>
            </w:r>
            <w:r>
              <w:rPr>
                <w:rFonts w:hint="default" w:ascii="Times New Roman" w:hAnsi="Times New Roman" w:eastAsia="宋体" w:cs="Times New Roman"/>
                <w:color w:val="auto"/>
                <w:szCs w:val="24"/>
                <w:highlight w:val="none"/>
                <w:u w:val="none" w:color="auto"/>
                <w:lang w:val="en-US" w:eastAsia="zh-CN"/>
              </w:rPr>
              <w:t>内</w:t>
            </w:r>
            <w:r>
              <w:rPr>
                <w:rFonts w:hint="default" w:ascii="Times New Roman" w:hAnsi="Times New Roman" w:eastAsia="宋体" w:cs="Times New Roman"/>
                <w:color w:val="auto"/>
                <w:szCs w:val="24"/>
                <w:highlight w:val="none"/>
                <w:u w:val="none" w:color="auto"/>
              </w:rPr>
              <w:t>N个声源</w:t>
            </w:r>
            <w:r>
              <w:rPr>
                <w:rFonts w:hint="default" w:ascii="Times New Roman" w:hAnsi="Times New Roman" w:eastAsia="宋体" w:cs="Times New Roman"/>
                <w:i/>
                <w:iCs/>
                <w:color w:val="auto"/>
                <w:szCs w:val="24"/>
                <w:highlight w:val="none"/>
                <w:u w:val="none" w:color="auto"/>
              </w:rPr>
              <w:t>i</w:t>
            </w:r>
            <w:r>
              <w:rPr>
                <w:rFonts w:hint="default" w:ascii="Times New Roman" w:hAnsi="Times New Roman" w:eastAsia="宋体" w:cs="Times New Roman"/>
                <w:color w:val="auto"/>
                <w:szCs w:val="24"/>
                <w:highlight w:val="none"/>
                <w:u w:val="none" w:color="auto"/>
              </w:rPr>
              <w:t>倍频带的叠加声压级，dB；</w:t>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i/>
                <w:iCs/>
                <w:color w:val="auto"/>
                <w:szCs w:val="24"/>
                <w:highlight w:val="none"/>
                <w:u w:val="none" w:color="auto"/>
              </w:rPr>
              <w:t>T</w:t>
            </w:r>
            <w:r>
              <w:rPr>
                <w:rFonts w:hint="default" w:ascii="Times New Roman" w:hAnsi="Times New Roman" w:eastAsia="宋体" w:cs="Times New Roman"/>
                <w:i/>
                <w:iCs/>
                <w:color w:val="auto"/>
                <w:szCs w:val="24"/>
                <w:highlight w:val="none"/>
                <w:u w:val="none" w:color="auto"/>
                <w:vertAlign w:val="subscript"/>
              </w:rPr>
              <w:t>L i</w:t>
            </w:r>
            <w:r>
              <w:rPr>
                <w:rFonts w:hint="default" w:ascii="Times New Roman" w:hAnsi="Times New Roman" w:eastAsia="宋体" w:cs="Times New Roman"/>
                <w:i/>
                <w:iCs/>
                <w:color w:val="auto"/>
                <w:szCs w:val="24"/>
                <w:highlight w:val="none"/>
                <w:u w:val="none" w:color="auto"/>
              </w:rPr>
              <w:t xml:space="preserve"> </w:t>
            </w:r>
            <w:r>
              <w:rPr>
                <w:rFonts w:hint="default" w:ascii="Times New Roman" w:hAnsi="Times New Roman" w:eastAsia="宋体" w:cs="Times New Roman"/>
                <w:color w:val="auto"/>
                <w:szCs w:val="24"/>
                <w:highlight w:val="none"/>
                <w:u w:val="none" w:color="auto"/>
              </w:rPr>
              <w:t>—围护结构</w:t>
            </w:r>
            <w:r>
              <w:rPr>
                <w:rFonts w:hint="default" w:ascii="Times New Roman" w:hAnsi="Times New Roman" w:eastAsia="宋体" w:cs="Times New Roman"/>
                <w:i/>
                <w:iCs/>
                <w:color w:val="auto"/>
                <w:szCs w:val="24"/>
                <w:highlight w:val="none"/>
                <w:u w:val="none" w:color="auto"/>
              </w:rPr>
              <w:t xml:space="preserve">i </w:t>
            </w:r>
            <w:r>
              <w:rPr>
                <w:rFonts w:hint="default" w:ascii="Times New Roman" w:hAnsi="Times New Roman" w:eastAsia="宋体" w:cs="Times New Roman"/>
                <w:color w:val="auto"/>
                <w:szCs w:val="24"/>
                <w:highlight w:val="none"/>
                <w:u w:val="none" w:color="auto"/>
              </w:rPr>
              <w:t>倍频带的隔声量，dB。</w:t>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然后按下列公式将室</w:t>
            </w:r>
            <w:r>
              <w:rPr>
                <w:rFonts w:hint="default" w:ascii="Times New Roman" w:hAnsi="Times New Roman" w:eastAsia="宋体" w:cs="Times New Roman"/>
                <w:color w:val="auto"/>
                <w:szCs w:val="24"/>
                <w:highlight w:val="none"/>
                <w:u w:val="none" w:color="auto"/>
                <w:lang w:val="en-US" w:eastAsia="zh-CN"/>
              </w:rPr>
              <w:t>内</w:t>
            </w:r>
            <w:r>
              <w:rPr>
                <w:rFonts w:hint="default" w:ascii="Times New Roman" w:hAnsi="Times New Roman" w:eastAsia="宋体" w:cs="Times New Roman"/>
                <w:color w:val="auto"/>
                <w:szCs w:val="24"/>
                <w:highlight w:val="none"/>
                <w:u w:val="none" w:color="auto"/>
              </w:rPr>
              <w:t>声源的声压级和透过面积换算成等效的室外声源，计算出中心位置位于透声面积（S）处的等效声源的倍频带声功率级。</w:t>
            </w:r>
          </w:p>
          <w:p>
            <w:pPr>
              <w:pStyle w:val="287"/>
              <w:spacing w:after="0" w:line="360" w:lineRule="auto"/>
              <w:jc w:val="center"/>
              <w:rPr>
                <w:rFonts w:hint="default" w:ascii="Times New Roman" w:hAnsi="Times New Roman" w:eastAsia="宋体" w:cs="Times New Roman"/>
                <w:bCs w:val="0"/>
                <w:color w:val="auto"/>
                <w:szCs w:val="24"/>
                <w:highlight w:val="none"/>
                <w:u w:val="none" w:color="auto"/>
              </w:rPr>
            </w:pPr>
            <w:r>
              <w:rPr>
                <w:rFonts w:hint="default" w:ascii="Times New Roman" w:hAnsi="Times New Roman" w:eastAsia="宋体" w:cs="Times New Roman"/>
                <w:snapToGrid/>
                <w:color w:val="auto"/>
                <w:szCs w:val="24"/>
                <w:highlight w:val="none"/>
                <w:u w:val="none" w:color="auto"/>
              </w:rPr>
              <w:drawing>
                <wp:inline distT="0" distB="0" distL="114300" distR="114300">
                  <wp:extent cx="1435100" cy="244475"/>
                  <wp:effectExtent l="0" t="0" r="12700" b="3175"/>
                  <wp:docPr id="150" name="图片 110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11022"/>
                          <pic:cNvPicPr>
                            <a:picLocks noChangeAspect="true"/>
                          </pic:cNvPicPr>
                        </pic:nvPicPr>
                        <pic:blipFill>
                          <a:blip r:embed="rId21"/>
                          <a:stretch>
                            <a:fillRect/>
                          </a:stretch>
                        </pic:blipFill>
                        <pic:spPr>
                          <a:xfrm>
                            <a:off x="0" y="0"/>
                            <a:ext cx="1435100" cy="244475"/>
                          </a:xfrm>
                          <a:prstGeom prst="rect">
                            <a:avLst/>
                          </a:prstGeom>
                          <a:noFill/>
                          <a:ln>
                            <a:noFill/>
                          </a:ln>
                        </pic:spPr>
                      </pic:pic>
                    </a:graphicData>
                  </a:graphic>
                </wp:inline>
              </w:drawing>
            </w:r>
          </w:p>
          <w:p>
            <w:pPr>
              <w:pStyle w:val="287"/>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然后按室外声源预测方法计算预测点处的A声级。</w:t>
            </w:r>
          </w:p>
          <w:p>
            <w:pPr>
              <w:pStyle w:val="16"/>
              <w:ind w:firstLine="48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drawing>
                <wp:inline distT="0" distB="0" distL="114300" distR="114300">
                  <wp:extent cx="3115310" cy="1669415"/>
                  <wp:effectExtent l="0" t="0" r="8890" b="6985"/>
                  <wp:docPr id="151" name="图片 110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1" name="图片 11021"/>
                          <pic:cNvPicPr>
                            <a:picLocks noChangeAspect="true"/>
                          </pic:cNvPicPr>
                        </pic:nvPicPr>
                        <pic:blipFill>
                          <a:blip r:embed="rId22"/>
                          <a:stretch>
                            <a:fillRect/>
                          </a:stretch>
                        </pic:blipFill>
                        <pic:spPr>
                          <a:xfrm>
                            <a:off x="0" y="0"/>
                            <a:ext cx="3115310" cy="1669415"/>
                          </a:xfrm>
                          <a:prstGeom prst="rect">
                            <a:avLst/>
                          </a:prstGeom>
                          <a:noFill/>
                          <a:ln>
                            <a:noFill/>
                          </a:ln>
                        </pic:spPr>
                      </pic:pic>
                    </a:graphicData>
                  </a:graphic>
                </wp:inline>
              </w:drawing>
            </w:r>
          </w:p>
          <w:p>
            <w:pPr>
              <w:pStyle w:val="288"/>
              <w:spacing w:after="120" w:afterLines="50" w:line="240" w:lineRule="auto"/>
              <w:ind w:firstLine="480"/>
              <w:rPr>
                <w:rFonts w:hint="default" w:ascii="Times New Roman" w:hAnsi="Times New Roman" w:eastAsia="宋体" w:cs="Times New Roman"/>
                <w:color w:val="auto"/>
                <w:kern w:val="0"/>
                <w:sz w:val="20"/>
                <w:highlight w:val="none"/>
                <w:u w:val="none" w:color="auto"/>
              </w:rPr>
            </w:pPr>
            <w:r>
              <w:rPr>
                <w:rFonts w:hint="default" w:ascii="Times New Roman" w:hAnsi="Times New Roman" w:eastAsia="宋体" w:cs="Times New Roman"/>
                <w:color w:val="auto"/>
                <w:kern w:val="0"/>
                <w:highlight w:val="none"/>
                <w:u w:val="none" w:color="auto"/>
              </w:rPr>
              <w:t>图4-</w:t>
            </w:r>
            <w:r>
              <w:rPr>
                <w:rFonts w:hint="default" w:ascii="Times New Roman" w:hAnsi="Times New Roman" w:eastAsia="宋体" w:cs="Times New Roman"/>
                <w:color w:val="auto"/>
                <w:kern w:val="0"/>
                <w:highlight w:val="none"/>
                <w:u w:val="none" w:color="auto"/>
                <w:lang w:val="en-US" w:eastAsia="zh-CN"/>
              </w:rPr>
              <w:t>2</w:t>
            </w:r>
            <w:r>
              <w:rPr>
                <w:rFonts w:hint="default" w:ascii="Times New Roman" w:hAnsi="Times New Roman" w:eastAsia="宋体" w:cs="Times New Roman"/>
                <w:color w:val="auto"/>
                <w:kern w:val="0"/>
                <w:highlight w:val="none"/>
                <w:u w:val="none" w:color="auto"/>
              </w:rPr>
              <w:t xml:space="preserve">   室内声源等效为室外声源图例</w:t>
            </w:r>
          </w:p>
          <w:p>
            <w:pPr>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snapToGrid w:val="0"/>
                <w:color w:val="auto"/>
                <w:highlight w:val="none"/>
                <w:u w:val="none" w:color="auto"/>
              </w:rPr>
              <w:fldChar w:fldCharType="begin"/>
            </w:r>
            <w:r>
              <w:rPr>
                <w:rFonts w:hint="default" w:ascii="Times New Roman" w:hAnsi="Times New Roman" w:eastAsia="宋体" w:cs="Times New Roman"/>
                <w:bCs/>
                <w:snapToGrid w:val="0"/>
                <w:color w:val="auto"/>
                <w:highlight w:val="none"/>
                <w:u w:val="none" w:color="auto"/>
              </w:rPr>
              <w:instrText xml:space="preserve"> = 3 \* GB3 </w:instrText>
            </w:r>
            <w:r>
              <w:rPr>
                <w:rFonts w:hint="default" w:ascii="Times New Roman" w:hAnsi="Times New Roman" w:eastAsia="宋体" w:cs="Times New Roman"/>
                <w:bCs/>
                <w:snapToGrid w:val="0"/>
                <w:color w:val="auto"/>
                <w:highlight w:val="none"/>
                <w:u w:val="none" w:color="auto"/>
              </w:rPr>
              <w:fldChar w:fldCharType="separate"/>
            </w:r>
            <w:r>
              <w:rPr>
                <w:rFonts w:hint="default" w:ascii="Times New Roman" w:hAnsi="Times New Roman" w:eastAsia="宋体" w:cs="Times New Roman"/>
                <w:bCs/>
                <w:snapToGrid w:val="0"/>
                <w:color w:val="auto"/>
                <w:highlight w:val="none"/>
                <w:u w:val="none" w:color="auto"/>
              </w:rPr>
              <w:t>③</w:t>
            </w:r>
            <w:r>
              <w:rPr>
                <w:rFonts w:hint="default" w:ascii="Times New Roman" w:hAnsi="Times New Roman" w:eastAsia="宋体" w:cs="Times New Roman"/>
                <w:bCs/>
                <w:snapToGrid w:val="0"/>
                <w:color w:val="auto"/>
                <w:highlight w:val="none"/>
                <w:u w:val="none" w:color="auto"/>
              </w:rPr>
              <w:fldChar w:fldCharType="end"/>
            </w:r>
            <w:r>
              <w:rPr>
                <w:rFonts w:hint="default" w:ascii="Times New Roman" w:hAnsi="Times New Roman" w:eastAsia="宋体" w:cs="Times New Roman"/>
                <w:bCs/>
                <w:color w:val="auto"/>
                <w:highlight w:val="none"/>
                <w:u w:val="none" w:color="auto"/>
              </w:rPr>
              <w:t>室外点声源几何发散衰减</w:t>
            </w:r>
          </w:p>
          <w:p>
            <w:pPr>
              <w:pStyle w:val="287"/>
              <w:snapToGrid w:val="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假定声源位于地面时的声场为半自由声场，则：</w:t>
            </w:r>
          </w:p>
          <w:p>
            <w:pPr>
              <w:pStyle w:val="287"/>
              <w:spacing w:after="0" w:line="360" w:lineRule="auto"/>
              <w:ind w:firstLine="0" w:firstLineChars="0"/>
              <w:jc w:val="center"/>
              <w:rPr>
                <w:rFonts w:hint="default" w:ascii="Times New Roman" w:hAnsi="Times New Roman" w:eastAsia="宋体" w:cs="Times New Roman"/>
                <w:color w:val="auto"/>
                <w:szCs w:val="24"/>
                <w:highlight w:val="none"/>
                <w:u w:val="none" w:color="auto"/>
              </w:rPr>
            </w:pPr>
            <m:oMathPara>
              <m:oMath>
                <m:r>
                  <m:rPr>
                    <m:nor/>
                    <m:sty m:val="p"/>
                  </m:rPr>
                  <w:rPr>
                    <w:rFonts w:hint="default" w:ascii="Cambria Math" w:hAnsi="Cambria Math" w:eastAsia="宋体" w:cs="Times New Roman"/>
                    <w:b w:val="0"/>
                    <w:i w:val="0"/>
                    <w:color w:val="auto"/>
                    <w:szCs w:val="24"/>
                    <w:highlight w:val="none"/>
                    <w:u w:val="none" w:color="auto"/>
                  </w:rPr>
                  <m:t>LA</m:t>
                </m:r>
                <m:d>
                  <m:dPr>
                    <m:ctrlPr>
                      <w:rPr>
                        <w:rFonts w:hint="default" w:ascii="Cambria Math" w:hAnsi="Cambria Math" w:eastAsia="宋体" w:cs="Times New Roman"/>
                        <w:color w:val="auto"/>
                        <w:szCs w:val="24"/>
                        <w:highlight w:val="none"/>
                        <w:u w:val="none" w:color="auto"/>
                      </w:rPr>
                    </m:ctrlPr>
                  </m:dPr>
                  <m:e>
                    <m:r>
                      <m:rPr>
                        <m:nor/>
                        <m:sty m:val="p"/>
                      </m:rPr>
                      <w:rPr>
                        <w:rFonts w:hint="default" w:ascii="Cambria Math" w:hAnsi="Cambria Math" w:eastAsia="宋体" w:cs="Times New Roman"/>
                        <w:b w:val="0"/>
                        <w:i w:val="0"/>
                        <w:color w:val="auto"/>
                        <w:szCs w:val="24"/>
                        <w:highlight w:val="none"/>
                        <w:u w:val="none" w:color="auto"/>
                      </w:rPr>
                      <m:t>r</m:t>
                    </m:r>
                    <m:ctrlPr>
                      <w:rPr>
                        <w:rFonts w:hint="default" w:ascii="Cambria Math" w:hAnsi="Cambria Math" w:eastAsia="宋体" w:cs="Times New Roman"/>
                        <w:color w:val="auto"/>
                        <w:szCs w:val="24"/>
                        <w:highlight w:val="none"/>
                        <w:u w:val="none" w:color="auto"/>
                      </w:rPr>
                    </m:ctrlPr>
                  </m:e>
                </m:d>
                <m:r>
                  <m:rPr>
                    <m:nor/>
                    <m:sty m:val="p"/>
                  </m:rPr>
                  <w:rPr>
                    <w:rFonts w:hint="default" w:ascii="Cambria Math" w:hAnsi="Cambria Math" w:eastAsia="宋体" w:cs="Times New Roman"/>
                    <w:b w:val="0"/>
                    <w:i w:val="0"/>
                    <w:color w:val="auto"/>
                    <w:szCs w:val="24"/>
                    <w:highlight w:val="none"/>
                    <w:u w:val="none" w:color="auto"/>
                  </w:rPr>
                  <m:t>=</m:t>
                </m:r>
                <m:sSub>
                  <m:sSubPr>
                    <m:ctrlPr>
                      <w:rPr>
                        <w:rFonts w:hint="default" w:ascii="Cambria Math" w:hAnsi="Cambria Math" w:eastAsia="宋体" w:cs="Times New Roman"/>
                        <w:color w:val="auto"/>
                        <w:szCs w:val="24"/>
                        <w:highlight w:val="none"/>
                        <w:u w:val="none" w:color="auto"/>
                      </w:rPr>
                    </m:ctrlPr>
                  </m:sSubPr>
                  <m:e>
                    <m:r>
                      <m:rPr>
                        <m:nor/>
                        <m:sty m:val="p"/>
                      </m:rPr>
                      <w:rPr>
                        <w:rFonts w:hint="default" w:ascii="Cambria Math" w:hAnsi="Cambria Math" w:eastAsia="宋体" w:cs="Times New Roman"/>
                        <w:b w:val="0"/>
                        <w:i w:val="0"/>
                        <w:color w:val="auto"/>
                        <w:szCs w:val="24"/>
                        <w:highlight w:val="none"/>
                        <w:u w:val="none" w:color="auto"/>
                      </w:rPr>
                      <m:t>L</m:t>
                    </m:r>
                    <m:ctrlPr>
                      <w:rPr>
                        <w:rFonts w:hint="default" w:ascii="Cambria Math" w:hAnsi="Cambria Math" w:eastAsia="宋体" w:cs="Times New Roman"/>
                        <w:color w:val="auto"/>
                        <w:szCs w:val="24"/>
                        <w:highlight w:val="none"/>
                        <w:u w:val="none" w:color="auto"/>
                      </w:rPr>
                    </m:ctrlPr>
                  </m:e>
                  <m:sub>
                    <m:r>
                      <m:rPr>
                        <m:nor/>
                        <m:sty m:val="p"/>
                      </m:rPr>
                      <w:rPr>
                        <w:rFonts w:hint="default" w:ascii="Cambria Math" w:hAnsi="Cambria Math" w:eastAsia="宋体" w:cs="Times New Roman"/>
                        <w:b w:val="0"/>
                        <w:i w:val="0"/>
                        <w:color w:val="auto"/>
                        <w:szCs w:val="24"/>
                        <w:highlight w:val="none"/>
                        <w:u w:val="none" w:color="auto"/>
                      </w:rPr>
                      <m:t>WA</m:t>
                    </m:r>
                    <m:ctrlPr>
                      <w:rPr>
                        <w:rFonts w:hint="default" w:ascii="Cambria Math" w:hAnsi="Cambria Math" w:eastAsia="宋体" w:cs="Times New Roman"/>
                        <w:color w:val="auto"/>
                        <w:szCs w:val="24"/>
                        <w:highlight w:val="none"/>
                        <w:u w:val="none" w:color="auto"/>
                      </w:rPr>
                    </m:ctrlPr>
                  </m:sub>
                </m:sSub>
                <m:r>
                  <m:rPr>
                    <m:nor/>
                    <m:sty m:val="p"/>
                  </m:rPr>
                  <w:rPr>
                    <w:rFonts w:hint="default" w:ascii="Cambria Math" w:hAnsi="Cambria Math" w:eastAsia="宋体" w:cs="Times New Roman"/>
                    <w:b w:val="0"/>
                    <w:i w:val="0"/>
                    <w:color w:val="auto"/>
                    <w:szCs w:val="24"/>
                    <w:highlight w:val="none"/>
                    <w:u w:val="none" w:color="auto"/>
                  </w:rPr>
                  <m:t>-20</m:t>
                </m:r>
                <m:func>
                  <m:funcPr>
                    <m:ctrlPr>
                      <w:rPr>
                        <w:rFonts w:hint="default" w:ascii="Cambria Math" w:hAnsi="Cambria Math" w:eastAsia="宋体" w:cs="Times New Roman"/>
                        <w:color w:val="auto"/>
                        <w:szCs w:val="24"/>
                        <w:highlight w:val="none"/>
                        <w:u w:val="none" w:color="auto"/>
                      </w:rPr>
                    </m:ctrlPr>
                  </m:funcPr>
                  <m:fName>
                    <m:r>
                      <m:rPr>
                        <m:nor/>
                        <m:sty m:val="p"/>
                      </m:rPr>
                      <w:rPr>
                        <w:rFonts w:hint="default" w:ascii="Cambria Math" w:hAnsi="Cambria Math" w:eastAsia="宋体" w:cs="Times New Roman"/>
                        <w:b w:val="0"/>
                        <w:i w:val="0"/>
                        <w:color w:val="auto"/>
                        <w:szCs w:val="24"/>
                        <w:highlight w:val="none"/>
                        <w:u w:val="none" w:color="auto"/>
                      </w:rPr>
                      <m:t>lg</m:t>
                    </m:r>
                    <m:ctrlPr>
                      <w:rPr>
                        <w:rFonts w:hint="default" w:ascii="Cambria Math" w:hAnsi="Cambria Math" w:eastAsia="宋体" w:cs="Times New Roman"/>
                        <w:color w:val="auto"/>
                        <w:szCs w:val="24"/>
                        <w:highlight w:val="none"/>
                        <w:u w:val="none" w:color="auto"/>
                      </w:rPr>
                    </m:ctrlPr>
                  </m:fName>
                  <m:e>
                    <m:d>
                      <m:dPr>
                        <m:ctrlPr>
                          <w:rPr>
                            <w:rFonts w:hint="default" w:ascii="Cambria Math" w:hAnsi="Cambria Math" w:eastAsia="宋体" w:cs="Times New Roman"/>
                            <w:color w:val="auto"/>
                            <w:szCs w:val="24"/>
                            <w:highlight w:val="none"/>
                            <w:u w:val="none" w:color="auto"/>
                          </w:rPr>
                        </m:ctrlPr>
                      </m:dPr>
                      <m:e>
                        <m:r>
                          <m:rPr>
                            <m:nor/>
                            <m:sty m:val="p"/>
                          </m:rPr>
                          <w:rPr>
                            <w:rFonts w:hint="default" w:ascii="Cambria Math" w:hAnsi="Cambria Math" w:eastAsia="宋体" w:cs="Times New Roman"/>
                            <w:b w:val="0"/>
                            <w:i w:val="0"/>
                            <w:color w:val="auto"/>
                            <w:szCs w:val="24"/>
                            <w:highlight w:val="none"/>
                            <w:u w:val="none" w:color="auto"/>
                          </w:rPr>
                          <m:t>r</m:t>
                        </m:r>
                        <m:ctrlPr>
                          <w:rPr>
                            <w:rFonts w:hint="default" w:ascii="Cambria Math" w:hAnsi="Cambria Math" w:eastAsia="宋体" w:cs="Times New Roman"/>
                            <w:color w:val="auto"/>
                            <w:szCs w:val="24"/>
                            <w:highlight w:val="none"/>
                            <w:u w:val="none" w:color="auto"/>
                          </w:rPr>
                        </m:ctrlPr>
                      </m:e>
                    </m:d>
                    <m:ctrlPr>
                      <w:rPr>
                        <w:rFonts w:hint="default" w:ascii="Cambria Math" w:hAnsi="Cambria Math" w:eastAsia="宋体" w:cs="Times New Roman"/>
                        <w:i/>
                        <w:color w:val="auto"/>
                        <w:szCs w:val="24"/>
                        <w:highlight w:val="none"/>
                        <w:u w:val="none" w:color="auto"/>
                      </w:rPr>
                    </m:ctrlPr>
                  </m:e>
                </m:func>
                <m:r>
                  <m:rPr>
                    <m:nor/>
                    <m:sty m:val="p"/>
                  </m:rPr>
                  <w:rPr>
                    <w:rFonts w:hint="default" w:ascii="Cambria Math" w:hAnsi="Cambria Math" w:eastAsia="宋体" w:cs="Times New Roman"/>
                    <w:b w:val="0"/>
                    <w:i w:val="0"/>
                    <w:color w:val="auto"/>
                    <w:szCs w:val="24"/>
                    <w:highlight w:val="none"/>
                    <w:u w:val="none" w:color="auto"/>
                  </w:rPr>
                  <m:t>-8</m:t>
                </m:r>
              </m:oMath>
            </m:oMathPara>
          </w:p>
          <w:p>
            <w:pPr>
              <w:pStyle w:val="27"/>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4 \* GB3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④</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t>噪声叠加计算模式</w:t>
            </w:r>
          </w:p>
          <w:p>
            <w:pPr>
              <w:pStyle w:val="27"/>
              <w:spacing w:line="360" w:lineRule="auto"/>
              <w:ind w:firstLine="48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position w:val="-30"/>
                <w:sz w:val="24"/>
                <w:szCs w:val="24"/>
                <w:highlight w:val="none"/>
                <w:u w:val="none" w:color="auto"/>
              </w:rPr>
              <w:object>
                <v:shape id="_x0000_i1025" o:spt="75" type="#_x0000_t75" style="height:36pt;width:88.75pt;" o:ole="t" fillcolor="#6D6D6D"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pPr>
              <w:pStyle w:val="27"/>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式中：L：噪声叠加后噪声值dB(A)；</w:t>
            </w:r>
          </w:p>
          <w:p>
            <w:pPr>
              <w:pStyle w:val="27"/>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L</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：第i个噪声值，dB(A)。</w:t>
            </w:r>
          </w:p>
          <w:p>
            <w:pPr>
              <w:adjustRightInd w:val="0"/>
              <w:snapToGrid w:val="0"/>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根据项目总体平面布置，通过上述公式进行计算，对该项目各噪声源对厂界的影响进行分析。</w:t>
            </w:r>
          </w:p>
          <w:p>
            <w:pPr>
              <w:adjustRightInd w:val="0"/>
              <w:snapToGrid w:val="0"/>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表4-</w:t>
            </w:r>
            <w:r>
              <w:rPr>
                <w:rFonts w:hint="default" w:ascii="Times New Roman" w:hAnsi="Times New Roman" w:cs="Times New Roman"/>
                <w:b/>
                <w:color w:val="auto"/>
                <w:sz w:val="21"/>
                <w:szCs w:val="21"/>
                <w:highlight w:val="none"/>
                <w:u w:val="none" w:color="auto"/>
                <w:lang w:val="en-US" w:eastAsia="zh-CN"/>
              </w:rPr>
              <w:t>9</w:t>
            </w:r>
            <w:r>
              <w:rPr>
                <w:rFonts w:hint="default" w:ascii="Times New Roman" w:hAnsi="Times New Roman" w:eastAsia="宋体" w:cs="Times New Roman"/>
                <w:b/>
                <w:color w:val="auto"/>
                <w:sz w:val="21"/>
                <w:szCs w:val="21"/>
                <w:highlight w:val="none"/>
                <w:u w:val="none" w:color="auto"/>
              </w:rPr>
              <w:t xml:space="preserve"> 项目厂界噪声影响预测结果 dB（A）</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169"/>
              <w:gridCol w:w="2102"/>
              <w:gridCol w:w="1579"/>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tcBorders>
                    <w:left w:val="single" w:color="auto" w:sz="0" w:space="0"/>
                  </w:tcBorders>
                  <w:vAlign w:val="center"/>
                </w:tcPr>
                <w:p>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评价点</w:t>
                  </w:r>
                </w:p>
              </w:tc>
              <w:tc>
                <w:tcPr>
                  <w:tcW w:w="730" w:type="pct"/>
                  <w:vAlign w:val="center"/>
                </w:tcPr>
                <w:p>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时段</w:t>
                  </w:r>
                </w:p>
              </w:tc>
              <w:tc>
                <w:tcPr>
                  <w:tcW w:w="1313" w:type="pct"/>
                  <w:vAlign w:val="center"/>
                </w:tcPr>
                <w:p>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贡献值昼/夜间</w:t>
                  </w:r>
                </w:p>
              </w:tc>
              <w:tc>
                <w:tcPr>
                  <w:tcW w:w="986" w:type="pct"/>
                  <w:vAlign w:val="center"/>
                </w:tcPr>
                <w:p>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标准限值</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restart"/>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厂界东侧</w:t>
                  </w: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昼间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34.8</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continue"/>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夜间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34.8</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restart"/>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厂界南侧</w:t>
                  </w: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昼间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31.3</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continue"/>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夜间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31.3</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restart"/>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厂界西侧</w:t>
                  </w: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昼间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37</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continue"/>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夜间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37</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restart"/>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厂界北侧</w:t>
                  </w: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昼间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37</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3" w:type="pct"/>
                  <w:vMerge w:val="continue"/>
                  <w:tcBorders>
                    <w:left w:val="single" w:color="auto" w:sz="4"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p>
              </w:tc>
              <w:tc>
                <w:tcPr>
                  <w:tcW w:w="730"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夜间</w:t>
                  </w:r>
                </w:p>
              </w:tc>
              <w:tc>
                <w:tcPr>
                  <w:tcW w:w="1313"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37</w:t>
                  </w:r>
                </w:p>
              </w:tc>
              <w:tc>
                <w:tcPr>
                  <w:tcW w:w="986" w:type="pct"/>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55</w:t>
                  </w:r>
                </w:p>
              </w:tc>
              <w:tc>
                <w:tcPr>
                  <w:tcW w:w="986" w:type="pct"/>
                  <w:tcBorders>
                    <w:right w:val="single" w:color="auto" w:sz="12" w:space="0"/>
                  </w:tcBorders>
                  <w:vAlign w:val="center"/>
                </w:tcPr>
                <w:p>
                  <w:pPr>
                    <w:adjustRightInd w:val="0"/>
                    <w:snapToGrid w:val="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达标</w:t>
                  </w:r>
                </w:p>
              </w:tc>
            </w:tr>
          </w:tbl>
          <w:p>
            <w:pPr>
              <w:spacing w:line="360" w:lineRule="auto"/>
              <w:ind w:firstLine="480" w:firstLineChars="200"/>
              <w:rPr>
                <w:rStyle w:val="68"/>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color w:val="auto"/>
                <w:highlight w:val="none"/>
                <w:u w:val="none" w:color="auto"/>
              </w:rPr>
              <w:t>由上述预测结果表明，通过优化工程总平面布置，采取选用低噪设备、合理布置噪声源、厂房隔声降噪，并对高产噪设备采取减振、隔声</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en-US" w:eastAsia="zh-CN"/>
              </w:rPr>
              <w:t>吸声、消音、风机风管软连接</w:t>
            </w:r>
            <w:r>
              <w:rPr>
                <w:rFonts w:hint="default" w:ascii="Times New Roman" w:hAnsi="Times New Roman" w:eastAsia="宋体" w:cs="Times New Roman"/>
                <w:color w:val="auto"/>
                <w:highlight w:val="none"/>
                <w:u w:val="none" w:color="auto"/>
              </w:rPr>
              <w:t>等合理有效的治理措施及距离衰减后，项目厂界噪声能够满足《工业企业厂界环境噪声排放标准》（GB12348-2008）3类标准，项目噪声对外界环境影响较小</w:t>
            </w:r>
            <w:r>
              <w:rPr>
                <w:rStyle w:val="68"/>
                <w:rFonts w:hint="default" w:ascii="Times New Roman" w:hAnsi="Times New Roman" w:eastAsia="宋体" w:cs="Times New Roman"/>
                <w:b w:val="0"/>
                <w:bCs w:val="0"/>
                <w:color w:val="auto"/>
                <w:sz w:val="24"/>
                <w:szCs w:val="24"/>
                <w:highlight w:val="none"/>
                <w:u w:val="none" w:color="auto"/>
              </w:rPr>
              <w:t>。</w:t>
            </w:r>
          </w:p>
          <w:p>
            <w:pPr>
              <w:keepNext w:val="0"/>
              <w:keepLines w:val="0"/>
              <w:pageBreakBefore w:val="0"/>
              <w:widowControl w:val="0"/>
              <w:kinsoku/>
              <w:wordWrap/>
              <w:overflowPunct/>
              <w:topLinePunct w:val="0"/>
              <w:autoSpaceDE/>
              <w:autoSpaceDN/>
              <w:bidi w:val="0"/>
              <w:adjustRightInd/>
              <w:snapToGrid w:val="0"/>
              <w:spacing w:line="360" w:lineRule="auto"/>
              <w:ind w:firstLine="481" w:firstLineChars="200"/>
              <w:textAlignment w:val="auto"/>
              <w:rPr>
                <w:rStyle w:val="68"/>
                <w:rFonts w:hint="default" w:ascii="Times New Roman" w:hAnsi="Times New Roman" w:eastAsia="宋体" w:cs="Times New Roman"/>
                <w:bCs w:val="0"/>
                <w:color w:val="auto"/>
                <w:sz w:val="24"/>
                <w:szCs w:val="24"/>
                <w:highlight w:val="none"/>
                <w:u w:val="none" w:color="auto"/>
              </w:rPr>
            </w:pPr>
            <w:r>
              <w:rPr>
                <w:rStyle w:val="68"/>
                <w:rFonts w:hint="default" w:ascii="Times New Roman" w:hAnsi="Times New Roman" w:eastAsia="宋体" w:cs="Times New Roman"/>
                <w:bCs w:val="0"/>
                <w:color w:val="auto"/>
                <w:sz w:val="24"/>
                <w:szCs w:val="24"/>
                <w:highlight w:val="none"/>
                <w:u w:val="none" w:color="auto"/>
              </w:rPr>
              <w:t>四、固体废物</w:t>
            </w:r>
          </w:p>
          <w:p>
            <w:pPr>
              <w:keepNext w:val="0"/>
              <w:keepLines w:val="0"/>
              <w:pageBreakBefore w:val="0"/>
              <w:widowControl w:val="0"/>
              <w:kinsoku/>
              <w:wordWrap/>
              <w:overflowPunct/>
              <w:topLinePunct w:val="0"/>
              <w:autoSpaceDE/>
              <w:autoSpaceDN/>
              <w:bidi w:val="0"/>
              <w:adjustRightInd/>
              <w:snapToGrid w:val="0"/>
              <w:spacing w:line="360" w:lineRule="auto"/>
              <w:ind w:firstLine="481" w:firstLineChars="200"/>
              <w:textAlignment w:val="auto"/>
              <w:rPr>
                <w:rStyle w:val="68"/>
                <w:rFonts w:hint="default" w:ascii="Times New Roman" w:hAnsi="Times New Roman" w:eastAsia="宋体" w:cs="Times New Roman"/>
                <w:bCs w:val="0"/>
                <w:color w:val="auto"/>
                <w:sz w:val="24"/>
                <w:szCs w:val="24"/>
                <w:highlight w:val="none"/>
                <w:u w:val="none" w:color="auto"/>
              </w:rPr>
            </w:pPr>
            <w:bookmarkStart w:id="17" w:name="OLE_LINK7"/>
            <w:r>
              <w:rPr>
                <w:rStyle w:val="68"/>
                <w:rFonts w:hint="default" w:ascii="Times New Roman" w:hAnsi="Times New Roman" w:eastAsia="宋体" w:cs="Times New Roman"/>
                <w:bCs w:val="0"/>
                <w:color w:val="auto"/>
                <w:sz w:val="24"/>
                <w:szCs w:val="24"/>
                <w:highlight w:val="none"/>
                <w:u w:val="none" w:color="auto"/>
              </w:rPr>
              <w:t>1、固体废物产生情况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Style w:val="68"/>
                <w:rFonts w:hint="default" w:ascii="Times New Roman" w:hAnsi="Times New Roman" w:eastAsia="宋体" w:cs="Times New Roman"/>
                <w:b w:val="0"/>
                <w:color w:val="auto"/>
                <w:sz w:val="24"/>
                <w:szCs w:val="24"/>
                <w:highlight w:val="none"/>
                <w:u w:val="none" w:color="auto"/>
              </w:rPr>
            </w:pPr>
            <w:r>
              <w:rPr>
                <w:rFonts w:hint="default" w:ascii="Times New Roman" w:hAnsi="Times New Roman" w:eastAsia="宋体" w:cs="Times New Roman"/>
                <w:bCs/>
                <w:color w:val="auto"/>
                <w:highlight w:val="none"/>
                <w:u w:val="none" w:color="auto"/>
              </w:rPr>
              <w:t>本项目营运过程中，产生的固体废物为废塑料分选杂质、</w:t>
            </w:r>
            <w:r>
              <w:rPr>
                <w:rFonts w:hint="default" w:ascii="Times New Roman" w:hAnsi="Times New Roman" w:cs="Times New Roman"/>
                <w:bCs/>
                <w:color w:val="auto"/>
                <w:highlight w:val="none"/>
                <w:u w:val="none" w:color="auto"/>
                <w:lang w:val="en-US" w:eastAsia="zh-CN"/>
              </w:rPr>
              <w:t>沉淀池污泥、废弃包装物、废矿物油及生活垃圾</w:t>
            </w:r>
            <w:r>
              <w:rPr>
                <w:rFonts w:hint="default" w:ascii="Times New Roman" w:hAnsi="Times New Roman" w:eastAsia="宋体" w:cs="Times New Roman"/>
                <w:bCs/>
                <w:color w:val="auto"/>
                <w:highlight w:val="none"/>
                <w:u w:val="none" w:color="auto"/>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（1）一般工业固体废物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①分选杂质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本项目采购的回收废塑料部分从工厂回收的废塑料边角料需要经过分选归类才能进一步加工，分选过程中会产生少量的橡胶、品质较差塑料等杂质分选废料，根据业主提供资料</w:t>
            </w:r>
            <w:r>
              <w:rPr>
                <w:rFonts w:hint="default" w:ascii="Times New Roman" w:hAnsi="Times New Roman" w:cs="Times New Roman"/>
                <w:color w:val="auto"/>
                <w:highlight w:val="none"/>
                <w:u w:val="none" w:color="auto"/>
                <w:lang w:val="en-US" w:eastAsia="zh-CN"/>
              </w:rPr>
              <w:t>及物料平衡</w:t>
            </w: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single" w:color="auto"/>
              </w:rPr>
              <w:t>项目分选杂质产生量为17984.306t/a</w:t>
            </w:r>
            <w:r>
              <w:rPr>
                <w:rFonts w:hint="default" w:ascii="Times New Roman" w:hAnsi="Times New Roman" w:eastAsia="宋体" w:cs="Times New Roman"/>
                <w:color w:val="auto"/>
                <w:highlight w:val="none"/>
                <w:u w:val="none" w:color="auto"/>
              </w:rPr>
              <w:t>，经分类收集后外售综合利用。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highlight w:val="none"/>
                <w:u w:val="single" w:color="auto"/>
              </w:rPr>
              <w:t>②</w:t>
            </w:r>
            <w:r>
              <w:rPr>
                <w:rFonts w:hint="default" w:ascii="Times New Roman" w:hAnsi="Times New Roman" w:cs="Times New Roman"/>
                <w:color w:val="auto"/>
                <w:highlight w:val="none"/>
                <w:u w:val="single" w:color="auto"/>
                <w:lang w:val="en-US" w:eastAsia="zh-CN"/>
              </w:rPr>
              <w:t>沉淀池污泥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val="en-US" w:eastAsia="zh-CN"/>
              </w:rPr>
              <w:t>本项目原辅材料不涉及危险废物、危险化学品等，生产过程中会有部分塑料碎屑、金属碎屑随废水进入废水处理设施，经分选后成为产品，沉淀池污泥主要为原料中夹带的泥沙，根据废水污染源强核算及物料平衡，沉淀池沉渣产生量为20.83t/a，为一般工业固废。</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③废弃包装物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项目运行过程中会产生少量的包装垃圾，产生量约为2t/a，收集后外售至废品回收站。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④废矿物油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项目机器维修产生的废矿物油，其产生量约为0.05t/a，</w:t>
            </w:r>
            <w:r>
              <w:rPr>
                <w:rFonts w:hint="default" w:ascii="Times New Roman" w:hAnsi="Times New Roman" w:eastAsia="宋体" w:cs="Times New Roman"/>
                <w:color w:val="auto"/>
                <w:highlight w:val="none"/>
                <w:u w:val="none" w:color="auto"/>
                <w:lang w:eastAsia="zh-CN"/>
              </w:rPr>
              <w:t>废矿物油</w:t>
            </w:r>
            <w:r>
              <w:rPr>
                <w:rFonts w:hint="default" w:ascii="Times New Roman" w:hAnsi="Times New Roman" w:eastAsia="宋体" w:cs="Times New Roman"/>
                <w:color w:val="auto"/>
                <w:highlight w:val="none"/>
                <w:u w:val="none" w:color="auto"/>
              </w:rPr>
              <w:t>属于危险废物，暂存于专门容器内，定期委托有关单位定期处理。根据《国家危险废物名录》（2021年），废矿物油分类编号为HW08废矿物油与含矿物油废物，危废代码900-249-08其他生产、销售、使用过程中产生的废矿物油及沾染矿物油的废弃包装物。</w:t>
            </w:r>
            <w:r>
              <w:rPr>
                <w:rFonts w:hint="default" w:ascii="Times New Roman" w:hAnsi="Times New Roman" w:cs="Times New Roman"/>
                <w:color w:val="auto"/>
                <w:highlight w:val="none"/>
                <w:u w:val="none" w:color="auto"/>
                <w:lang w:val="en-US" w:eastAsia="zh-CN"/>
              </w:rPr>
              <w:t>收集后暂存于危险废物暂存间后交由有资质的单位处置。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⑤生活垃圾</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项目员工</w:t>
            </w:r>
            <w:r>
              <w:rPr>
                <w:rFonts w:hint="default" w:ascii="Times New Roman" w:hAnsi="Times New Roman" w:eastAsia="宋体" w:cs="Times New Roman"/>
                <w:color w:val="auto"/>
                <w:highlight w:val="none"/>
                <w:u w:val="none" w:color="auto"/>
                <w:lang w:val="en-US" w:eastAsia="zh-CN"/>
              </w:rPr>
              <w:t>20</w:t>
            </w:r>
            <w:r>
              <w:rPr>
                <w:rFonts w:hint="default" w:ascii="Times New Roman" w:hAnsi="Times New Roman" w:eastAsia="宋体" w:cs="Times New Roman"/>
                <w:color w:val="auto"/>
                <w:highlight w:val="none"/>
                <w:u w:val="none" w:color="auto"/>
              </w:rPr>
              <w:t>人，生活垃圾产生量按</w:t>
            </w:r>
            <w:r>
              <w:rPr>
                <w:rFonts w:hint="default" w:ascii="Times New Roman" w:hAnsi="Times New Roman" w:eastAsia="宋体" w:cs="Times New Roman"/>
                <w:color w:val="auto"/>
                <w:highlight w:val="none"/>
                <w:u w:val="none" w:color="auto"/>
                <w:lang w:val="en-US" w:eastAsia="zh-CN"/>
              </w:rPr>
              <w:t>0.5</w:t>
            </w:r>
            <w:r>
              <w:rPr>
                <w:rFonts w:hint="default" w:ascii="Times New Roman" w:hAnsi="Times New Roman" w:eastAsia="宋体" w:cs="Times New Roman"/>
                <w:color w:val="auto"/>
                <w:highlight w:val="none"/>
                <w:u w:val="none" w:color="auto"/>
              </w:rPr>
              <w:t>kg/d人计，生活垃圾产量约为</w:t>
            </w:r>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t/a，办公生活垃圾收集后由园区环卫部门统一清运。</w:t>
            </w:r>
          </w:p>
          <w:bookmarkEnd w:id="17"/>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固体废物的统计及处置情况见表4-</w:t>
            </w:r>
            <w:r>
              <w:rPr>
                <w:rFonts w:hint="default" w:ascii="Times New Roman" w:hAnsi="Times New Roman" w:cs="Times New Roman"/>
                <w:color w:val="auto"/>
                <w:highlight w:val="none"/>
                <w:u w:val="none" w:color="auto"/>
                <w:lang w:val="en-US" w:eastAsia="zh-CN"/>
              </w:rPr>
              <w:t>10</w:t>
            </w:r>
            <w:r>
              <w:rPr>
                <w:rFonts w:hint="default" w:ascii="Times New Roman" w:hAnsi="Times New Roman" w:eastAsia="宋体" w:cs="Times New Roman"/>
                <w:color w:val="auto"/>
                <w:highlight w:val="none"/>
                <w:u w:val="none" w:color="auto"/>
              </w:rPr>
              <w:t>。</w:t>
            </w:r>
          </w:p>
          <w:p>
            <w:pPr>
              <w:pStyle w:val="259"/>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表4-</w:t>
            </w:r>
            <w:r>
              <w:rPr>
                <w:rFonts w:hint="default" w:ascii="Times New Roman" w:hAnsi="Times New Roman" w:cs="Times New Roman"/>
                <w:color w:val="auto"/>
                <w:sz w:val="21"/>
                <w:szCs w:val="21"/>
                <w:highlight w:val="none"/>
                <w:u w:val="single" w:color="auto"/>
                <w:lang w:val="en-US" w:eastAsia="zh-CN"/>
              </w:rPr>
              <w:t>10</w:t>
            </w:r>
            <w:r>
              <w:rPr>
                <w:rFonts w:hint="default" w:ascii="Times New Roman" w:hAnsi="Times New Roman" w:eastAsia="宋体" w:cs="Times New Roman"/>
                <w:color w:val="auto"/>
                <w:sz w:val="21"/>
                <w:szCs w:val="21"/>
                <w:highlight w:val="none"/>
                <w:u w:val="single" w:color="auto"/>
              </w:rPr>
              <w:t xml:space="preserve"> 项目固废产生处置情况表</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19"/>
              <w:gridCol w:w="1452"/>
              <w:gridCol w:w="2623"/>
              <w:gridCol w:w="2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序号</w:t>
                  </w:r>
                </w:p>
              </w:tc>
              <w:tc>
                <w:tcPr>
                  <w:tcW w:w="764"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类别</w:t>
                  </w:r>
                </w:p>
              </w:tc>
              <w:tc>
                <w:tcPr>
                  <w:tcW w:w="910"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产生量（t/a）</w:t>
                  </w:r>
                </w:p>
              </w:tc>
              <w:tc>
                <w:tcPr>
                  <w:tcW w:w="1644"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废物属性</w:t>
                  </w:r>
                </w:p>
              </w:tc>
              <w:tc>
                <w:tcPr>
                  <w:tcW w:w="1257"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764"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生活垃圾</w:t>
                  </w:r>
                </w:p>
              </w:tc>
              <w:tc>
                <w:tcPr>
                  <w:tcW w:w="910"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3</w:t>
                  </w:r>
                </w:p>
              </w:tc>
              <w:tc>
                <w:tcPr>
                  <w:tcW w:w="1644"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一般固废</w:t>
                  </w:r>
                </w:p>
              </w:tc>
              <w:tc>
                <w:tcPr>
                  <w:tcW w:w="1257"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交由环卫部门处理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w:t>
                  </w:r>
                </w:p>
              </w:tc>
              <w:tc>
                <w:tcPr>
                  <w:tcW w:w="76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kern w:val="2"/>
                      <w:sz w:val="21"/>
                      <w:szCs w:val="21"/>
                      <w:highlight w:val="none"/>
                      <w:u w:val="single" w:color="auto"/>
                    </w:rPr>
                    <w:t>分选杂质</w:t>
                  </w:r>
                </w:p>
              </w:tc>
              <w:tc>
                <w:tcPr>
                  <w:tcW w:w="910"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val="en-US"/>
                    </w:rPr>
                  </w:pPr>
                  <w:r>
                    <w:rPr>
                      <w:rFonts w:hint="default" w:ascii="Times New Roman" w:hAnsi="Times New Roman" w:eastAsia="宋体" w:cs="Times New Roman"/>
                      <w:color w:val="auto"/>
                      <w:kern w:val="2"/>
                      <w:sz w:val="21"/>
                      <w:szCs w:val="21"/>
                      <w:highlight w:val="none"/>
                      <w:u w:val="single" w:color="auto"/>
                      <w:lang w:val="en-US"/>
                    </w:rPr>
                    <w:t>17984.306</w:t>
                  </w:r>
                </w:p>
              </w:tc>
              <w:tc>
                <w:tcPr>
                  <w:tcW w:w="164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一般固废，编号为900-006-S17</w:t>
                  </w:r>
                </w:p>
              </w:tc>
              <w:tc>
                <w:tcPr>
                  <w:tcW w:w="1257"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3</w:t>
                  </w:r>
                </w:p>
              </w:tc>
              <w:tc>
                <w:tcPr>
                  <w:tcW w:w="76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cs="Times New Roman"/>
                      <w:color w:val="auto"/>
                      <w:kern w:val="2"/>
                      <w:sz w:val="21"/>
                      <w:szCs w:val="21"/>
                      <w:highlight w:val="none"/>
                      <w:u w:val="single" w:color="auto"/>
                      <w:lang w:val="en-US" w:eastAsia="zh-CN"/>
                    </w:rPr>
                    <w:t>沉淀污泥</w:t>
                  </w:r>
                </w:p>
              </w:tc>
              <w:tc>
                <w:tcPr>
                  <w:tcW w:w="910"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val="en-US"/>
                    </w:rPr>
                  </w:pPr>
                  <w:r>
                    <w:rPr>
                      <w:rFonts w:hint="default" w:ascii="Times New Roman" w:hAnsi="Times New Roman" w:cs="Times New Roman"/>
                      <w:color w:val="auto"/>
                      <w:kern w:val="2"/>
                      <w:sz w:val="21"/>
                      <w:szCs w:val="21"/>
                      <w:highlight w:val="none"/>
                      <w:u w:val="single" w:color="auto"/>
                      <w:lang w:val="en-US" w:eastAsia="zh-CN"/>
                    </w:rPr>
                    <w:t>20.83</w:t>
                  </w:r>
                </w:p>
              </w:tc>
              <w:tc>
                <w:tcPr>
                  <w:tcW w:w="164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一般固废，编号为900-099-S07</w:t>
                  </w:r>
                </w:p>
              </w:tc>
              <w:tc>
                <w:tcPr>
                  <w:tcW w:w="1257"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交由</w:t>
                  </w:r>
                  <w:r>
                    <w:rPr>
                      <w:rFonts w:hint="default" w:ascii="Times New Roman" w:hAnsi="Times New Roman" w:cs="Times New Roman"/>
                      <w:color w:val="auto"/>
                      <w:sz w:val="21"/>
                      <w:szCs w:val="21"/>
                      <w:highlight w:val="none"/>
                      <w:u w:val="single" w:color="auto"/>
                      <w:lang w:val="en-US" w:eastAsia="zh-CN"/>
                    </w:rPr>
                    <w:t>一般固废处置单位进行综合利用或填埋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4</w:t>
                  </w:r>
                </w:p>
              </w:tc>
              <w:tc>
                <w:tcPr>
                  <w:tcW w:w="76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val="en-US" w:eastAsia="zh-CN"/>
                    </w:rPr>
                  </w:pPr>
                  <w:r>
                    <w:rPr>
                      <w:rFonts w:hint="default" w:ascii="Times New Roman" w:hAnsi="Times New Roman" w:cs="Times New Roman"/>
                      <w:color w:val="auto"/>
                      <w:kern w:val="2"/>
                      <w:sz w:val="21"/>
                      <w:szCs w:val="21"/>
                      <w:highlight w:val="none"/>
                      <w:u w:val="single" w:color="auto"/>
                      <w:lang w:val="en-US" w:eastAsia="zh-CN"/>
                    </w:rPr>
                    <w:t>废弃包装物</w:t>
                  </w:r>
                </w:p>
              </w:tc>
              <w:tc>
                <w:tcPr>
                  <w:tcW w:w="910"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2</w:t>
                  </w:r>
                </w:p>
              </w:tc>
              <w:tc>
                <w:tcPr>
                  <w:tcW w:w="164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一般固废，编号为</w:t>
                  </w:r>
                  <w:r>
                    <w:rPr>
                      <w:rFonts w:hint="default" w:ascii="Times New Roman" w:hAnsi="Times New Roman" w:cs="Times New Roman"/>
                      <w:color w:val="auto"/>
                      <w:sz w:val="21"/>
                      <w:szCs w:val="21"/>
                      <w:highlight w:val="none"/>
                      <w:u w:val="single" w:color="auto"/>
                      <w:lang w:val="en-US" w:eastAsia="zh-CN"/>
                    </w:rPr>
                    <w:t>9</w:t>
                  </w:r>
                  <w:r>
                    <w:rPr>
                      <w:rFonts w:hint="default" w:ascii="Times New Roman" w:hAnsi="Times New Roman" w:eastAsia="宋体" w:cs="Times New Roman"/>
                      <w:color w:val="auto"/>
                      <w:sz w:val="21"/>
                      <w:szCs w:val="21"/>
                      <w:highlight w:val="none"/>
                      <w:u w:val="single" w:color="auto"/>
                    </w:rPr>
                    <w:t>00-003-S17</w:t>
                  </w:r>
                </w:p>
              </w:tc>
              <w:tc>
                <w:tcPr>
                  <w:tcW w:w="1257"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5</w:t>
                  </w:r>
                </w:p>
              </w:tc>
              <w:tc>
                <w:tcPr>
                  <w:tcW w:w="764"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cs="Times New Roman"/>
                      <w:color w:val="auto"/>
                      <w:kern w:val="2"/>
                      <w:sz w:val="21"/>
                      <w:szCs w:val="21"/>
                      <w:highlight w:val="none"/>
                      <w:u w:val="single" w:color="auto"/>
                      <w:lang w:val="en-US" w:eastAsia="zh-CN"/>
                    </w:rPr>
                    <w:t>废矿物油</w:t>
                  </w:r>
                </w:p>
              </w:tc>
              <w:tc>
                <w:tcPr>
                  <w:tcW w:w="910"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0.05</w:t>
                  </w:r>
                </w:p>
              </w:tc>
              <w:tc>
                <w:tcPr>
                  <w:tcW w:w="1644" w:type="pct"/>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危险废物</w:t>
                  </w:r>
                  <w:r>
                    <w:rPr>
                      <w:rFonts w:hint="default" w:ascii="Times New Roman" w:hAnsi="Times New Roman" w:eastAsia="宋体" w:cs="Times New Roman"/>
                      <w:color w:val="auto"/>
                      <w:sz w:val="21"/>
                      <w:szCs w:val="21"/>
                      <w:highlight w:val="none"/>
                      <w:u w:val="single" w:color="auto"/>
                    </w:rPr>
                    <w:t>，编号为</w:t>
                  </w:r>
                  <w:r>
                    <w:rPr>
                      <w:rFonts w:hint="default" w:ascii="Times New Roman" w:hAnsi="Times New Roman" w:eastAsia="宋体" w:cs="Times New Roman"/>
                      <w:color w:val="auto"/>
                      <w:sz w:val="21"/>
                      <w:szCs w:val="24"/>
                      <w:u w:val="single" w:color="auto"/>
                      <w:lang w:val="en-US" w:eastAsia="zh-CN"/>
                    </w:rPr>
                    <w:t>HW08，900-214-08</w:t>
                  </w:r>
                </w:p>
              </w:tc>
              <w:tc>
                <w:tcPr>
                  <w:tcW w:w="1257" w:type="pct"/>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val="en-US" w:eastAsia="zh-CN"/>
                    </w:rPr>
                  </w:pPr>
                  <w:r>
                    <w:rPr>
                      <w:rFonts w:hint="default" w:ascii="Times New Roman" w:hAnsi="Times New Roman" w:cs="Times New Roman"/>
                      <w:color w:val="auto"/>
                      <w:kern w:val="2"/>
                      <w:sz w:val="21"/>
                      <w:szCs w:val="21"/>
                      <w:highlight w:val="none"/>
                      <w:u w:val="single" w:color="auto"/>
                      <w:lang w:val="en-US" w:eastAsia="zh-CN"/>
                    </w:rPr>
                    <w:t>交由有资质的单位处置</w:t>
                  </w:r>
                </w:p>
              </w:tc>
            </w:tr>
          </w:tbl>
          <w:p>
            <w:pPr>
              <w:spacing w:line="360" w:lineRule="auto"/>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本项目危险废物基本情况见下表。</w:t>
            </w:r>
          </w:p>
          <w:p>
            <w:pPr>
              <w:spacing w:line="240" w:lineRule="auto"/>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表4-</w:t>
            </w:r>
            <w:r>
              <w:rPr>
                <w:rFonts w:hint="default" w:ascii="Times New Roman" w:hAnsi="Times New Roman" w:cs="Times New Roman"/>
                <w:b/>
                <w:bCs/>
                <w:color w:val="auto"/>
                <w:sz w:val="21"/>
                <w:szCs w:val="21"/>
                <w:highlight w:val="none"/>
                <w:u w:val="single" w:color="auto"/>
                <w:lang w:val="en-US" w:eastAsia="zh-CN"/>
              </w:rPr>
              <w:t>11</w:t>
            </w:r>
            <w:r>
              <w:rPr>
                <w:rFonts w:hint="default" w:ascii="Times New Roman" w:hAnsi="Times New Roman" w:eastAsia="宋体" w:cs="Times New Roman"/>
                <w:b/>
                <w:bCs/>
                <w:color w:val="auto"/>
                <w:sz w:val="21"/>
                <w:szCs w:val="21"/>
                <w:highlight w:val="none"/>
                <w:u w:val="single" w:color="auto"/>
              </w:rPr>
              <w:t xml:space="preserve"> 危险废物汇总表</w:t>
            </w:r>
          </w:p>
          <w:tbl>
            <w:tblPr>
              <w:tblStyle w:val="42"/>
              <w:tblW w:w="81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13"/>
              <w:gridCol w:w="555"/>
              <w:gridCol w:w="690"/>
              <w:gridCol w:w="750"/>
              <w:gridCol w:w="570"/>
              <w:gridCol w:w="720"/>
              <w:gridCol w:w="645"/>
              <w:gridCol w:w="765"/>
              <w:gridCol w:w="645"/>
              <w:gridCol w:w="690"/>
              <w:gridCol w:w="795"/>
              <w:gridCol w:w="10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序</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号</w:t>
                  </w:r>
                </w:p>
              </w:tc>
              <w:tc>
                <w:tcPr>
                  <w:tcW w:w="55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名称</w:t>
                  </w:r>
                </w:p>
              </w:tc>
              <w:tc>
                <w:tcPr>
                  <w:tcW w:w="69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危险废</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物类别</w:t>
                  </w:r>
                </w:p>
              </w:tc>
              <w:tc>
                <w:tcPr>
                  <w:tcW w:w="75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危险废物</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代码</w:t>
                  </w:r>
                </w:p>
              </w:tc>
              <w:tc>
                <w:tcPr>
                  <w:tcW w:w="57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产生量</w:t>
                  </w:r>
                </w:p>
              </w:tc>
              <w:tc>
                <w:tcPr>
                  <w:tcW w:w="72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产生工序及装置</w:t>
                  </w:r>
                </w:p>
              </w:tc>
              <w:tc>
                <w:tcPr>
                  <w:tcW w:w="64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形态</w:t>
                  </w:r>
                </w:p>
              </w:tc>
              <w:tc>
                <w:tcPr>
                  <w:tcW w:w="76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主要</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成分</w:t>
                  </w:r>
                </w:p>
              </w:tc>
              <w:tc>
                <w:tcPr>
                  <w:tcW w:w="64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有害成分</w:t>
                  </w:r>
                </w:p>
              </w:tc>
              <w:tc>
                <w:tcPr>
                  <w:tcW w:w="69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产废</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周期</w:t>
                  </w:r>
                </w:p>
              </w:tc>
              <w:tc>
                <w:tcPr>
                  <w:tcW w:w="79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危险</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特性</w:t>
                  </w:r>
                </w:p>
              </w:tc>
              <w:tc>
                <w:tcPr>
                  <w:tcW w:w="101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污染防治</w:t>
                  </w:r>
                </w:p>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13"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555"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废矿</w:t>
                  </w:r>
                </w:p>
                <w:p>
                  <w:pPr>
                    <w:pStyle w:val="101"/>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物油</w:t>
                  </w:r>
                </w:p>
              </w:tc>
              <w:tc>
                <w:tcPr>
                  <w:tcW w:w="69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HW08</w:t>
                  </w:r>
                </w:p>
              </w:tc>
              <w:tc>
                <w:tcPr>
                  <w:tcW w:w="75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900-249-08</w:t>
                  </w:r>
                </w:p>
              </w:tc>
              <w:tc>
                <w:tcPr>
                  <w:tcW w:w="570"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0.</w:t>
                  </w:r>
                  <w:r>
                    <w:rPr>
                      <w:rFonts w:hint="default" w:ascii="Times New Roman" w:hAnsi="Times New Roman" w:eastAsia="宋体" w:cs="Times New Roman"/>
                      <w:color w:val="auto"/>
                      <w:sz w:val="21"/>
                      <w:szCs w:val="21"/>
                      <w:highlight w:val="none"/>
                      <w:u w:val="single" w:color="auto"/>
                      <w:lang w:val="en-US" w:eastAsia="zh-CN"/>
                    </w:rPr>
                    <w:t>05</w:t>
                  </w:r>
                  <w:r>
                    <w:rPr>
                      <w:rFonts w:hint="default" w:ascii="Times New Roman" w:hAnsi="Times New Roman" w:eastAsia="宋体" w:cs="Times New Roman"/>
                      <w:color w:val="auto"/>
                      <w:sz w:val="21"/>
                      <w:szCs w:val="21"/>
                      <w:highlight w:val="none"/>
                      <w:u w:val="single" w:color="auto"/>
                    </w:rPr>
                    <w:t>t/a</w:t>
                  </w:r>
                </w:p>
              </w:tc>
              <w:tc>
                <w:tcPr>
                  <w:tcW w:w="72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维修、保养</w:t>
                  </w:r>
                </w:p>
              </w:tc>
              <w:tc>
                <w:tcPr>
                  <w:tcW w:w="64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液态</w:t>
                  </w:r>
                </w:p>
              </w:tc>
              <w:tc>
                <w:tcPr>
                  <w:tcW w:w="76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废矿物油</w:t>
                  </w:r>
                </w:p>
              </w:tc>
              <w:tc>
                <w:tcPr>
                  <w:tcW w:w="64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有机物</w:t>
                  </w:r>
                </w:p>
              </w:tc>
              <w:tc>
                <w:tcPr>
                  <w:tcW w:w="690"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w:t>
                  </w:r>
                  <w:r>
                    <w:rPr>
                      <w:rFonts w:hint="default" w:ascii="Times New Roman" w:hAnsi="Times New Roman" w:eastAsia="宋体" w:cs="Times New Roman"/>
                      <w:color w:val="auto"/>
                      <w:sz w:val="21"/>
                      <w:szCs w:val="21"/>
                      <w:highlight w:val="none"/>
                      <w:u w:val="single" w:color="auto"/>
                    </w:rPr>
                    <w:t>年</w:t>
                  </w:r>
                </w:p>
              </w:tc>
              <w:tc>
                <w:tcPr>
                  <w:tcW w:w="795" w:type="dxa"/>
                  <w:tcBorders>
                    <w:tl2br w:val="nil"/>
                    <w:tr2bl w:val="nil"/>
                  </w:tcBorders>
                  <w:vAlign w:val="center"/>
                </w:tcPr>
                <w:p>
                  <w:pPr>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T，I</w:t>
                  </w:r>
                </w:p>
              </w:tc>
              <w:tc>
                <w:tcPr>
                  <w:tcW w:w="1010" w:type="dxa"/>
                  <w:tcBorders>
                    <w:tl2br w:val="nil"/>
                    <w:tr2bl w:val="nil"/>
                  </w:tcBorders>
                  <w:vAlign w:val="center"/>
                </w:tcPr>
                <w:p>
                  <w:pPr>
                    <w:tabs>
                      <w:tab w:val="left" w:pos="329"/>
                    </w:tabs>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暂存于危废暂存间后委托有资质单位处置</w:t>
                  </w:r>
                </w:p>
              </w:tc>
            </w:tr>
          </w:tbl>
          <w:p>
            <w:pPr>
              <w:adjustRightInd w:val="0"/>
              <w:snapToGrid w:val="0"/>
              <w:spacing w:line="500" w:lineRule="exact"/>
              <w:ind w:firstLine="481" w:firstLineChars="200"/>
              <w:rPr>
                <w:rFonts w:hint="default" w:ascii="Times New Roman" w:hAnsi="Times New Roman" w:eastAsia="宋体" w:cs="Times New Roman"/>
                <w:b/>
                <w:bCs/>
                <w:color w:val="auto"/>
                <w:highlight w:val="none"/>
                <w:u w:val="none" w:color="auto"/>
                <w:lang w:eastAsia="zh-CN"/>
              </w:rPr>
            </w:pPr>
            <w:r>
              <w:rPr>
                <w:rFonts w:hint="default" w:ascii="Times New Roman" w:hAnsi="Times New Roman" w:cs="Times New Roman"/>
                <w:b/>
                <w:bCs/>
                <w:color w:val="auto"/>
                <w:highlight w:val="none"/>
                <w:u w:val="none" w:color="auto"/>
                <w:lang w:val="en-US" w:eastAsia="zh-CN"/>
              </w:rPr>
              <w:t>2</w:t>
            </w:r>
            <w:r>
              <w:rPr>
                <w:rFonts w:hint="default" w:ascii="Times New Roman" w:hAnsi="Times New Roman" w:eastAsia="宋体" w:cs="Times New Roman"/>
                <w:b/>
                <w:bCs/>
                <w:color w:val="auto"/>
                <w:highlight w:val="none"/>
                <w:u w:val="none" w:color="auto"/>
              </w:rPr>
              <w:t>、固体废物处置</w:t>
            </w:r>
            <w:r>
              <w:rPr>
                <w:rFonts w:hint="default" w:ascii="Times New Roman" w:hAnsi="Times New Roman" w:cs="Times New Roman"/>
                <w:b/>
                <w:bCs/>
                <w:color w:val="auto"/>
                <w:highlight w:val="none"/>
                <w:u w:val="none" w:color="auto"/>
                <w:lang w:val="en-US" w:eastAsia="zh-CN"/>
              </w:rPr>
              <w:t>措施</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eastAsia="zh-CN"/>
              </w:rPr>
              <w:t>（</w:t>
            </w:r>
            <w:r>
              <w:rPr>
                <w:rFonts w:hint="default" w:ascii="Times New Roman" w:hAnsi="Times New Roman" w:cs="Times New Roman"/>
                <w:color w:val="auto"/>
                <w:highlight w:val="none"/>
                <w:u w:val="single" w:color="auto"/>
                <w:lang w:val="en-US" w:eastAsia="zh-CN"/>
              </w:rPr>
              <w:t>1</w:t>
            </w:r>
            <w:r>
              <w:rPr>
                <w:rFonts w:hint="default" w:ascii="Times New Roman" w:hAnsi="Times New Roman" w:cs="Times New Roman"/>
                <w:color w:val="auto"/>
                <w:highlight w:val="none"/>
                <w:u w:val="single" w:color="auto"/>
                <w:lang w:eastAsia="zh-CN"/>
              </w:rPr>
              <w:t>）</w:t>
            </w:r>
            <w:r>
              <w:rPr>
                <w:rFonts w:hint="default" w:ascii="Times New Roman" w:hAnsi="Times New Roman" w:cs="Times New Roman"/>
                <w:color w:val="auto"/>
                <w:highlight w:val="none"/>
                <w:u w:val="single" w:color="auto"/>
                <w:lang w:val="en-US" w:eastAsia="zh-CN"/>
              </w:rPr>
              <w:t>危险废物处置措施</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val="en-US" w:eastAsia="zh-CN"/>
              </w:rPr>
              <w:t>本项目运营过程中废矿物油属于危险废物，应集中收集后委托有资质的单位进行处置。本项目需按照《危险废物贮存污染控制标准》（GB18597-2023）要求建设的危险废物暂存间。本项目产生的各类危险废物按其性质在危废暂存间内分类堆存。拟在车间西南侧设置危险废物暂存间，占地面积为5m</w:t>
            </w:r>
            <w:r>
              <w:rPr>
                <w:rFonts w:hint="default" w:ascii="Times New Roman" w:hAnsi="Times New Roman" w:cs="Times New Roman"/>
                <w:color w:val="auto"/>
                <w:highlight w:val="none"/>
                <w:u w:val="single" w:color="auto"/>
                <w:vertAlign w:val="superscript"/>
                <w:lang w:val="en-US" w:eastAsia="zh-CN"/>
              </w:rPr>
              <w:t>2</w:t>
            </w:r>
            <w:r>
              <w:rPr>
                <w:rFonts w:hint="default" w:ascii="Times New Roman" w:hAnsi="Times New Roman" w:cs="Times New Roman"/>
                <w:color w:val="auto"/>
                <w:highlight w:val="none"/>
                <w:u w:val="single" w:color="auto"/>
                <w:lang w:val="en-US" w:eastAsia="zh-CN"/>
              </w:rPr>
              <w:t>。</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根据《危险废物贮存污染控制标准》（GB18597-2023）、《危险废物收集贮存运输技术规范》（HJ2025-2012）、《危险废物转移管理办法》、《湖南省危险废物专项整治三年行动实施方案》、《湖南省“十四五”危险废物工业固体废物污染环境防治规划》，对危险废物的收集、暂存和运输按国家标准有如下要求：</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①危险废物的收集包装</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a 容器和包装物材质、内衬应与盛装的危险废物相容。</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b 针对不同类别、形态、物理化学性质的危险废物，其容器和包装物应满足相应的防渗、防漏、防腐和强度等要求。</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c 硬质容器和包装物及其支护结构堆叠码放时不应有明显变形，无破损泄漏。</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d 柔性容器和包装物堆叠码放时应封口严密，无破损泄漏。</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e 使用容器盛装液态、半固态危险废物时，容器内部应留有适当的空间，以适应因温度变化等可能引发的收缩和膨胀，防止其导致容器渗漏或永久变形。</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f 容器和包装物外表面应保持清洁。</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②危险废物的暂存要求</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危险废物堆放场所应满足《危险废物贮存污染控制标准》GB18597-2023中的有关规定：</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a.采取必要的防风、防晒、防雨、防漏、防渗、防腐以及其他环境污染防治措施。</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b.贮存设施应根据危险废物的类别、数量、形态、物理化学性质和污染防治等要求设置必要的贮存分区，避免不相容的危险废物接触、混合。</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c 贮存设施或贮存分区内地面、墙面裙脚、堵截泄漏的围堰、接触危险废物的隔板和墙体等应采用坚固的材料建造，表面无裂缝。</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d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1m 厚黏土层（渗透系数不大于10</w:t>
            </w:r>
            <w:r>
              <w:rPr>
                <w:rFonts w:hint="default" w:ascii="Times New Roman" w:hAnsi="Times New Roman" w:eastAsia="宋体" w:cs="Times New Roman"/>
                <w:color w:val="auto"/>
                <w:highlight w:val="none"/>
                <w:u w:val="single" w:color="auto"/>
                <w:vertAlign w:val="superscript"/>
              </w:rPr>
              <w:t>-7</w:t>
            </w:r>
            <w:r>
              <w:rPr>
                <w:rFonts w:hint="default" w:ascii="Times New Roman" w:hAnsi="Times New Roman" w:eastAsia="宋体" w:cs="Times New Roman"/>
                <w:color w:val="auto"/>
                <w:highlight w:val="none"/>
                <w:u w:val="single" w:color="auto"/>
              </w:rPr>
              <w:t xml:space="preserve"> cm/s），或至少2mm厚高密度聚乙烯膜等人工防渗材料（渗透系数不大于10</w:t>
            </w:r>
            <w:r>
              <w:rPr>
                <w:rFonts w:hint="default" w:ascii="Times New Roman" w:hAnsi="Times New Roman" w:eastAsia="宋体" w:cs="Times New Roman"/>
                <w:color w:val="auto"/>
                <w:highlight w:val="none"/>
                <w:u w:val="single" w:color="auto"/>
                <w:vertAlign w:val="superscript"/>
              </w:rPr>
              <w:t>-10</w:t>
            </w:r>
            <w:r>
              <w:rPr>
                <w:rFonts w:hint="default" w:ascii="Times New Roman" w:hAnsi="Times New Roman" w:eastAsia="宋体" w:cs="Times New Roman"/>
                <w:color w:val="auto"/>
                <w:highlight w:val="none"/>
                <w:u w:val="single" w:color="auto"/>
              </w:rPr>
              <w:t>cm/s），或其他防渗性能等效的材料。</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e 同一贮存设施宜采用相同的防渗、防腐工艺（包括防渗、防腐结构或材料），防渗、防腐材料应覆盖所有可能与废物及其渗滤液、渗漏液等接触的构筑物表面；采用不同防渗、防腐工艺应分别建设贮存分区。</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f 贮存设施应采取技术和管理措施防止无关人员进入。</w:t>
            </w:r>
          </w:p>
          <w:p>
            <w:pPr>
              <w:adjustRightInd w:val="0"/>
              <w:snapToGrid w:val="0"/>
              <w:spacing w:line="500" w:lineRule="exact"/>
              <w:ind w:firstLine="480" w:firstLineChars="20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③危险废物的运输要求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危险废物的运输应符合《危险废物转移管理办法》，保证运输安全，防止非法转移和非法处置，保证危险废物的安全监控，防止危险废物污染事故发生。</w:t>
            </w:r>
          </w:p>
          <w:p>
            <w:pPr>
              <w:pStyle w:val="98"/>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本项目建设</w:t>
            </w:r>
            <w:r>
              <w:rPr>
                <w:rFonts w:hint="default" w:ascii="Times New Roman" w:hAnsi="Times New Roman" w:eastAsia="宋体" w:cs="Times New Roman"/>
                <w:color w:val="auto"/>
                <w:highlight w:val="none"/>
                <w:u w:val="single" w:color="auto"/>
                <w:lang w:val="en-US" w:eastAsia="zh-CN"/>
              </w:rPr>
              <w:t>5</w:t>
            </w:r>
            <w:r>
              <w:rPr>
                <w:rFonts w:hint="default" w:ascii="Times New Roman" w:hAnsi="Times New Roman" w:eastAsia="宋体" w:cs="Times New Roman"/>
                <w:color w:val="auto"/>
                <w:highlight w:val="none"/>
                <w:u w:val="single" w:color="auto"/>
              </w:rPr>
              <w:t>m</w:t>
            </w:r>
            <w:r>
              <w:rPr>
                <w:rFonts w:hint="default" w:ascii="Times New Roman" w:hAnsi="Times New Roman" w:eastAsia="宋体" w:cs="Times New Roman"/>
                <w:color w:val="auto"/>
                <w:highlight w:val="none"/>
                <w:u w:val="single" w:color="auto"/>
                <w:vertAlign w:val="superscript"/>
                <w:lang w:val="en-US" w:eastAsia="zh-CN"/>
              </w:rPr>
              <w:t>2</w:t>
            </w:r>
            <w:r>
              <w:rPr>
                <w:rFonts w:hint="default" w:ascii="Times New Roman" w:hAnsi="Times New Roman" w:eastAsia="宋体" w:cs="Times New Roman"/>
                <w:color w:val="auto"/>
                <w:highlight w:val="none"/>
                <w:u w:val="single" w:color="auto"/>
              </w:rPr>
              <w:t>的危险废物暂存间，</w:t>
            </w:r>
            <w:r>
              <w:rPr>
                <w:rFonts w:hint="default" w:ascii="Times New Roman" w:hAnsi="Times New Roman" w:eastAsia="宋体" w:cs="Times New Roman"/>
                <w:color w:val="auto"/>
                <w:highlight w:val="none"/>
                <w:u w:val="single" w:color="auto"/>
                <w:lang w:val="en-US" w:eastAsia="zh-CN"/>
              </w:rPr>
              <w:t>位于车间西南角，</w:t>
            </w:r>
            <w:r>
              <w:rPr>
                <w:rFonts w:hint="default" w:ascii="Times New Roman" w:hAnsi="Times New Roman" w:eastAsia="宋体" w:cs="Times New Roman"/>
                <w:color w:val="auto"/>
                <w:highlight w:val="none"/>
                <w:u w:val="single" w:color="auto"/>
              </w:rPr>
              <w:t>对项目产生的危废进行分类暂存。</w:t>
            </w:r>
          </w:p>
          <w:p>
            <w:pPr>
              <w:adjustRightInd w:val="0"/>
              <w:snapToGrid w:val="0"/>
              <w:ind w:firstLine="421" w:firstLineChars="20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表4-</w:t>
            </w:r>
            <w:r>
              <w:rPr>
                <w:rFonts w:hint="default" w:ascii="Times New Roman" w:hAnsi="Times New Roman" w:cs="Times New Roman"/>
                <w:b/>
                <w:bCs/>
                <w:color w:val="auto"/>
                <w:sz w:val="21"/>
                <w:szCs w:val="21"/>
                <w:u w:val="single" w:color="auto"/>
                <w:lang w:val="en-US" w:eastAsia="zh-CN"/>
              </w:rPr>
              <w:t>12</w:t>
            </w:r>
            <w:r>
              <w:rPr>
                <w:rFonts w:hint="default" w:ascii="Times New Roman" w:hAnsi="Times New Roman" w:eastAsia="宋体" w:cs="Times New Roman"/>
                <w:b/>
                <w:bCs/>
                <w:color w:val="auto"/>
                <w:sz w:val="21"/>
                <w:szCs w:val="21"/>
                <w:u w:val="single" w:color="auto"/>
                <w:lang w:val="en-US" w:eastAsia="zh-CN"/>
              </w:rPr>
              <w:t xml:space="preserve"> </w:t>
            </w:r>
            <w:r>
              <w:rPr>
                <w:rFonts w:hint="default" w:ascii="Times New Roman" w:hAnsi="Times New Roman" w:eastAsia="宋体" w:cs="Times New Roman"/>
                <w:b/>
                <w:bCs/>
                <w:color w:val="auto"/>
                <w:sz w:val="21"/>
                <w:szCs w:val="21"/>
                <w:u w:val="single" w:color="auto"/>
              </w:rPr>
              <w:t>项目危险废物贮存场所情况表</w:t>
            </w:r>
          </w:p>
          <w:tbl>
            <w:tblPr>
              <w:tblStyle w:val="4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694"/>
              <w:gridCol w:w="945"/>
              <w:gridCol w:w="782"/>
              <w:gridCol w:w="1087"/>
              <w:gridCol w:w="638"/>
              <w:gridCol w:w="592"/>
              <w:gridCol w:w="742"/>
              <w:gridCol w:w="606"/>
              <w:gridCol w:w="747"/>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序号</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贮存场所名称</w:t>
                  </w:r>
                </w:p>
              </w:tc>
              <w:tc>
                <w:tcPr>
                  <w:tcW w:w="593"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危险废物名称</w:t>
                  </w:r>
                </w:p>
              </w:tc>
              <w:tc>
                <w:tcPr>
                  <w:tcW w:w="49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危险废物类别</w:t>
                  </w:r>
                </w:p>
              </w:tc>
              <w:tc>
                <w:tcPr>
                  <w:tcW w:w="682"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危险废物代码</w:t>
                  </w:r>
                </w:p>
              </w:tc>
              <w:tc>
                <w:tcPr>
                  <w:tcW w:w="40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位置</w:t>
                  </w:r>
                </w:p>
              </w:tc>
              <w:tc>
                <w:tcPr>
                  <w:tcW w:w="37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占地</w:t>
                  </w:r>
                </w:p>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面积</w:t>
                  </w:r>
                </w:p>
              </w:tc>
              <w:tc>
                <w:tcPr>
                  <w:tcW w:w="465"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贮存</w:t>
                  </w:r>
                </w:p>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方式</w:t>
                  </w:r>
                </w:p>
              </w:tc>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贮存</w:t>
                  </w:r>
                </w:p>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能力</w:t>
                  </w:r>
                </w:p>
              </w:tc>
              <w:tc>
                <w:tcPr>
                  <w:tcW w:w="468"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处理量（t/a）</w:t>
                  </w:r>
                </w:p>
              </w:tc>
              <w:tc>
                <w:tcPr>
                  <w:tcW w:w="47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最大</w:t>
                  </w:r>
                </w:p>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贮存</w:t>
                  </w:r>
                </w:p>
                <w:p>
                  <w:pPr>
                    <w:adjustRightInd w:val="0"/>
                    <w:snapToGrid w:val="0"/>
                    <w:jc w:val="center"/>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val="en-US" w:eastAsia="zh-CN"/>
                    </w:rPr>
                    <w:t>2</w:t>
                  </w:r>
                </w:p>
              </w:tc>
              <w:tc>
                <w:tcPr>
                  <w:tcW w:w="4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危险废物暂存间</w:t>
                  </w:r>
                </w:p>
              </w:tc>
              <w:tc>
                <w:tcPr>
                  <w:tcW w:w="59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废</w:t>
                  </w:r>
                  <w:r>
                    <w:rPr>
                      <w:rFonts w:hint="default" w:ascii="Times New Roman" w:hAnsi="Times New Roman" w:eastAsia="宋体" w:cs="Times New Roman"/>
                      <w:color w:val="auto"/>
                      <w:sz w:val="21"/>
                      <w:szCs w:val="21"/>
                      <w:u w:val="single" w:color="auto"/>
                      <w:lang w:val="en-US" w:eastAsia="zh-CN"/>
                    </w:rPr>
                    <w:t>矿物油</w:t>
                  </w:r>
                </w:p>
              </w:tc>
              <w:tc>
                <w:tcPr>
                  <w:tcW w:w="49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HW08</w:t>
                  </w:r>
                </w:p>
              </w:tc>
              <w:tc>
                <w:tcPr>
                  <w:tcW w:w="6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900-214-08</w:t>
                  </w:r>
                </w:p>
              </w:tc>
              <w:tc>
                <w:tcPr>
                  <w:tcW w:w="4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kern w:val="2"/>
                      <w:sz w:val="21"/>
                      <w:szCs w:val="21"/>
                      <w:u w:val="single" w:color="auto"/>
                      <w:lang w:val="en-US" w:eastAsia="zh-CN" w:bidi="ar-SA"/>
                    </w:rPr>
                    <w:t>车间内西北角</w:t>
                  </w:r>
                  <w:r>
                    <w:rPr>
                      <w:rFonts w:hint="default" w:ascii="Times New Roman" w:hAnsi="Times New Roman" w:cs="Times New Roman"/>
                      <w:color w:val="auto"/>
                      <w:kern w:val="2"/>
                      <w:sz w:val="21"/>
                      <w:szCs w:val="21"/>
                      <w:u w:val="single" w:color="auto"/>
                      <w:lang w:val="en-US" w:eastAsia="zh-CN" w:bidi="ar-SA"/>
                    </w:rPr>
                    <w:t>5</w:t>
                  </w:r>
                  <w:r>
                    <w:rPr>
                      <w:rFonts w:hint="default" w:ascii="Times New Roman" w:hAnsi="Times New Roman" w:eastAsia="宋体" w:cs="Times New Roman"/>
                      <w:color w:val="auto"/>
                      <w:kern w:val="2"/>
                      <w:sz w:val="21"/>
                      <w:szCs w:val="21"/>
                      <w:u w:val="single" w:color="auto"/>
                      <w:lang w:val="en-US" w:eastAsia="zh-CN" w:bidi="ar-SA"/>
                    </w:rPr>
                    <w:t>m</w:t>
                  </w:r>
                  <w:r>
                    <w:rPr>
                      <w:rFonts w:hint="default" w:ascii="Times New Roman" w:hAnsi="Times New Roman" w:eastAsia="宋体" w:cs="Times New Roman"/>
                      <w:color w:val="auto"/>
                      <w:kern w:val="2"/>
                      <w:sz w:val="21"/>
                      <w:szCs w:val="21"/>
                      <w:u w:val="single" w:color="auto"/>
                      <w:vertAlign w:val="superscript"/>
                      <w:lang w:val="en-US" w:eastAsia="zh-CN" w:bidi="ar-SA"/>
                    </w:rPr>
                    <w:t>2</w:t>
                  </w:r>
                </w:p>
              </w:tc>
              <w:tc>
                <w:tcPr>
                  <w:tcW w:w="37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lang w:val="en-US" w:eastAsia="zh-CN"/>
                    </w:rPr>
                    <w:t>m</w:t>
                  </w:r>
                  <w:r>
                    <w:rPr>
                      <w:rFonts w:hint="default" w:ascii="Times New Roman" w:hAnsi="Times New Roman" w:eastAsia="宋体" w:cs="Times New Roman"/>
                      <w:color w:val="auto"/>
                      <w:sz w:val="21"/>
                      <w:szCs w:val="21"/>
                      <w:u w:val="single" w:color="auto"/>
                      <w:vertAlign w:val="superscript"/>
                      <w:lang w:val="en-US" w:eastAsia="zh-CN"/>
                    </w:rPr>
                    <w:t>2</w:t>
                  </w:r>
                </w:p>
              </w:tc>
              <w:tc>
                <w:tcPr>
                  <w:tcW w:w="46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专用桶</w:t>
                  </w:r>
                </w:p>
              </w:tc>
              <w:tc>
                <w:tcPr>
                  <w:tcW w:w="3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5</w:t>
                  </w:r>
                  <w:r>
                    <w:rPr>
                      <w:rFonts w:hint="default" w:ascii="Times New Roman" w:hAnsi="Times New Roman" w:eastAsia="宋体" w:cs="Times New Roman"/>
                      <w:color w:val="auto"/>
                      <w:sz w:val="21"/>
                      <w:szCs w:val="21"/>
                      <w:u w:val="single" w:color="auto"/>
                    </w:rPr>
                    <w:t>t</w:t>
                  </w:r>
                </w:p>
              </w:tc>
              <w:tc>
                <w:tcPr>
                  <w:tcW w:w="46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0.05</w:t>
                  </w:r>
                </w:p>
              </w:tc>
              <w:tc>
                <w:tcPr>
                  <w:tcW w:w="47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lang w:val="en-US" w:eastAsia="zh-CN"/>
                    </w:rPr>
                    <w:t>1年</w:t>
                  </w:r>
                </w:p>
              </w:tc>
            </w:tr>
          </w:tbl>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highlight w:val="none"/>
                <w:u w:val="single" w:color="auto"/>
                <w:lang w:eastAsia="zh-CN"/>
              </w:rPr>
              <w:t>（</w:t>
            </w:r>
            <w:r>
              <w:rPr>
                <w:rFonts w:hint="default" w:ascii="Times New Roman" w:hAnsi="Times New Roman" w:eastAsia="宋体" w:cs="Times New Roman"/>
                <w:color w:val="auto"/>
                <w:highlight w:val="none"/>
                <w:u w:val="single" w:color="auto"/>
                <w:lang w:val="en-US" w:eastAsia="zh-CN"/>
              </w:rPr>
              <w:t>2</w:t>
            </w:r>
            <w:r>
              <w:rPr>
                <w:rFonts w:hint="default" w:ascii="Times New Roman" w:hAnsi="Times New Roman" w:eastAsia="宋体" w:cs="Times New Roman"/>
                <w:color w:val="auto"/>
                <w:highlight w:val="none"/>
                <w:u w:val="single" w:color="auto"/>
                <w:lang w:eastAsia="zh-CN"/>
              </w:rPr>
              <w:t>）</w:t>
            </w:r>
            <w:r>
              <w:rPr>
                <w:rFonts w:hint="default" w:ascii="Times New Roman" w:hAnsi="Times New Roman" w:eastAsia="宋体" w:cs="Times New Roman"/>
                <w:color w:val="auto"/>
                <w:highlight w:val="none"/>
                <w:u w:val="single" w:color="auto"/>
                <w:lang w:val="en-US" w:eastAsia="zh-CN"/>
              </w:rPr>
              <w:t>一般工业固废处置措施</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对于一般工业废物，根据《一般工业固体废物贮存和填埋污染控制标准》(GB18599-2020)及相关国家及地方法律法规，提出如下环保措施：</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①为加强监督管理，贮存、处置场应按 GB15562.2设置环境保护图形标志。按照GB18599-2020要求，采取必要的防渗（地面进行防渗处理，防渗层渗透系数≤1×10</w:t>
            </w:r>
            <w:r>
              <w:rPr>
                <w:rFonts w:hint="default" w:ascii="Times New Roman" w:hAnsi="Times New Roman" w:eastAsia="宋体" w:cs="Times New Roman"/>
                <w:color w:val="auto"/>
                <w:highlight w:val="none"/>
                <w:u w:val="single" w:color="auto"/>
                <w:vertAlign w:val="superscript"/>
              </w:rPr>
              <w:t>-7</w:t>
            </w:r>
            <w:r>
              <w:rPr>
                <w:rFonts w:hint="default" w:ascii="Times New Roman" w:hAnsi="Times New Roman" w:eastAsia="宋体" w:cs="Times New Roman"/>
                <w:color w:val="auto"/>
                <w:highlight w:val="none"/>
                <w:u w:val="single" w:color="auto"/>
              </w:rPr>
              <w:t>cm/s）、防风、防雨、防晒措施，并采取相应的防尘措施。</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②所有固体废物分类贮存和标识。</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③本评价要求企业建立档案制度。按照《一般工业固体废物管理台账制定指南（试行）》将入场的一般工业固体废物的种类和数量等，详细记录在案，长期保存，供随时查阅。</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④严格按照转运计划清运厂内堆存的一般生产性固废，建议企业积极开展固废综合利用的相关调研工作，通过综合利用增加企业经济附加值。</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highlight w:val="none"/>
                <w:u w:val="single" w:color="auto"/>
                <w:lang w:val="en-US" w:eastAsia="zh-CN"/>
              </w:rPr>
              <w:t>本项目产生的分选杂质、废包装物产生后当天由货车外运外售，不在车间暂存，本项目一般固废暂存间主要暂存沉淀池沉渣，沉淀池池沉渣产生量约为20.83t/a，0.07t/d。本项目一般固废暂存间拟设置在车间东南侧，10m</w:t>
            </w:r>
            <w:r>
              <w:rPr>
                <w:rFonts w:hint="default" w:ascii="Times New Roman" w:hAnsi="Times New Roman" w:eastAsia="宋体" w:cs="Times New Roman"/>
                <w:color w:val="auto"/>
                <w:highlight w:val="none"/>
                <w:u w:val="single" w:color="auto"/>
                <w:vertAlign w:val="superscript"/>
                <w:lang w:val="en-US" w:eastAsia="zh-CN"/>
              </w:rPr>
              <w:t>2</w:t>
            </w:r>
            <w:r>
              <w:rPr>
                <w:rFonts w:hint="default" w:ascii="Times New Roman" w:hAnsi="Times New Roman" w:eastAsia="宋体" w:cs="Times New Roman"/>
                <w:color w:val="auto"/>
                <w:highlight w:val="none"/>
                <w:u w:val="single" w:color="auto"/>
                <w:lang w:val="en-US" w:eastAsia="zh-CN"/>
              </w:rPr>
              <w:t>，最大贮存量按堆存0.5m高计，一般固废暂存间污泥最大贮存量约为5.98t污泥，能够容纳85d本项目产生的污泥，一般固废暂存间大小设置可行。</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highlight w:val="none"/>
                <w:u w:val="single" w:color="auto"/>
                <w:lang w:eastAsia="zh-CN"/>
              </w:rPr>
              <w:t>（</w:t>
            </w:r>
            <w:r>
              <w:rPr>
                <w:rFonts w:hint="default" w:ascii="Times New Roman" w:hAnsi="Times New Roman" w:eastAsia="宋体" w:cs="Times New Roman"/>
                <w:color w:val="auto"/>
                <w:highlight w:val="none"/>
                <w:u w:val="single" w:color="auto"/>
                <w:lang w:val="en-US" w:eastAsia="zh-CN"/>
              </w:rPr>
              <w:t>3</w:t>
            </w:r>
            <w:r>
              <w:rPr>
                <w:rFonts w:hint="default" w:ascii="Times New Roman" w:hAnsi="Times New Roman" w:eastAsia="宋体" w:cs="Times New Roman"/>
                <w:color w:val="auto"/>
                <w:highlight w:val="none"/>
                <w:u w:val="single" w:color="auto"/>
                <w:lang w:eastAsia="zh-CN"/>
              </w:rPr>
              <w:t>）</w:t>
            </w:r>
            <w:r>
              <w:rPr>
                <w:rFonts w:hint="default" w:ascii="Times New Roman" w:hAnsi="Times New Roman" w:eastAsia="宋体" w:cs="Times New Roman"/>
                <w:color w:val="auto"/>
                <w:highlight w:val="none"/>
                <w:u w:val="single" w:color="auto"/>
                <w:lang w:val="en-US" w:eastAsia="zh-CN"/>
              </w:rPr>
              <w:t>生活垃圾处置措施</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项目生活垃圾集中收集（如放置于垃圾桶）后由环卫部门统一清运。</w:t>
            </w:r>
          </w:p>
          <w:p>
            <w:pPr>
              <w:pStyle w:val="98"/>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综上所述，本项目固体废物处理处置符合国家《固体废物污染环境防治法》规定的原则，符合《一般固体废物贮存和填埋污染控制标准》（GB18599-2020）、《危险废物贮存污染控制标准》（GB18597-2023），采取上述措施后，本工程固体废物可得到妥善的处理，对周围环境造成的影响很小。</w:t>
            </w:r>
          </w:p>
          <w:p>
            <w:pPr>
              <w:pStyle w:val="279"/>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五</w:t>
            </w:r>
            <w:r>
              <w:rPr>
                <w:rFonts w:hint="default" w:ascii="Times New Roman" w:hAnsi="Times New Roman" w:eastAsia="宋体" w:cs="Times New Roman"/>
                <w:b/>
                <w:bCs/>
                <w:color w:val="auto"/>
                <w:highlight w:val="none"/>
                <w:u w:val="none" w:color="auto"/>
              </w:rPr>
              <w:t>、土壤及地下水环境影响和保护措施</w:t>
            </w:r>
          </w:p>
          <w:p>
            <w:pPr>
              <w:pStyle w:val="279"/>
              <w:spacing w:line="360" w:lineRule="auto"/>
              <w:ind w:firstLine="480"/>
              <w:rPr>
                <w:rFonts w:hint="default" w:ascii="Times New Roman" w:hAnsi="Times New Roman" w:eastAsia="宋体" w:cs="Times New Roman"/>
                <w:color w:val="auto"/>
                <w:highlight w:val="none"/>
                <w:u w:val="none" w:color="auto"/>
                <w:lang w:val="zh-CN"/>
              </w:rPr>
            </w:pPr>
            <w:r>
              <w:rPr>
                <w:rFonts w:hint="default" w:ascii="Times New Roman" w:hAnsi="Times New Roman" w:eastAsia="宋体" w:cs="Times New Roman"/>
                <w:color w:val="auto"/>
                <w:highlight w:val="none"/>
                <w:u w:val="none" w:color="auto"/>
                <w:lang w:val="zh-CN"/>
              </w:rPr>
              <w:t>本项目正常工况下，不会产生地下水、土壤污染，只有在事故状态下，项目内暂存的危险废物可能会发生</w:t>
            </w:r>
            <w:r>
              <w:rPr>
                <w:rFonts w:hint="default" w:ascii="Times New Roman" w:hAnsi="Times New Roman" w:eastAsia="宋体" w:cs="Times New Roman"/>
                <w:color w:val="auto"/>
                <w:highlight w:val="none"/>
                <w:u w:val="none" w:color="auto"/>
              </w:rPr>
              <w:t>泄漏</w:t>
            </w:r>
            <w:r>
              <w:rPr>
                <w:rFonts w:hint="default" w:ascii="Times New Roman" w:hAnsi="Times New Roman" w:eastAsia="宋体" w:cs="Times New Roman"/>
                <w:color w:val="auto"/>
                <w:highlight w:val="none"/>
                <w:u w:val="none" w:color="auto"/>
                <w:lang w:val="zh-CN"/>
              </w:rPr>
              <w:t>等</w:t>
            </w:r>
            <w:r>
              <w:rPr>
                <w:rFonts w:hint="default" w:ascii="Times New Roman" w:hAnsi="Times New Roman" w:eastAsia="宋体" w:cs="Times New Roman"/>
                <w:color w:val="auto"/>
                <w:highlight w:val="none"/>
                <w:u w:val="none" w:color="auto"/>
              </w:rPr>
              <w:t>风险</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zh-CN"/>
              </w:rPr>
              <w:t>可能对周边土壤造成污染，长时间</w:t>
            </w:r>
            <w:r>
              <w:rPr>
                <w:rFonts w:hint="default" w:ascii="Times New Roman" w:hAnsi="Times New Roman" w:eastAsia="宋体" w:cs="Times New Roman"/>
                <w:color w:val="auto"/>
                <w:highlight w:val="none"/>
                <w:u w:val="none" w:color="auto"/>
              </w:rPr>
              <w:t>泄漏</w:t>
            </w:r>
            <w:r>
              <w:rPr>
                <w:rFonts w:hint="default" w:ascii="Times New Roman" w:hAnsi="Times New Roman" w:eastAsia="宋体" w:cs="Times New Roman"/>
                <w:color w:val="auto"/>
                <w:highlight w:val="none"/>
                <w:u w:val="none" w:color="auto"/>
                <w:lang w:val="zh-CN"/>
              </w:rPr>
              <w:t>可能深入地下对地下水造成污染。</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w:t>
            </w:r>
            <w:r>
              <w:rPr>
                <w:rFonts w:hint="default" w:ascii="Times New Roman" w:hAnsi="Times New Roman"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val="zh-CN"/>
              </w:rPr>
              <w:t>）污染物类型和污染途径识别</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fldChar w:fldCharType="begin"/>
            </w:r>
            <w:r>
              <w:rPr>
                <w:rFonts w:hint="default" w:ascii="Times New Roman" w:hAnsi="Times New Roman" w:eastAsia="宋体" w:cs="Times New Roman"/>
                <w:color w:val="auto"/>
                <w:sz w:val="24"/>
                <w:highlight w:val="none"/>
                <w:u w:val="none" w:color="auto"/>
                <w:lang w:val="zh-CN"/>
              </w:rPr>
              <w:instrText xml:space="preserve"> = 1 \* GB3 \* MERGEFORMAT </w:instrText>
            </w:r>
            <w:r>
              <w:rPr>
                <w:rFonts w:hint="default" w:ascii="Times New Roman" w:hAnsi="Times New Roman" w:eastAsia="宋体" w:cs="Times New Roman"/>
                <w:color w:val="auto"/>
                <w:sz w:val="24"/>
                <w:highlight w:val="none"/>
                <w:u w:val="none" w:color="auto"/>
                <w:lang w:val="zh-CN"/>
              </w:rPr>
              <w:fldChar w:fldCharType="separate"/>
            </w:r>
            <w:r>
              <w:rPr>
                <w:rFonts w:hint="default" w:ascii="Times New Roman" w:hAnsi="Times New Roman" w:eastAsia="宋体" w:cs="Times New Roman"/>
                <w:color w:val="auto"/>
                <w:sz w:val="24"/>
                <w:highlight w:val="none"/>
                <w:u w:val="none" w:color="auto"/>
                <w:lang w:val="zh-CN"/>
              </w:rPr>
              <w:t>①</w:t>
            </w:r>
            <w:r>
              <w:rPr>
                <w:rFonts w:hint="default" w:ascii="Times New Roman" w:hAnsi="Times New Roman" w:eastAsia="宋体" w:cs="Times New Roman"/>
                <w:color w:val="auto"/>
                <w:sz w:val="24"/>
                <w:highlight w:val="none"/>
                <w:u w:val="none" w:color="auto"/>
                <w:lang w:val="zh-CN"/>
              </w:rPr>
              <w:fldChar w:fldCharType="end"/>
            </w:r>
            <w:r>
              <w:rPr>
                <w:rFonts w:hint="default" w:ascii="Times New Roman" w:hAnsi="Times New Roman" w:eastAsia="宋体" w:cs="Times New Roman"/>
                <w:color w:val="auto"/>
                <w:sz w:val="24"/>
                <w:highlight w:val="none"/>
                <w:u w:val="none" w:color="auto"/>
                <w:lang w:val="zh-CN"/>
              </w:rPr>
              <w:t>影响类型与影响途径识别</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本项目对周边</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土壤环境影响的类型与影响途径</w:t>
            </w:r>
            <w:r>
              <w:rPr>
                <w:rFonts w:hint="eastAsia" w:ascii="Times New Roman" w:hAnsi="Times New Roman" w:cs="Times New Roman"/>
                <w:color w:val="auto"/>
                <w:sz w:val="24"/>
                <w:highlight w:val="none"/>
                <w:u w:val="none" w:color="auto"/>
                <w:lang w:val="en-US" w:eastAsia="zh-CN"/>
              </w:rPr>
              <w:t>如下</w:t>
            </w:r>
            <w:r>
              <w:rPr>
                <w:rFonts w:hint="default" w:ascii="Times New Roman" w:hAnsi="Times New Roman" w:eastAsia="宋体" w:cs="Times New Roman"/>
                <w:color w:val="auto"/>
                <w:sz w:val="24"/>
                <w:highlight w:val="none"/>
                <w:u w:val="none" w:color="auto"/>
                <w:lang w:val="zh-CN"/>
              </w:rPr>
              <w:t>。</w:t>
            </w:r>
          </w:p>
          <w:p>
            <w:pPr>
              <w:pStyle w:val="278"/>
              <w:spacing w:before="156"/>
              <w:rPr>
                <w:rStyle w:val="283"/>
                <w:rFonts w:hint="default" w:ascii="Times New Roman" w:hAnsi="Times New Roman" w:eastAsia="宋体" w:cs="Times New Roman"/>
                <w:b w:val="0"/>
                <w:color w:val="auto"/>
                <w:sz w:val="21"/>
                <w:szCs w:val="21"/>
                <w:highlight w:val="none"/>
                <w:u w:val="none" w:color="auto"/>
              </w:rPr>
            </w:pPr>
            <w:r>
              <w:rPr>
                <w:rStyle w:val="283"/>
                <w:rFonts w:hint="default" w:ascii="Times New Roman" w:hAnsi="Times New Roman" w:eastAsia="宋体" w:cs="Times New Roman"/>
                <w:color w:val="auto"/>
                <w:sz w:val="21"/>
                <w:szCs w:val="21"/>
                <w:highlight w:val="none"/>
                <w:u w:val="none" w:color="auto"/>
              </w:rPr>
              <w:t>表4-</w:t>
            </w:r>
            <w:r>
              <w:rPr>
                <w:rStyle w:val="283"/>
                <w:rFonts w:hint="default" w:ascii="Times New Roman" w:hAnsi="Times New Roman" w:cs="Times New Roman"/>
                <w:color w:val="auto"/>
                <w:sz w:val="21"/>
                <w:szCs w:val="21"/>
                <w:highlight w:val="none"/>
                <w:u w:val="none" w:color="auto"/>
                <w:lang w:val="en-US" w:eastAsia="zh-CN"/>
              </w:rPr>
              <w:t>13</w:t>
            </w:r>
            <w:r>
              <w:rPr>
                <w:rStyle w:val="283"/>
                <w:rFonts w:hint="default" w:ascii="Times New Roman" w:hAnsi="Times New Roman" w:eastAsia="宋体" w:cs="Times New Roman"/>
                <w:color w:val="auto"/>
                <w:sz w:val="21"/>
                <w:szCs w:val="21"/>
                <w:highlight w:val="none"/>
                <w:u w:val="none" w:color="auto"/>
              </w:rPr>
              <w:t xml:space="preserve"> 项目土壤、地下水环境影响类型与影响途径识别表</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415"/>
              <w:gridCol w:w="1644"/>
              <w:gridCol w:w="1678"/>
              <w:gridCol w:w="14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restart"/>
                  <w:tcBorders>
                    <w:top w:val="single" w:color="auto" w:sz="12" w:space="0"/>
                    <w:left w:val="single" w:color="auto" w:sz="0"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时段</w:t>
                  </w:r>
                </w:p>
              </w:tc>
              <w:tc>
                <w:tcPr>
                  <w:tcW w:w="3887" w:type="pct"/>
                  <w:gridSpan w:val="4"/>
                  <w:tcBorders>
                    <w:top w:val="single" w:color="auto" w:sz="12" w:space="0"/>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污染影响类型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continue"/>
                  <w:tcBorders>
                    <w:left w:val="single" w:color="auto" w:sz="4"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p>
              </w:tc>
              <w:tc>
                <w:tcPr>
                  <w:tcW w:w="884"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大气沉降</w:t>
                  </w:r>
                </w:p>
              </w:tc>
              <w:tc>
                <w:tcPr>
                  <w:tcW w:w="1027"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地面漫流</w:t>
                  </w:r>
                </w:p>
              </w:tc>
              <w:tc>
                <w:tcPr>
                  <w:tcW w:w="1048"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垂直入渗</w:t>
                  </w:r>
                </w:p>
              </w:tc>
              <w:tc>
                <w:tcPr>
                  <w:tcW w:w="927" w:type="pct"/>
                  <w:tcBorders>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其他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tcBorders>
                    <w:left w:val="single" w:color="auto" w:sz="4" w:space="0"/>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运营期</w:t>
                  </w:r>
                </w:p>
              </w:tc>
              <w:tc>
                <w:tcPr>
                  <w:tcW w:w="884"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w:t>
                  </w:r>
                </w:p>
              </w:tc>
              <w:tc>
                <w:tcPr>
                  <w:tcW w:w="1027"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w:t>
                  </w:r>
                </w:p>
              </w:tc>
              <w:tc>
                <w:tcPr>
                  <w:tcW w:w="1048"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w:t>
                  </w:r>
                </w:p>
              </w:tc>
              <w:tc>
                <w:tcPr>
                  <w:tcW w:w="927" w:type="pct"/>
                  <w:tcBorders>
                    <w:bottom w:val="single" w:color="auto" w:sz="12" w:space="0"/>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lang w:val="zh-CN"/>
              </w:rPr>
              <w:fldChar w:fldCharType="begin"/>
            </w:r>
            <w:r>
              <w:rPr>
                <w:rFonts w:hint="default" w:ascii="Times New Roman" w:hAnsi="Times New Roman" w:eastAsia="宋体" w:cs="Times New Roman"/>
                <w:color w:val="auto"/>
                <w:sz w:val="24"/>
                <w:highlight w:val="none"/>
                <w:u w:val="none" w:color="auto"/>
                <w:lang w:val="zh-CN"/>
              </w:rPr>
              <w:instrText xml:space="preserve"> = 2 \* GB3 \* MERGEFORMAT </w:instrText>
            </w:r>
            <w:r>
              <w:rPr>
                <w:rFonts w:hint="default" w:ascii="Times New Roman" w:hAnsi="Times New Roman" w:eastAsia="宋体" w:cs="Times New Roman"/>
                <w:color w:val="auto"/>
                <w:sz w:val="24"/>
                <w:highlight w:val="none"/>
                <w:u w:val="none" w:color="auto"/>
                <w:lang w:val="zh-CN"/>
              </w:rPr>
              <w:fldChar w:fldCharType="separate"/>
            </w:r>
            <w:r>
              <w:rPr>
                <w:rFonts w:hint="default" w:ascii="Times New Roman" w:hAnsi="Times New Roman" w:eastAsia="宋体" w:cs="Times New Roman"/>
                <w:color w:val="auto"/>
                <w:highlight w:val="none"/>
                <w:u w:val="none" w:color="auto"/>
              </w:rPr>
              <w:t>②</w:t>
            </w:r>
            <w:r>
              <w:rPr>
                <w:rFonts w:hint="default" w:ascii="Times New Roman" w:hAnsi="Times New Roman" w:eastAsia="宋体" w:cs="Times New Roman"/>
                <w:color w:val="auto"/>
                <w:sz w:val="24"/>
                <w:highlight w:val="none"/>
                <w:u w:val="none" w:color="auto"/>
                <w:lang w:val="zh-CN"/>
              </w:rPr>
              <w:fldChar w:fldCharType="end"/>
            </w:r>
            <w:r>
              <w:rPr>
                <w:rFonts w:hint="default" w:ascii="Times New Roman" w:hAnsi="Times New Roman" w:eastAsia="宋体" w:cs="Times New Roman"/>
                <w:color w:val="auto"/>
                <w:sz w:val="24"/>
                <w:highlight w:val="none"/>
                <w:u w:val="none" w:color="auto"/>
                <w:lang w:val="zh-CN"/>
              </w:rPr>
              <w:t>土壤、</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环境影响</w:t>
            </w:r>
            <w:r>
              <w:rPr>
                <w:rFonts w:hint="default" w:ascii="Times New Roman" w:hAnsi="Times New Roman" w:eastAsia="宋体" w:cs="Times New Roman"/>
                <w:color w:val="auto"/>
                <w:sz w:val="24"/>
                <w:highlight w:val="none"/>
                <w:u w:val="none" w:color="auto"/>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rPr>
              <w:t>项目对</w:t>
            </w:r>
            <w:r>
              <w:rPr>
                <w:rFonts w:hint="default" w:ascii="Times New Roman" w:hAnsi="Times New Roman" w:eastAsia="宋体" w:cs="Times New Roman"/>
                <w:color w:val="auto"/>
                <w:sz w:val="24"/>
                <w:highlight w:val="none"/>
                <w:u w:val="none" w:color="auto"/>
                <w:lang w:val="zh-CN"/>
              </w:rPr>
              <w:t>土壤、</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环境</w:t>
            </w:r>
            <w:r>
              <w:rPr>
                <w:rFonts w:hint="default" w:ascii="Times New Roman" w:hAnsi="Times New Roman" w:eastAsia="宋体" w:cs="Times New Roman"/>
                <w:color w:val="auto"/>
                <w:sz w:val="24"/>
                <w:highlight w:val="none"/>
                <w:u w:val="none" w:color="auto"/>
              </w:rPr>
              <w:t>的</w:t>
            </w:r>
            <w:r>
              <w:rPr>
                <w:rFonts w:hint="default" w:ascii="Times New Roman" w:hAnsi="Times New Roman" w:eastAsia="宋体" w:cs="Times New Roman"/>
                <w:color w:val="auto"/>
                <w:sz w:val="24"/>
                <w:highlight w:val="none"/>
                <w:u w:val="none" w:color="auto"/>
                <w:lang w:val="zh-CN"/>
              </w:rPr>
              <w:t>影响</w:t>
            </w:r>
            <w:r>
              <w:rPr>
                <w:rFonts w:hint="default" w:ascii="Times New Roman" w:hAnsi="Times New Roman" w:eastAsia="宋体" w:cs="Times New Roman"/>
                <w:color w:val="auto"/>
                <w:sz w:val="24"/>
                <w:highlight w:val="none"/>
                <w:u w:val="none" w:color="auto"/>
              </w:rPr>
              <w:t>源及影响因子</w:t>
            </w:r>
            <w:r>
              <w:rPr>
                <w:rFonts w:hint="eastAsia" w:ascii="Times New Roman" w:hAnsi="Times New Roman" w:cs="Times New Roman"/>
                <w:color w:val="auto"/>
                <w:sz w:val="24"/>
                <w:highlight w:val="none"/>
                <w:u w:val="none" w:color="auto"/>
                <w:lang w:val="en-US" w:eastAsia="zh-CN"/>
              </w:rPr>
              <w:t>如下</w:t>
            </w:r>
            <w:r>
              <w:rPr>
                <w:rFonts w:hint="default" w:ascii="Times New Roman" w:hAnsi="Times New Roman" w:eastAsia="宋体" w:cs="Times New Roman"/>
                <w:color w:val="auto"/>
                <w:sz w:val="24"/>
                <w:highlight w:val="none"/>
                <w:u w:val="none" w:color="auto"/>
                <w:lang w:val="zh-CN"/>
              </w:rPr>
              <w:t>。</w:t>
            </w:r>
          </w:p>
          <w:p>
            <w:pPr>
              <w:pStyle w:val="278"/>
              <w:spacing w:before="156"/>
              <w:rPr>
                <w:rStyle w:val="283"/>
                <w:rFonts w:hint="default" w:ascii="Times New Roman" w:hAnsi="Times New Roman" w:eastAsia="宋体" w:cs="Times New Roman"/>
                <w:b w:val="0"/>
                <w:color w:val="auto"/>
                <w:sz w:val="21"/>
                <w:szCs w:val="21"/>
                <w:highlight w:val="none"/>
                <w:u w:val="none" w:color="auto"/>
              </w:rPr>
            </w:pPr>
            <w:r>
              <w:rPr>
                <w:rStyle w:val="283"/>
                <w:rFonts w:hint="default" w:ascii="Times New Roman" w:hAnsi="Times New Roman" w:eastAsia="宋体" w:cs="Times New Roman"/>
                <w:color w:val="auto"/>
                <w:sz w:val="21"/>
                <w:szCs w:val="21"/>
                <w:highlight w:val="none"/>
                <w:u w:val="none" w:color="auto"/>
              </w:rPr>
              <w:t>表4-1</w:t>
            </w:r>
            <w:r>
              <w:rPr>
                <w:rStyle w:val="283"/>
                <w:rFonts w:hint="eastAsia" w:ascii="Times New Roman" w:hAnsi="Times New Roman" w:cs="Times New Roman"/>
                <w:color w:val="auto"/>
                <w:sz w:val="21"/>
                <w:szCs w:val="21"/>
                <w:highlight w:val="none"/>
                <w:u w:val="none" w:color="auto"/>
                <w:lang w:val="en-US" w:eastAsia="zh-CN"/>
              </w:rPr>
              <w:t>4</w:t>
            </w:r>
            <w:r>
              <w:rPr>
                <w:rStyle w:val="283"/>
                <w:rFonts w:hint="default" w:ascii="Times New Roman" w:hAnsi="Times New Roman" w:eastAsia="宋体" w:cs="Times New Roman"/>
                <w:color w:val="auto"/>
                <w:sz w:val="21"/>
                <w:szCs w:val="21"/>
                <w:highlight w:val="none"/>
                <w:u w:val="none" w:color="auto"/>
              </w:rPr>
              <w:t xml:space="preserve">  项目土壤、地下水环境影响源及影响因子识别表</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32"/>
              <w:gridCol w:w="1202"/>
              <w:gridCol w:w="1329"/>
              <w:gridCol w:w="2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07" w:type="pct"/>
                  <w:tcBorders>
                    <w:top w:val="single" w:color="auto" w:sz="12" w:space="0"/>
                    <w:left w:val="single" w:color="auto" w:sz="0"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污染源</w:t>
                  </w:r>
                </w:p>
              </w:tc>
              <w:tc>
                <w:tcPr>
                  <w:tcW w:w="956" w:type="pct"/>
                  <w:tcBorders>
                    <w:top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工艺流程/环节</w:t>
                  </w:r>
                </w:p>
              </w:tc>
              <w:tc>
                <w:tcPr>
                  <w:tcW w:w="750" w:type="pct"/>
                  <w:tcBorders>
                    <w:top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污染途径</w:t>
                  </w:r>
                </w:p>
              </w:tc>
              <w:tc>
                <w:tcPr>
                  <w:tcW w:w="830" w:type="pct"/>
                  <w:tcBorders>
                    <w:top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污染物</w:t>
                  </w:r>
                </w:p>
              </w:tc>
              <w:tc>
                <w:tcPr>
                  <w:tcW w:w="1655" w:type="pct"/>
                  <w:tcBorders>
                    <w:top w:val="single" w:color="auto" w:sz="12" w:space="0"/>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7" w:type="pct"/>
                  <w:tcBorders>
                    <w:left w:val="single" w:color="auto" w:sz="4"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危险废物暂存间</w:t>
                  </w:r>
                </w:p>
              </w:tc>
              <w:tc>
                <w:tcPr>
                  <w:tcW w:w="956"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危险废物暂存</w:t>
                  </w:r>
                </w:p>
              </w:tc>
              <w:tc>
                <w:tcPr>
                  <w:tcW w:w="750"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垂直入渗</w:t>
                  </w:r>
                </w:p>
              </w:tc>
              <w:tc>
                <w:tcPr>
                  <w:tcW w:w="830" w:type="pct"/>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废矿物油</w:t>
                  </w:r>
                </w:p>
              </w:tc>
              <w:tc>
                <w:tcPr>
                  <w:tcW w:w="1655" w:type="pct"/>
                  <w:tcBorders>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rPr>
                  </w:pPr>
                  <w:r>
                    <w:rPr>
                      <w:rStyle w:val="283"/>
                      <w:rFonts w:hint="default" w:ascii="Times New Roman" w:hAnsi="Times New Roman" w:eastAsia="宋体" w:cs="Times New Roman"/>
                      <w:bCs/>
                      <w:color w:val="auto"/>
                      <w:sz w:val="21"/>
                      <w:szCs w:val="21"/>
                      <w:highlight w:val="none"/>
                      <w:u w:val="none" w:color="auto"/>
                    </w:rPr>
                    <w:t>危废收集容器损坏，废矿物油泄漏渗入土壤造成污染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7" w:type="pct"/>
                  <w:tcBorders>
                    <w:left w:val="single" w:color="auto" w:sz="4" w:space="0"/>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lang w:val="en-US" w:eastAsia="zh-CN"/>
                    </w:rPr>
                  </w:pPr>
                  <w:r>
                    <w:rPr>
                      <w:rStyle w:val="283"/>
                      <w:rFonts w:hint="default" w:ascii="Times New Roman" w:hAnsi="Times New Roman" w:cs="Times New Roman"/>
                      <w:bCs/>
                      <w:color w:val="auto"/>
                      <w:sz w:val="21"/>
                      <w:szCs w:val="21"/>
                      <w:highlight w:val="none"/>
                      <w:u w:val="none" w:color="auto"/>
                      <w:lang w:val="en-US" w:eastAsia="zh-CN"/>
                    </w:rPr>
                    <w:t>三级沉淀池</w:t>
                  </w:r>
                </w:p>
              </w:tc>
              <w:tc>
                <w:tcPr>
                  <w:tcW w:w="956"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lang w:val="en-US" w:eastAsia="zh-CN"/>
                    </w:rPr>
                  </w:pPr>
                  <w:r>
                    <w:rPr>
                      <w:rStyle w:val="283"/>
                      <w:rFonts w:hint="default" w:ascii="Times New Roman" w:hAnsi="Times New Roman" w:cs="Times New Roman"/>
                      <w:bCs/>
                      <w:color w:val="auto"/>
                      <w:sz w:val="21"/>
                      <w:szCs w:val="21"/>
                      <w:highlight w:val="none"/>
                      <w:u w:val="none" w:color="auto"/>
                      <w:lang w:val="en-US" w:eastAsia="zh-CN"/>
                    </w:rPr>
                    <w:t>废水处理</w:t>
                  </w:r>
                </w:p>
              </w:tc>
              <w:tc>
                <w:tcPr>
                  <w:tcW w:w="750"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lang w:val="en-US" w:eastAsia="zh-CN"/>
                    </w:rPr>
                  </w:pPr>
                  <w:r>
                    <w:rPr>
                      <w:rStyle w:val="283"/>
                      <w:rFonts w:hint="default" w:ascii="Times New Roman" w:hAnsi="Times New Roman" w:cs="Times New Roman"/>
                      <w:bCs/>
                      <w:color w:val="auto"/>
                      <w:sz w:val="21"/>
                      <w:szCs w:val="21"/>
                      <w:highlight w:val="none"/>
                      <w:u w:val="none" w:color="auto"/>
                      <w:lang w:val="en-US" w:eastAsia="zh-CN"/>
                    </w:rPr>
                    <w:t>地面漫流、</w:t>
                  </w:r>
                  <w:r>
                    <w:rPr>
                      <w:rStyle w:val="283"/>
                      <w:rFonts w:hint="default" w:ascii="Times New Roman" w:hAnsi="Times New Roman" w:eastAsia="宋体" w:cs="Times New Roman"/>
                      <w:bCs/>
                      <w:color w:val="auto"/>
                      <w:sz w:val="21"/>
                      <w:szCs w:val="21"/>
                      <w:highlight w:val="none"/>
                      <w:u w:val="none" w:color="auto"/>
                    </w:rPr>
                    <w:t>垂直入渗</w:t>
                  </w:r>
                </w:p>
              </w:tc>
              <w:tc>
                <w:tcPr>
                  <w:tcW w:w="830" w:type="pct"/>
                  <w:tcBorders>
                    <w:bottom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lang w:val="en-US" w:eastAsia="zh-CN"/>
                    </w:rPr>
                  </w:pPr>
                  <w:r>
                    <w:rPr>
                      <w:rStyle w:val="283"/>
                      <w:rFonts w:hint="default" w:ascii="Times New Roman" w:hAnsi="Times New Roman" w:cs="Times New Roman"/>
                      <w:bCs/>
                      <w:color w:val="auto"/>
                      <w:sz w:val="21"/>
                      <w:szCs w:val="21"/>
                      <w:highlight w:val="none"/>
                      <w:u w:val="none" w:color="auto"/>
                      <w:lang w:val="en-US" w:eastAsia="zh-CN"/>
                    </w:rPr>
                    <w:t>废水</w:t>
                  </w:r>
                </w:p>
              </w:tc>
              <w:tc>
                <w:tcPr>
                  <w:tcW w:w="1655" w:type="pct"/>
                  <w:tcBorders>
                    <w:bottom w:val="single" w:color="auto" w:sz="12" w:space="0"/>
                    <w:right w:val="single" w:color="auto" w:sz="12" w:space="0"/>
                  </w:tcBorders>
                  <w:vAlign w:val="center"/>
                </w:tcPr>
                <w:p>
                  <w:pPr>
                    <w:pStyle w:val="284"/>
                    <w:adjustRightInd w:val="0"/>
                    <w:snapToGrid w:val="0"/>
                    <w:rPr>
                      <w:rStyle w:val="283"/>
                      <w:rFonts w:hint="default" w:ascii="Times New Roman" w:hAnsi="Times New Roman" w:eastAsia="宋体" w:cs="Times New Roman"/>
                      <w:bCs/>
                      <w:color w:val="auto"/>
                      <w:sz w:val="21"/>
                      <w:szCs w:val="21"/>
                      <w:highlight w:val="none"/>
                      <w:u w:val="none" w:color="auto"/>
                      <w:lang w:val="en-US" w:eastAsia="zh-CN"/>
                    </w:rPr>
                  </w:pPr>
                  <w:r>
                    <w:rPr>
                      <w:rStyle w:val="283"/>
                      <w:rFonts w:hint="default" w:ascii="Times New Roman" w:hAnsi="Times New Roman" w:cs="Times New Roman"/>
                      <w:bCs/>
                      <w:color w:val="auto"/>
                      <w:sz w:val="21"/>
                      <w:szCs w:val="21"/>
                      <w:highlight w:val="none"/>
                      <w:u w:val="none" w:color="auto"/>
                      <w:lang w:val="en-US" w:eastAsia="zh-CN"/>
                    </w:rPr>
                    <w:t>三级沉淀池破裂，导致废水渗入土壤；三级沉淀池满溢，导致废水溢流。</w:t>
                  </w:r>
                </w:p>
              </w:tc>
            </w:tr>
          </w:tbl>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）分区防控措施</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以上分析，项目存在土壤、地下水污染源的区域主要为危险废物暂存间，项目危险废物暂存间应按照《危险废物贮存污染控制标准》（GB18597-2023）中要求进行重点防渗，对地面和裙角进行防渗建设，防渗系数≤10</w:t>
            </w:r>
            <w:r>
              <w:rPr>
                <w:rFonts w:hint="default" w:ascii="Times New Roman" w:hAnsi="Times New Roman" w:eastAsia="宋体" w:cs="Times New Roman"/>
                <w:color w:val="auto"/>
                <w:highlight w:val="none"/>
                <w:u w:val="none" w:color="auto"/>
                <w:vertAlign w:val="superscript"/>
              </w:rPr>
              <w:t>-10</w:t>
            </w:r>
            <w:r>
              <w:rPr>
                <w:rFonts w:hint="default" w:ascii="Times New Roman" w:hAnsi="Times New Roman" w:eastAsia="宋体" w:cs="Times New Roman"/>
                <w:color w:val="auto"/>
                <w:highlight w:val="none"/>
                <w:u w:val="none" w:color="auto"/>
              </w:rPr>
              <w:t>cm/s，并设危险废物备用储存容器，避免废矿物油泄漏污染土壤、地下水。</w:t>
            </w:r>
          </w:p>
          <w:p>
            <w:pPr>
              <w:pStyle w:val="27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rPr>
              <w:t>表4-</w:t>
            </w:r>
            <w:r>
              <w:rPr>
                <w:rFonts w:hint="eastAsia" w:ascii="Times New Roman" w:hAnsi="Times New Roman" w:cs="Times New Roman"/>
                <w:b/>
                <w:bCs/>
                <w:color w:val="auto"/>
                <w:sz w:val="21"/>
                <w:szCs w:val="21"/>
                <w:highlight w:val="none"/>
                <w:u w:val="single" w:color="auto"/>
                <w:lang w:val="en-US" w:eastAsia="zh-CN"/>
              </w:rPr>
              <w:t>15</w:t>
            </w:r>
            <w:r>
              <w:rPr>
                <w:rFonts w:hint="default" w:ascii="Times New Roman" w:hAnsi="Times New Roman" w:cs="Times New Roman"/>
                <w:b/>
                <w:bCs/>
                <w:color w:val="auto"/>
                <w:sz w:val="21"/>
                <w:szCs w:val="21"/>
                <w:highlight w:val="none"/>
                <w:u w:val="single" w:color="auto"/>
                <w:lang w:val="en-US" w:eastAsia="zh-CN"/>
              </w:rPr>
              <w:t xml:space="preserve"> 分区防渗表</w:t>
            </w:r>
          </w:p>
          <w:tbl>
            <w:tblPr>
              <w:tblStyle w:val="43"/>
              <w:tblW w:w="8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95"/>
              <w:gridCol w:w="1470"/>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top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序号</w:t>
                  </w:r>
                </w:p>
              </w:tc>
              <w:tc>
                <w:tcPr>
                  <w:tcW w:w="1395" w:type="dxa"/>
                  <w:tcBorders>
                    <w:top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防渗分区</w:t>
                  </w:r>
                </w:p>
              </w:tc>
              <w:tc>
                <w:tcPr>
                  <w:tcW w:w="1470" w:type="dxa"/>
                  <w:tcBorders>
                    <w:top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工程</w:t>
                  </w:r>
                </w:p>
              </w:tc>
              <w:tc>
                <w:tcPr>
                  <w:tcW w:w="4517" w:type="dxa"/>
                  <w:tcBorders>
                    <w:top w:val="single" w:color="auto" w:sz="12" w:space="0"/>
                    <w:right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left w:val="single" w:color="auto" w:sz="4"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1</w:t>
                  </w:r>
                </w:p>
              </w:tc>
              <w:tc>
                <w:tcPr>
                  <w:tcW w:w="1395" w:type="dxa"/>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重点防渗区</w:t>
                  </w:r>
                </w:p>
              </w:tc>
              <w:tc>
                <w:tcPr>
                  <w:tcW w:w="1470" w:type="dxa"/>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危险废物暂存间、沉淀池</w:t>
                  </w:r>
                </w:p>
              </w:tc>
              <w:tc>
                <w:tcPr>
                  <w:tcW w:w="4517"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cs="Times New Roman"/>
                      <w:color w:val="auto"/>
                      <w:sz w:val="21"/>
                      <w:szCs w:val="21"/>
                      <w:highlight w:val="none"/>
                      <w:u w:val="single" w:color="auto"/>
                      <w:lang w:val="en-US" w:eastAsia="zh-CN" w:bidi="ar-SA"/>
                    </w:rPr>
                    <w:t>其渗透性能应不低于6m厚渗透系数为1.0×10</w:t>
                  </w:r>
                  <w:r>
                    <w:rPr>
                      <w:rFonts w:hint="default" w:ascii="Times New Roman" w:hAnsi="Times New Roman" w:cs="Times New Roman"/>
                      <w:color w:val="auto"/>
                      <w:sz w:val="21"/>
                      <w:szCs w:val="21"/>
                      <w:highlight w:val="none"/>
                      <w:u w:val="single" w:color="auto"/>
                      <w:vertAlign w:val="superscript"/>
                      <w:lang w:val="en-US" w:eastAsia="zh-CN" w:bidi="ar-SA"/>
                    </w:rPr>
                    <w:t>-7</w:t>
                  </w:r>
                  <w:r>
                    <w:rPr>
                      <w:rFonts w:hint="default" w:ascii="Times New Roman" w:hAnsi="Times New Roman" w:cs="Times New Roman"/>
                      <w:color w:val="auto"/>
                      <w:sz w:val="21"/>
                      <w:szCs w:val="21"/>
                      <w:highlight w:val="none"/>
                      <w:u w:val="single" w:color="auto"/>
                      <w:lang w:val="en-US" w:eastAsia="zh-CN" w:bidi="ar-SA"/>
                    </w:rPr>
                    <w:t>cm/s的黏土层防渗性能，建议采用2mm后的HDPE膜进行防渗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left w:val="single" w:color="auto" w:sz="4"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2</w:t>
                  </w:r>
                </w:p>
              </w:tc>
              <w:tc>
                <w:tcPr>
                  <w:tcW w:w="1395" w:type="dxa"/>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一般防渗区</w:t>
                  </w:r>
                </w:p>
              </w:tc>
              <w:tc>
                <w:tcPr>
                  <w:tcW w:w="1470" w:type="dxa"/>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生产车间地面、一般固废暂存间</w:t>
                  </w:r>
                </w:p>
              </w:tc>
              <w:tc>
                <w:tcPr>
                  <w:tcW w:w="4517"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cs="Times New Roman"/>
                      <w:color w:val="auto"/>
                      <w:sz w:val="21"/>
                      <w:szCs w:val="21"/>
                      <w:highlight w:val="none"/>
                      <w:u w:val="single" w:color="auto"/>
                      <w:lang w:val="en-US" w:eastAsia="zh-CN" w:bidi="ar-SA"/>
                    </w:rPr>
                    <w:t>渗透性能应不低于1.5m厚渗透系数为1.0×10</w:t>
                  </w:r>
                  <w:r>
                    <w:rPr>
                      <w:rFonts w:hint="default" w:ascii="Times New Roman" w:hAnsi="Times New Roman" w:cs="Times New Roman"/>
                      <w:color w:val="auto"/>
                      <w:sz w:val="21"/>
                      <w:szCs w:val="21"/>
                      <w:highlight w:val="none"/>
                      <w:u w:val="single" w:color="auto"/>
                      <w:vertAlign w:val="superscript"/>
                      <w:lang w:val="en-US" w:eastAsia="zh-CN" w:bidi="ar-SA"/>
                    </w:rPr>
                    <w:t>-7</w:t>
                  </w:r>
                  <w:r>
                    <w:rPr>
                      <w:rFonts w:hint="default" w:ascii="Times New Roman" w:hAnsi="Times New Roman" w:cs="Times New Roman"/>
                      <w:color w:val="auto"/>
                      <w:sz w:val="21"/>
                      <w:szCs w:val="21"/>
                      <w:highlight w:val="none"/>
                      <w:u w:val="single" w:color="auto"/>
                      <w:lang w:val="en-US" w:eastAsia="zh-CN" w:bidi="ar-SA"/>
                    </w:rPr>
                    <w:t>cm/s的黏土层防渗性能，建议采用防渗的混凝土铺砌，防渗层采用抗渗钢筋混凝土和防水涂料。混凝土的强度等级不低于C25，抗渗等级不低于P6，厚度不小于150mm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6" w:type="dxa"/>
                  <w:tcBorders>
                    <w:left w:val="single" w:color="auto" w:sz="4" w:space="0"/>
                    <w:bottom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3</w:t>
                  </w:r>
                </w:p>
              </w:tc>
              <w:tc>
                <w:tcPr>
                  <w:tcW w:w="1395" w:type="dxa"/>
                  <w:tcBorders>
                    <w:bottom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简单防渗区</w:t>
                  </w:r>
                </w:p>
              </w:tc>
              <w:tc>
                <w:tcPr>
                  <w:tcW w:w="1470" w:type="dxa"/>
                  <w:tcBorders>
                    <w:bottom w:val="single" w:color="auto" w:sz="12" w:space="0"/>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cs="Times New Roman"/>
                      <w:color w:val="auto"/>
                      <w:sz w:val="21"/>
                      <w:szCs w:val="21"/>
                      <w:highlight w:val="none"/>
                      <w:u w:val="single" w:color="auto"/>
                      <w:vertAlign w:val="baseline"/>
                      <w:lang w:val="en-US" w:eastAsia="zh-CN"/>
                    </w:rPr>
                    <w:t>其它区域</w:t>
                  </w:r>
                </w:p>
              </w:tc>
              <w:tc>
                <w:tcPr>
                  <w:tcW w:w="4517" w:type="dxa"/>
                  <w:tcBorders>
                    <w:bottom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color="auto"/>
                      <w:vertAlign w:val="baseline"/>
                    </w:rPr>
                  </w:pPr>
                  <w:r>
                    <w:rPr>
                      <w:rFonts w:hint="default" w:ascii="Times New Roman" w:hAnsi="Times New Roman" w:cs="Times New Roman"/>
                      <w:color w:val="auto"/>
                      <w:sz w:val="21"/>
                      <w:szCs w:val="21"/>
                      <w:highlight w:val="none"/>
                      <w:u w:val="single" w:color="auto"/>
                      <w:lang w:val="en-US" w:eastAsia="zh-CN" w:bidi="ar-SA"/>
                    </w:rPr>
                    <w:t>地面进行水泥硬化</w:t>
                  </w:r>
                </w:p>
              </w:tc>
            </w:tr>
          </w:tbl>
          <w:p>
            <w:pPr>
              <w:pStyle w:val="279"/>
              <w:spacing w:line="360" w:lineRule="auto"/>
              <w:ind w:firstLine="48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综上所述，项目营运期对地下水及土壤环境影响较小。</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）跟踪监测要求</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述分析，本项目危险废物暂存量较小，在采取上述防渗措施后，废矿物油发生泄漏的可能性较小，发生泄漏后能得到有效收集及阻隔，废矿物油发生泄漏对地下水及土壤影响很小，故不制定跟踪监测计划。建设单位在运营过程中如发现非正常工况，造成土壤及地下水环境污染，应及时采取措施，进行跟踪监测。</w:t>
            </w:r>
          </w:p>
          <w:p>
            <w:pPr>
              <w:adjustRightInd w:val="0"/>
              <w:snapToGrid w:val="0"/>
              <w:spacing w:line="360" w:lineRule="auto"/>
              <w:ind w:firstLine="481"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bCs/>
                <w:color w:val="auto"/>
                <w:highlight w:val="none"/>
                <w:u w:val="none" w:color="auto"/>
              </w:rPr>
              <w:t>六、环境风险分析</w:t>
            </w:r>
            <w:bookmarkStart w:id="18" w:name="_Toc1687"/>
            <w:bookmarkStart w:id="19" w:name="_Toc11240"/>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根据《建设项目环境影响报告表编制技术指南（污染影响类）（试行）》，需要明确有毒有害和易燃易爆等危险物质和风险源分布情况及可能影响途径，并提出相应环境风险防范措施。</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（1）评价依据</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1）风险调查</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主要调查建设项目原辅材料、中间产品、产品及固体废物中风险物质的存在情况，并调查项目生产工艺的危险性。</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①风险物质调查</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对比《建设项目环境风险评价技术导则》（HJ169-2018）附录B，本项目主要存在的环境风险物质为废</w:t>
            </w:r>
            <w:r>
              <w:rPr>
                <w:rFonts w:hint="default" w:ascii="Times New Roman" w:hAnsi="Times New Roman" w:eastAsia="宋体" w:cs="Times New Roman"/>
                <w:color w:val="auto"/>
                <w:highlight w:val="none"/>
                <w:u w:val="none" w:color="auto"/>
                <w:lang w:val="en-US" w:eastAsia="zh-CN"/>
              </w:rPr>
              <w:t>矿物</w:t>
            </w:r>
            <w:r>
              <w:rPr>
                <w:rFonts w:hint="default" w:ascii="Times New Roman" w:hAnsi="Times New Roman" w:eastAsia="宋体" w:cs="Times New Roman"/>
                <w:color w:val="auto"/>
                <w:highlight w:val="none"/>
                <w:u w:val="none" w:color="auto"/>
              </w:rPr>
              <w:t>油。</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②生产工艺危险性</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参照《建设项目环境风险评价技术导则》（HJ169-2018）附录C中表C.1行业及生产工艺（M）分析项目生产工艺危险性，项目不属于石化、化工、医药、轻工、有色冶炼、管道、港口、码头、石油天然气等行业，属于其他行业，评估依据为涉及危险物质的使用、贮存项目，本项目不涉及环境风险物质的使用及</w:t>
            </w:r>
            <w:r>
              <w:rPr>
                <w:rFonts w:hint="default" w:ascii="Times New Roman" w:hAnsi="Times New Roman" w:cs="Times New Roman"/>
                <w:color w:val="auto"/>
                <w:highlight w:val="none"/>
                <w:u w:val="none" w:color="auto"/>
                <w:lang w:val="en-US" w:eastAsia="zh-CN"/>
              </w:rPr>
              <w:t>贮存</w:t>
            </w:r>
            <w:r>
              <w:rPr>
                <w:rFonts w:hint="default" w:ascii="Times New Roman" w:hAnsi="Times New Roman" w:eastAsia="宋体" w:cs="Times New Roman"/>
                <w:color w:val="auto"/>
                <w:highlight w:val="none"/>
                <w:u w:val="none" w:color="auto"/>
              </w:rPr>
              <w:t>。</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2）风险潜势初判</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分析建设项目生产使用储存过程中涉及的有毒有害、易燃易爆物质，参照《建设项目环境风险评价技术导则》（HJ169-2018）附录 B 确定危险物质的临界量。定量分析危险物质数量与临界量的比值（Q）和所属行业及生产特点（M），按附录C对危险物质及工艺系统危险性（P）等级进行判断。</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对照《建设项目环境风险评价技术导则》（HJ169-2018）附录 B 中列出的重大源，项目单元内储存多种物质按下式计算，按一下公式计算物质总量与临界量比值：</w:t>
            </w:r>
          </w:p>
          <w:p>
            <w:pPr>
              <w:pStyle w:val="279"/>
              <w:spacing w:line="360" w:lineRule="auto"/>
              <w:ind w:firstLine="48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position w:val="-30"/>
                <w:highlight w:val="none"/>
                <w:u w:val="none" w:color="auto"/>
                <w:lang w:val="en-US" w:eastAsia="zh-CN"/>
              </w:rPr>
              <w:object>
                <v:shape id="_x0000_i1026" o:spt="75" type="#_x0000_t75" style="height:34pt;width:112pt;" o:ole="t" filled="f" o:preferrelative="t" stroked="f" coordsize="21600,21600">
                  <v:path/>
                  <v:fill on="f" focussize="0,0"/>
                  <v:stroke on="f"/>
                  <v:imagedata r:id="rId26" o:title=""/>
                  <o:lock v:ext="edit" aspectratio="t"/>
                  <w10:wrap type="none"/>
                  <w10:anchorlock/>
                </v:shape>
                <o:OLEObject Type="Embed" ProgID="Equation.KSEE3" ShapeID="_x0000_i1026" DrawAspect="Content" ObjectID="_1468075726" r:id="rId25">
                  <o:LockedField>false</o:LockedField>
                </o:OLEObject>
              </w:object>
            </w:r>
          </w:p>
          <w:p>
            <w:pPr>
              <w:pStyle w:val="279"/>
              <w:spacing w:line="36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式中：</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n</w:t>
            </w:r>
            <w:r>
              <w:rPr>
                <w:rFonts w:hint="default" w:ascii="Times New Roman" w:hAnsi="Times New Roman" w:eastAsia="宋体" w:cs="Times New Roman"/>
                <w:color w:val="auto"/>
                <w:highlight w:val="none"/>
                <w:u w:val="none" w:color="auto"/>
              </w:rPr>
              <w:t>--每种危险物质实际存在量，t。</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n</w:t>
            </w:r>
            <w:r>
              <w:rPr>
                <w:rFonts w:hint="default" w:ascii="Times New Roman" w:hAnsi="Times New Roman" w:eastAsia="宋体" w:cs="Times New Roman"/>
                <w:color w:val="auto"/>
                <w:highlight w:val="none"/>
                <w:u w:val="none" w:color="auto"/>
              </w:rPr>
              <w:t>--与各危险物质相对应的生产场所或贮存区的临界量，t。</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根据《建设项目环境风险评价技术导则》（HJ169-2018）附录 B 确定危险物质的临界量情况见下表。</w:t>
            </w:r>
          </w:p>
          <w:p>
            <w:pPr>
              <w:pStyle w:val="279"/>
              <w:spacing w:line="360" w:lineRule="auto"/>
              <w:ind w:firstLine="480"/>
              <w:jc w:val="center"/>
              <w:rPr>
                <w:rFonts w:hint="default" w:ascii="Times New Roman" w:hAnsi="Times New Roman" w:eastAsia="宋体" w:cs="Times New Roman"/>
                <w:color w:val="auto"/>
                <w:highlight w:val="none"/>
                <w:u w:val="none" w:color="auto"/>
                <w:lang w:val="en-US" w:eastAsia="zh-CN"/>
              </w:rPr>
            </w:pPr>
            <w:r>
              <w:rPr>
                <w:rStyle w:val="283"/>
                <w:rFonts w:hint="default" w:ascii="Times New Roman" w:hAnsi="Times New Roman" w:eastAsia="宋体" w:cs="Times New Roman"/>
                <w:b/>
                <w:bCs/>
                <w:color w:val="auto"/>
                <w:sz w:val="21"/>
                <w:szCs w:val="21"/>
                <w:highlight w:val="none"/>
                <w:u w:val="none" w:color="auto"/>
              </w:rPr>
              <w:t>表4-1</w:t>
            </w:r>
            <w:r>
              <w:rPr>
                <w:rStyle w:val="283"/>
                <w:rFonts w:hint="eastAsia" w:ascii="Times New Roman" w:hAnsi="Times New Roman" w:cs="Times New Roman"/>
                <w:b/>
                <w:bCs/>
                <w:color w:val="auto"/>
                <w:sz w:val="21"/>
                <w:szCs w:val="21"/>
                <w:highlight w:val="none"/>
                <w:u w:val="none" w:color="auto"/>
                <w:lang w:val="en-US" w:eastAsia="zh-CN"/>
              </w:rPr>
              <w:t>6</w:t>
            </w:r>
            <w:r>
              <w:rPr>
                <w:rStyle w:val="283"/>
                <w:rFonts w:hint="default" w:ascii="Times New Roman" w:hAnsi="Times New Roman" w:eastAsia="宋体" w:cs="Times New Roman"/>
                <w:b/>
                <w:bCs/>
                <w:color w:val="auto"/>
                <w:sz w:val="21"/>
                <w:szCs w:val="21"/>
                <w:highlight w:val="none"/>
                <w:u w:val="none" w:color="auto"/>
                <w:lang w:val="en-US" w:eastAsia="zh-CN"/>
              </w:rPr>
              <w:t>设计的风险物质及Q值计算一览表</w:t>
            </w:r>
          </w:p>
          <w:tbl>
            <w:tblPr>
              <w:tblStyle w:val="43"/>
              <w:tblW w:w="800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058"/>
              <w:gridCol w:w="1058"/>
              <w:gridCol w:w="1058"/>
              <w:gridCol w:w="1542"/>
              <w:gridCol w:w="1226"/>
              <w:gridCol w:w="1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56"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序号</w:t>
                  </w:r>
                </w:p>
              </w:tc>
              <w:tc>
                <w:tcPr>
                  <w:tcW w:w="1058"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名称</w:t>
                  </w:r>
                </w:p>
              </w:tc>
              <w:tc>
                <w:tcPr>
                  <w:tcW w:w="1058"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危害特性</w:t>
                  </w:r>
                </w:p>
              </w:tc>
              <w:tc>
                <w:tcPr>
                  <w:tcW w:w="1058"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贮存方式</w:t>
                  </w:r>
                </w:p>
              </w:tc>
              <w:tc>
                <w:tcPr>
                  <w:tcW w:w="1542"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最大存在量q</w:t>
                  </w:r>
                  <w:r>
                    <w:rPr>
                      <w:rFonts w:hint="default" w:ascii="Times New Roman" w:hAnsi="Times New Roman" w:cs="Times New Roman"/>
                      <w:color w:val="auto"/>
                      <w:sz w:val="21"/>
                      <w:szCs w:val="21"/>
                      <w:highlight w:val="none"/>
                      <w:u w:val="none" w:color="auto"/>
                      <w:vertAlign w:val="subscript"/>
                      <w:lang w:val="en-US" w:eastAsia="zh-CN"/>
                    </w:rPr>
                    <w:t>i</w:t>
                  </w:r>
                </w:p>
              </w:tc>
              <w:tc>
                <w:tcPr>
                  <w:tcW w:w="1226"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临界量Q</w:t>
                  </w:r>
                  <w:r>
                    <w:rPr>
                      <w:rFonts w:hint="default" w:ascii="Times New Roman" w:hAnsi="Times New Roman" w:cs="Times New Roman"/>
                      <w:color w:val="auto"/>
                      <w:sz w:val="21"/>
                      <w:szCs w:val="21"/>
                      <w:highlight w:val="none"/>
                      <w:u w:val="none" w:color="auto"/>
                      <w:vertAlign w:val="subscript"/>
                      <w:lang w:val="en-US" w:eastAsia="zh-CN"/>
                    </w:rPr>
                    <w:t>i</w:t>
                  </w:r>
                </w:p>
              </w:tc>
              <w:tc>
                <w:tcPr>
                  <w:tcW w:w="1004"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q</w:t>
                  </w:r>
                  <w:r>
                    <w:rPr>
                      <w:rFonts w:hint="default" w:ascii="Times New Roman" w:hAnsi="Times New Roman" w:cs="Times New Roman"/>
                      <w:color w:val="auto"/>
                      <w:sz w:val="21"/>
                      <w:szCs w:val="21"/>
                      <w:highlight w:val="none"/>
                      <w:u w:val="none" w:color="auto"/>
                      <w:vertAlign w:val="subscript"/>
                      <w:lang w:val="en-US" w:eastAsia="zh-CN"/>
                    </w:rPr>
                    <w:t>i</w:t>
                  </w:r>
                  <w:r>
                    <w:rPr>
                      <w:rFonts w:hint="default" w:ascii="Times New Roman" w:hAnsi="Times New Roman" w:cs="Times New Roman"/>
                      <w:color w:val="auto"/>
                      <w:sz w:val="21"/>
                      <w:szCs w:val="21"/>
                      <w:highlight w:val="none"/>
                      <w:u w:val="none" w:color="auto"/>
                      <w:vertAlign w:val="baseline"/>
                      <w:lang w:val="en-US" w:eastAsia="zh-CN"/>
                    </w:rPr>
                    <w:t>/Q</w:t>
                  </w:r>
                  <w:r>
                    <w:rPr>
                      <w:rFonts w:hint="default" w:ascii="Times New Roman" w:hAnsi="Times New Roman" w:cs="Times New Roman"/>
                      <w:color w:val="auto"/>
                      <w:sz w:val="21"/>
                      <w:szCs w:val="21"/>
                      <w:highlight w:val="none"/>
                      <w:u w:val="none" w:color="auto"/>
                      <w:vertAlign w:val="subscript"/>
                      <w:lang w:val="en-US" w:eastAsia="zh-CN"/>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056"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1</w:t>
                  </w:r>
                </w:p>
              </w:tc>
              <w:tc>
                <w:tcPr>
                  <w:tcW w:w="1058"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废矿物油</w:t>
                  </w:r>
                </w:p>
              </w:tc>
              <w:tc>
                <w:tcPr>
                  <w:tcW w:w="1058" w:type="dxa"/>
                  <w:tcBorders>
                    <w:tl2br w:val="nil"/>
                    <w:tr2bl w:val="nil"/>
                  </w:tcBorders>
                  <w:vAlign w:val="center"/>
                </w:tcPr>
                <w:p>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rPr>
                    <w:t>T，I</w:t>
                  </w:r>
                </w:p>
              </w:tc>
              <w:tc>
                <w:tcPr>
                  <w:tcW w:w="1058"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危险废物暂存间</w:t>
                  </w:r>
                </w:p>
              </w:tc>
              <w:tc>
                <w:tcPr>
                  <w:tcW w:w="1542"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0.05t</w:t>
                  </w:r>
                </w:p>
              </w:tc>
              <w:tc>
                <w:tcPr>
                  <w:tcW w:w="1226"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50t</w:t>
                  </w:r>
                </w:p>
              </w:tc>
              <w:tc>
                <w:tcPr>
                  <w:tcW w:w="1004"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6998" w:type="dxa"/>
                  <w:gridSpan w:val="6"/>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合计</w:t>
                  </w:r>
                </w:p>
              </w:tc>
              <w:tc>
                <w:tcPr>
                  <w:tcW w:w="1004" w:type="dxa"/>
                  <w:tcBorders>
                    <w:tl2br w:val="nil"/>
                    <w:tr2bl w:val="nil"/>
                  </w:tcBorders>
                  <w:vAlign w:val="center"/>
                </w:tcPr>
                <w:p>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vertAlign w:val="baseline"/>
                      <w:lang w:val="en-US" w:eastAsia="zh-CN"/>
                    </w:rPr>
                  </w:pPr>
                  <w:r>
                    <w:rPr>
                      <w:rFonts w:hint="default" w:ascii="Times New Roman" w:hAnsi="Times New Roman" w:cs="Times New Roman"/>
                      <w:color w:val="auto"/>
                      <w:sz w:val="21"/>
                      <w:szCs w:val="21"/>
                      <w:highlight w:val="none"/>
                      <w:u w:val="none" w:color="auto"/>
                      <w:vertAlign w:val="baseline"/>
                      <w:lang w:val="en-US" w:eastAsia="zh-CN"/>
                    </w:rPr>
                    <w:t>0.001</w:t>
                  </w:r>
                </w:p>
              </w:tc>
            </w:tr>
          </w:tbl>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cs="Times New Roman"/>
                <w:color w:val="auto"/>
                <w:highlight w:val="none"/>
                <w:u w:val="none" w:color="auto"/>
                <w:lang w:val="en-US" w:eastAsia="zh-CN"/>
              </w:rPr>
              <w:t>本项目风险物质</w:t>
            </w:r>
            <w:r>
              <w:rPr>
                <w:rFonts w:hint="default" w:ascii="Times New Roman" w:hAnsi="Times New Roman" w:eastAsia="宋体" w:cs="Times New Roman"/>
                <w:color w:val="auto"/>
                <w:highlight w:val="none"/>
                <w:u w:val="none" w:color="auto"/>
              </w:rPr>
              <w:t>Q值为</w:t>
            </w:r>
            <w:r>
              <w:rPr>
                <w:rFonts w:hint="default" w:ascii="Times New Roman" w:hAnsi="Times New Roman" w:cs="Times New Roman"/>
                <w:color w:val="auto"/>
                <w:highlight w:val="none"/>
                <w:u w:val="none" w:color="auto"/>
                <w:lang w:val="en-US" w:eastAsia="zh-CN"/>
              </w:rPr>
              <w:t>0.001</w:t>
            </w:r>
            <w:r>
              <w:rPr>
                <w:rFonts w:hint="default" w:ascii="Times New Roman" w:hAnsi="Times New Roman" w:eastAsia="宋体" w:cs="Times New Roman"/>
                <w:color w:val="auto"/>
                <w:highlight w:val="none"/>
                <w:u w:val="none" w:color="auto"/>
              </w:rPr>
              <w:t>，Q＜1，可直接判定风险潜势为Ⅰ。</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3）评价等级</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本项目风险潜势为Ⅰ，评价工作等级为简单分析。</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）环境风险识别</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根据上述分析，本项目涉及的风险物质主要包括</w:t>
            </w:r>
            <w:r>
              <w:rPr>
                <w:rFonts w:hint="default" w:ascii="Times New Roman" w:hAnsi="Times New Roman" w:eastAsia="宋体" w:cs="Times New Roman"/>
                <w:color w:val="auto"/>
                <w:highlight w:val="none"/>
                <w:u w:val="none" w:color="auto"/>
                <w:lang w:eastAsia="zh-CN"/>
              </w:rPr>
              <w:t>废矿物油</w:t>
            </w:r>
            <w:r>
              <w:rPr>
                <w:rFonts w:hint="default" w:ascii="Times New Roman" w:hAnsi="Times New Roman" w:eastAsia="宋体" w:cs="Times New Roman"/>
                <w:color w:val="auto"/>
                <w:highlight w:val="none"/>
                <w:u w:val="none" w:color="auto"/>
              </w:rPr>
              <w:t>等危险废物，主要环境风险为风险物质在贮存或使用时发生泄漏，以及厂区火灾引发的次生环境风险事件。</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）环境风险分析</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1）风险物质泄漏风险分析</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w:t>
            </w:r>
            <w:r>
              <w:rPr>
                <w:rFonts w:hint="default" w:ascii="Times New Roman" w:hAnsi="Times New Roman" w:eastAsia="宋体" w:cs="Times New Roman"/>
                <w:color w:val="auto"/>
                <w:highlight w:val="none"/>
                <w:u w:val="none" w:color="auto"/>
                <w:lang w:eastAsia="zh-CN"/>
              </w:rPr>
              <w:t>废矿物油</w:t>
            </w:r>
            <w:r>
              <w:rPr>
                <w:rFonts w:hint="default" w:ascii="Times New Roman" w:hAnsi="Times New Roman" w:eastAsia="宋体" w:cs="Times New Roman"/>
                <w:color w:val="auto"/>
                <w:highlight w:val="none"/>
                <w:u w:val="none" w:color="auto"/>
              </w:rPr>
              <w:t>在危废暂存间内贮存，贮存或使用期间可能发生泄漏，项目地面进行了防腐防渗处理，且各物质的贮存量均较小，厂区面积较大，即使发生泄漏也不会泄漏至外环境，环境风险较小。为进一步降低泄漏环境风险，环评</w:t>
            </w:r>
            <w:r>
              <w:rPr>
                <w:rFonts w:hint="default" w:ascii="Times New Roman" w:hAnsi="Times New Roman" w:cs="Times New Roman"/>
                <w:color w:val="auto"/>
                <w:highlight w:val="none"/>
                <w:u w:val="none" w:color="auto"/>
                <w:lang w:val="en-US" w:eastAsia="zh-CN"/>
              </w:rPr>
              <w:t>要求</w:t>
            </w:r>
            <w:r>
              <w:rPr>
                <w:rFonts w:hint="default" w:ascii="Times New Roman" w:hAnsi="Times New Roman" w:eastAsia="宋体" w:cs="Times New Roman"/>
                <w:color w:val="auto"/>
                <w:highlight w:val="none"/>
                <w:u w:val="none" w:color="auto"/>
              </w:rPr>
              <w:t>项目风险物质采用托盘贮存，即使发生泄漏，能有托盘进行盛装，不会污染厂房地面，降低泄漏污染。</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2）火灾次生环境风险事件</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如若厂区发生火灾，可燃物质的未完全燃烧会导致挥发性有机物及一氧化碳的排放，污染周边环境空气；消防救援时会产生消防废水，消防废水会沾染项目原材料等污染物，主要包括有机物及油类物质，如若处置不当，消防废水直接排入周边沟渠，则可能造成地表水体污染。本项目属于</w:t>
            </w:r>
            <w:r>
              <w:rPr>
                <w:rFonts w:hint="default" w:ascii="Times New Roman" w:hAnsi="Times New Roman" w:eastAsia="宋体" w:cs="Times New Roman"/>
                <w:color w:val="auto"/>
                <w:highlight w:val="none"/>
                <w:u w:val="none" w:color="auto"/>
                <w:lang w:val="en-US" w:eastAsia="zh-CN"/>
              </w:rPr>
              <w:t>再生塑料</w:t>
            </w:r>
            <w:r>
              <w:rPr>
                <w:rFonts w:hint="default" w:ascii="Times New Roman" w:hAnsi="Times New Roman" w:eastAsia="宋体" w:cs="Times New Roman"/>
                <w:color w:val="auto"/>
                <w:highlight w:val="none"/>
                <w:u w:val="none" w:color="auto"/>
              </w:rPr>
              <w:t>制造项目，所有</w:t>
            </w:r>
            <w:r>
              <w:rPr>
                <w:rFonts w:hint="default" w:ascii="Times New Roman" w:hAnsi="Times New Roman" w:eastAsia="宋体" w:cs="Times New Roman"/>
                <w:color w:val="auto"/>
                <w:highlight w:val="none"/>
                <w:u w:val="none" w:color="auto"/>
                <w:lang w:val="en-US" w:eastAsia="zh-CN"/>
              </w:rPr>
              <w:t>废塑料及再生塑料粒子产品</w:t>
            </w:r>
            <w:r>
              <w:rPr>
                <w:rFonts w:hint="default" w:ascii="Times New Roman" w:hAnsi="Times New Roman" w:eastAsia="宋体" w:cs="Times New Roman"/>
                <w:color w:val="auto"/>
                <w:highlight w:val="none"/>
                <w:u w:val="none" w:color="auto"/>
              </w:rPr>
              <w:t>均可燃，因此火灾/爆炸次生环境风险较</w:t>
            </w:r>
            <w:r>
              <w:rPr>
                <w:rFonts w:hint="default" w:ascii="Times New Roman" w:hAnsi="Times New Roman" w:eastAsia="宋体" w:cs="Times New Roman"/>
                <w:color w:val="auto"/>
                <w:highlight w:val="none"/>
                <w:u w:val="none" w:color="auto"/>
                <w:lang w:val="en-US" w:eastAsia="zh-CN"/>
              </w:rPr>
              <w:t>大</w:t>
            </w:r>
            <w:r>
              <w:rPr>
                <w:rFonts w:hint="default" w:ascii="Times New Roman" w:hAnsi="Times New Roman" w:eastAsia="宋体" w:cs="Times New Roman"/>
                <w:color w:val="auto"/>
                <w:highlight w:val="none"/>
                <w:u w:val="none" w:color="auto"/>
              </w:rPr>
              <w:t>。</w:t>
            </w:r>
          </w:p>
          <w:p>
            <w:pPr>
              <w:pStyle w:val="279"/>
              <w:numPr>
                <w:ilvl w:val="0"/>
                <w:numId w:val="7"/>
              </w:numPr>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环保设施故障事故排放风险</w:t>
            </w:r>
          </w:p>
          <w:p>
            <w:pPr>
              <w:pStyle w:val="279"/>
              <w:numPr>
                <w:ilvl w:val="0"/>
                <w:numId w:val="0"/>
              </w:numPr>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项目废气环保设施故障时，会导致出现事故排放，出现超标排放，将影响周边大气环境质量。</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rPr>
              <w:t>）环境风险防范措施及应急要求</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1）环境风险防范措施</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①防泄漏措施</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a.所有风险物质贮存区均采用托盘贮存；</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b.危险废物暂存间四周设置导流沟，并设置事故应急池，即使发生泄漏，能有导流沟收集至事故应急池内，谨防事故废液外排；</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c.定期对设备管道、连接阀、原料贮存区进行检查及巡查，防止发生泄漏事件；</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d.制定泄漏事件的风险应急预案，指导企业员工进行应急响应。</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②火灾次生环境风险防范措施</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a.按照消防要求进行厂区建设，各建筑均必须满足相应的消防等级要求；</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b.厂区内配备足够的消防应急物资、消防设施，能够第一时间进行消防响应；</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c.厂房各车间内均安装火灾烟雾报警器，能在火灾的第一时间做出报警，加快响应速度，降低火灾次生环境风险的污染；</w:t>
            </w:r>
          </w:p>
          <w:p>
            <w:p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3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③</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水污染事故防范措施</w:t>
            </w:r>
          </w:p>
          <w:p>
            <w:p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a.制定相关的操作规程，以规范员工的操作，同时加强对员工工作岗位的培训，使他们熟练工艺，避免失误操作导致废水事故排放。</w:t>
            </w:r>
          </w:p>
          <w:p>
            <w:p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szCs w:val="24"/>
                <w:highlight w:val="none"/>
                <w:u w:val="none" w:color="auto"/>
                <w:lang w:val="en-US" w:eastAsia="zh-CN"/>
              </w:rPr>
              <w:t>b.</w:t>
            </w:r>
            <w:r>
              <w:rPr>
                <w:rFonts w:hint="default" w:ascii="Times New Roman" w:hAnsi="Times New Roman" w:eastAsia="宋体" w:cs="Times New Roman"/>
                <w:color w:val="auto"/>
                <w:highlight w:val="none"/>
                <w:u w:val="none" w:color="auto"/>
                <w:lang w:val="en-US" w:eastAsia="zh-CN"/>
              </w:rPr>
              <w:t>做好雨污分流，防止污水进入雨水处理系统。</w:t>
            </w:r>
          </w:p>
          <w:p>
            <w:p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szCs w:val="24"/>
                <w:highlight w:val="none"/>
                <w:u w:val="none" w:color="auto"/>
                <w:lang w:val="en-US" w:eastAsia="zh-CN"/>
              </w:rPr>
              <w:t>c.</w:t>
            </w:r>
            <w:r>
              <w:rPr>
                <w:rFonts w:hint="default" w:ascii="Times New Roman" w:hAnsi="Times New Roman" w:eastAsia="宋体" w:cs="Times New Roman"/>
                <w:color w:val="auto"/>
                <w:highlight w:val="none"/>
                <w:u w:val="none" w:color="auto"/>
                <w:lang w:val="en-US" w:eastAsia="zh-CN"/>
              </w:rPr>
              <w:t>加强管道等的保养，防止其因腐蚀、沉降等导致污水外溢污染周边水体。当依托污水处理设施发生故障时应停止生产，避免废水事故排放，待故障排除后，废水经处理达标后方可排放。</w:t>
            </w:r>
          </w:p>
          <w:p>
            <w:pPr>
              <w:pStyle w:val="279"/>
              <w:spacing w:line="36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2）</w:t>
            </w:r>
            <w:r>
              <w:rPr>
                <w:rFonts w:hint="default" w:ascii="Times New Roman" w:hAnsi="Times New Roman" w:cs="Times New Roman"/>
                <w:color w:val="auto"/>
                <w:highlight w:val="none"/>
                <w:u w:val="none" w:color="auto"/>
                <w:lang w:val="en-US" w:eastAsia="zh-CN"/>
              </w:rPr>
              <w:t>应急措施</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cs="Times New Roman"/>
                <w:color w:val="auto"/>
                <w:highlight w:val="none"/>
                <w:u w:val="none" w:color="auto"/>
                <w:lang w:val="en-US" w:eastAsia="zh-CN"/>
              </w:rPr>
              <w:t>根据《湖南省突发环境事件应急预案管理办法（修订版）》（湘环发〔2024〕49号）相关要求完善</w:t>
            </w:r>
            <w:r>
              <w:rPr>
                <w:rFonts w:hint="default" w:ascii="Times New Roman" w:hAnsi="Times New Roman" w:eastAsia="宋体" w:cs="Times New Roman"/>
                <w:color w:val="auto"/>
                <w:highlight w:val="none"/>
                <w:u w:val="none" w:color="auto"/>
                <w:lang w:val="en-US" w:eastAsia="zh-CN"/>
              </w:rPr>
              <w:t>环境风险应急预案</w:t>
            </w:r>
            <w:r>
              <w:rPr>
                <w:rFonts w:hint="default" w:ascii="Times New Roman" w:hAnsi="Times New Roman" w:cs="Times New Roman"/>
                <w:color w:val="auto"/>
                <w:highlight w:val="none"/>
                <w:u w:val="none" w:color="auto"/>
                <w:lang w:val="en-US" w:eastAsia="zh-CN"/>
              </w:rPr>
              <w:t>相关手续</w:t>
            </w:r>
            <w:r>
              <w:rPr>
                <w:rFonts w:hint="default" w:ascii="Times New Roman" w:hAnsi="Times New Roman" w:eastAsia="宋体" w:cs="Times New Roman"/>
                <w:color w:val="auto"/>
                <w:highlight w:val="none"/>
                <w:u w:val="none" w:color="auto"/>
              </w:rPr>
              <w:t>。</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为了能在事故发生时，迅速准确、有条不紊地处理和控制事故，把损失和危害减少到最低程度，本评价提出了以下风险事故应急预案：</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①最早发现事故的报警责任人，应立即按事故处理程序报警。</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②值班领导及指挥部成员接到报替后，应立即赶赴现场，指挥有关人员迅速查明事故发生的原因。</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③根据事故状况及危害程度作出相应的应急（救护、治安、警戒、疏散、抢修）决定。</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④根据事故程度，如短时间内事故设施无法修复，应向领导汇报，申请暂时停止生产，待事故处理完毕后再行生产。</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⑤事故应急指挥部应协助上级部门和工程抢险队制定、实施抢险方案。</w:t>
            </w:r>
          </w:p>
          <w:p>
            <w:pPr>
              <w:pStyle w:val="279"/>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⑥当事故得到控制后，应积极主动配合事故调查小组，进行事故调查和落实防范措通过采取相应的风险防范措施后，可以将本项目的风险降到较低的水平，本项目的环境风险可以接受。但应加强环境风险管理措施，严格执行风险防范措施，制定应急方案，并进行应急演习。</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）分析结论</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本项目特征及同类项目类比调查，项目环境风险事故发生概率较小，环境风险在可接受范围内。建设单位若能严格执行国家有关环保、安全、卫生和劳动方面的标准规定，严格履行环保“三同时”制度，确保投产过程中环保设施正常运行，投产过程中加强环境和安全管理，做好每日的巡检工作和记录。在做好以上各项安全和环境风险防范措施的前提下，项目的环境风险将降低到可接受的程度。</w:t>
            </w:r>
          </w:p>
          <w:p>
            <w:pPr>
              <w:pStyle w:val="278"/>
              <w:spacing w:before="156"/>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default" w:ascii="Times New Roman" w:hAnsi="Times New Roman" w:cs="Times New Roman"/>
                <w:color w:val="auto"/>
                <w:sz w:val="21"/>
                <w:szCs w:val="21"/>
                <w:highlight w:val="none"/>
                <w:u w:val="none" w:color="auto"/>
                <w:lang w:val="en-US" w:eastAsia="zh-CN"/>
              </w:rPr>
              <w:t>1</w:t>
            </w:r>
            <w:r>
              <w:rPr>
                <w:rFonts w:hint="eastAsia" w:ascii="Times New Roman" w:hAnsi="Times New Roman" w:cs="Times New Roman"/>
                <w:color w:val="auto"/>
                <w:sz w:val="21"/>
                <w:szCs w:val="21"/>
                <w:highlight w:val="none"/>
                <w:u w:val="none" w:color="auto"/>
                <w:lang w:val="en-US" w:eastAsia="zh-CN"/>
              </w:rPr>
              <w:t>7</w:t>
            </w:r>
            <w:r>
              <w:rPr>
                <w:rFonts w:hint="default" w:ascii="Times New Roman" w:hAnsi="Times New Roman" w:eastAsia="宋体" w:cs="Times New Roman"/>
                <w:color w:val="auto"/>
                <w:sz w:val="21"/>
                <w:szCs w:val="21"/>
                <w:highlight w:val="none"/>
                <w:u w:val="none" w:color="auto"/>
              </w:rPr>
              <w:t xml:space="preserve">  建设项目环境风险简单分析内容表</w:t>
            </w:r>
          </w:p>
          <w:tbl>
            <w:tblPr>
              <w:tblStyle w:val="42"/>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051"/>
              <w:gridCol w:w="2076"/>
              <w:gridCol w:w="778"/>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建设项目名称</w:t>
                  </w:r>
                </w:p>
              </w:tc>
              <w:tc>
                <w:tcPr>
                  <w:tcW w:w="3799" w:type="pct"/>
                  <w:gridSpan w:val="4"/>
                  <w:tcBorders>
                    <w:tl2br w:val="nil"/>
                    <w:tr2bl w:val="nil"/>
                  </w:tcBorders>
                </w:tcPr>
                <w:p>
                  <w:pPr>
                    <w:pStyle w:val="253"/>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年破碎72000吨废塑料、废开关插座建设项目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建设地点</w:t>
                  </w:r>
                </w:p>
              </w:tc>
              <w:tc>
                <w:tcPr>
                  <w:tcW w:w="3799" w:type="pct"/>
                  <w:gridSpan w:val="4"/>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湖南省岳阳市汨罗市新市街道循环经济产业园G536与创新大道交汇处（14#生产厂房）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地理坐标</w:t>
                  </w:r>
                </w:p>
              </w:tc>
              <w:tc>
                <w:tcPr>
                  <w:tcW w:w="65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经度</w:t>
                  </w:r>
                </w:p>
              </w:tc>
              <w:tc>
                <w:tcPr>
                  <w:tcW w:w="1302"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113°10′38.110″E</w:t>
                  </w:r>
                </w:p>
              </w:tc>
              <w:tc>
                <w:tcPr>
                  <w:tcW w:w="488"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纬度</w:t>
                  </w:r>
                </w:p>
              </w:tc>
              <w:tc>
                <w:tcPr>
                  <w:tcW w:w="1349"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28°45′54.352″N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主要危险物质及分布</w:t>
                  </w:r>
                </w:p>
              </w:tc>
              <w:tc>
                <w:tcPr>
                  <w:tcW w:w="3799" w:type="pct"/>
                  <w:gridSpan w:val="4"/>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本项目主要环境风险物质为危险废物</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lang w:val="en-US" w:eastAsia="zh-CN"/>
                    </w:rPr>
                    <w:t>废矿物油</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，主要环境风险为危险废物泄漏环境风险及火灾次生环境风险的环境风险</w:t>
                  </w:r>
                  <w:r>
                    <w:rPr>
                      <w:rFonts w:hint="default" w:ascii="Times New Roman" w:hAnsi="Times New Roman" w:eastAsia="宋体" w:cs="Times New Roman"/>
                      <w:color w:val="auto"/>
                      <w:sz w:val="21"/>
                      <w:szCs w:val="21"/>
                      <w:highlight w:val="none"/>
                      <w:u w:val="none" w:color="auto"/>
                      <w:lang w:val="en-US" w:eastAsia="zh-CN"/>
                    </w:rPr>
                    <w:t>和环保设施故障事故排放风险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环境影响途径及危害后果（大气、地表水、地下水等）</w:t>
                  </w:r>
                </w:p>
              </w:tc>
              <w:tc>
                <w:tcPr>
                  <w:tcW w:w="3799" w:type="pct"/>
                  <w:gridSpan w:val="4"/>
                  <w:tcBorders>
                    <w:tl2br w:val="nil"/>
                    <w:tr2bl w:val="nil"/>
                  </w:tcBorders>
                  <w:vAlign w:val="center"/>
                </w:tcPr>
                <w:p>
                  <w:pPr>
                    <w:pStyle w:val="280"/>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cs="Times New Roman"/>
                      <w:color w:val="auto"/>
                      <w:sz w:val="21"/>
                      <w:szCs w:val="21"/>
                      <w:highlight w:val="none"/>
                      <w:u w:val="none" w:color="auto"/>
                      <w:lang w:val="en-US" w:eastAsia="zh-CN"/>
                    </w:rPr>
                    <w:t>危险废物</w:t>
                  </w:r>
                  <w:r>
                    <w:rPr>
                      <w:rFonts w:hint="default" w:ascii="Times New Roman" w:hAnsi="Times New Roman" w:eastAsia="宋体" w:cs="Times New Roman"/>
                      <w:color w:val="auto"/>
                      <w:sz w:val="21"/>
                      <w:szCs w:val="21"/>
                      <w:highlight w:val="none"/>
                      <w:u w:val="none" w:color="auto"/>
                    </w:rPr>
                    <w:t>泄漏风险分析：</w:t>
                  </w:r>
                  <w:r>
                    <w:rPr>
                      <w:rFonts w:hint="default" w:ascii="Times New Roman" w:hAnsi="Times New Roman" w:eastAsia="宋体" w:cs="Times New Roman"/>
                      <w:color w:val="auto"/>
                      <w:sz w:val="21"/>
                      <w:szCs w:val="21"/>
                      <w:highlight w:val="none"/>
                      <w:u w:val="none" w:color="auto"/>
                      <w:lang w:eastAsia="zh-CN"/>
                    </w:rPr>
                    <w:t>废矿物油</w:t>
                  </w:r>
                  <w:r>
                    <w:rPr>
                      <w:rFonts w:hint="default" w:ascii="Times New Roman" w:hAnsi="Times New Roman" w:eastAsia="宋体" w:cs="Times New Roman"/>
                      <w:color w:val="auto"/>
                      <w:sz w:val="21"/>
                      <w:szCs w:val="21"/>
                      <w:highlight w:val="none"/>
                      <w:u w:val="none" w:color="auto"/>
                    </w:rPr>
                    <w:t>贮存于危废暂存间内，且贮存量较小，危废间采取防腐防渗处理，泄漏危害较小，但为进一步降低泄漏环境风险，环评建议项目风险物质采用托盘贮存，即使发生泄漏，能有托盘进行盛装，不会污染厂房地面，降低泄漏污染。2）火灾次生环境风险事件：如若厂区发生火灾，可燃物质的未完全燃烧会导致挥发性有机物及一氧化碳的排放，污染周边环境空气；消防救援时会产生消防废水，消防废水会沾染项目原材料等污染物，主要为油类物质，如若处置不当，消防废水直接排入周边沟渠，则可能造成地表水污染。因此需要项目建设消防废水收集设施。</w:t>
                  </w:r>
                  <w:r>
                    <w:rPr>
                      <w:rFonts w:hint="default" w:ascii="Times New Roman" w:hAnsi="Times New Roman" w:eastAsia="宋体" w:cs="Times New Roman"/>
                      <w:color w:val="auto"/>
                      <w:sz w:val="21"/>
                      <w:szCs w:val="21"/>
                      <w:highlight w:val="none"/>
                      <w:u w:val="none" w:color="auto"/>
                      <w:lang w:val="en-US" w:eastAsia="zh-CN"/>
                    </w:rPr>
                    <w:t>3）环保设施故障事故排放风险：项目废气环保设施故障时，会导致出现事故排放，出现超标排放，将影响周边大气环境质量。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风险防范措施要求</w:t>
                  </w:r>
                </w:p>
              </w:tc>
              <w:tc>
                <w:tcPr>
                  <w:tcW w:w="3799" w:type="pct"/>
                  <w:gridSpan w:val="4"/>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①防泄漏措施：a.危险废物暂存间四周设置导流沟，并设置事故应急池，即使发生泄漏，能有导流沟收集至事故应急池内，谨防事故废液外排；b.定期对设备管道、连接阀、原料贮存区进行检查及巡查，防止发生泄漏事件；c.制定泄漏事件的风险应急预案，指导企业员工进行应急响应。②火灾次生环境风险防范措施：a.按照消防要求进行厂区建设，各建筑均必须满足相应的消防等级要求；b.厂区内配备足够的消防应急物资、消防设施，能够第一时间进行消防响应；c.厂房各车间内均安装火灾烟雾报警器，能在火灾的第一时间做出报警，加快响应速度，降低火灾次生环境风险的污染；</w:t>
                  </w:r>
                  <w:r>
                    <w:rPr>
                      <w:rFonts w:hint="default" w:ascii="Times New Roman" w:hAnsi="Times New Roman" w:eastAsia="宋体" w:cs="Times New Roman"/>
                      <w:color w:val="auto"/>
                      <w:sz w:val="21"/>
                      <w:szCs w:val="21"/>
                      <w:highlight w:val="none"/>
                      <w:u w:val="none" w:color="auto"/>
                      <w:lang w:val="en-US" w:eastAsia="zh-CN"/>
                    </w:rPr>
                    <w:fldChar w:fldCharType="begin"/>
                  </w:r>
                  <w:r>
                    <w:rPr>
                      <w:rFonts w:hint="default" w:ascii="Times New Roman" w:hAnsi="Times New Roman" w:eastAsia="宋体" w:cs="Times New Roman"/>
                      <w:color w:val="auto"/>
                      <w:sz w:val="21"/>
                      <w:szCs w:val="21"/>
                      <w:highlight w:val="none"/>
                      <w:u w:val="none" w:color="auto"/>
                      <w:lang w:val="en-US" w:eastAsia="zh-CN"/>
                    </w:rPr>
                    <w:instrText xml:space="preserve"> = 3 \* GB3 \* MERGEFORMAT </w:instrText>
                  </w:r>
                  <w:r>
                    <w:rPr>
                      <w:rFonts w:hint="default" w:ascii="Times New Roman" w:hAnsi="Times New Roman" w:eastAsia="宋体" w:cs="Times New Roman"/>
                      <w:color w:val="auto"/>
                      <w:sz w:val="21"/>
                      <w:szCs w:val="21"/>
                      <w:highlight w:val="none"/>
                      <w:u w:val="none" w:color="auto"/>
                      <w:lang w:val="en-US" w:eastAsia="zh-CN"/>
                    </w:rPr>
                    <w:fldChar w:fldCharType="separate"/>
                  </w:r>
                  <w:r>
                    <w:rPr>
                      <w:rFonts w:hint="default" w:ascii="Times New Roman" w:hAnsi="Times New Roman" w:eastAsia="宋体" w:cs="Times New Roman"/>
                      <w:color w:val="auto"/>
                      <w:sz w:val="21"/>
                      <w:szCs w:val="21"/>
                      <w:highlight w:val="none"/>
                      <w:u w:val="none" w:color="auto"/>
                    </w:rPr>
                    <w:t>③</w:t>
                  </w:r>
                  <w:r>
                    <w:rPr>
                      <w:rFonts w:hint="default" w:ascii="Times New Roman" w:hAnsi="Times New Roman" w:eastAsia="宋体" w:cs="Times New Roman"/>
                      <w:color w:val="auto"/>
                      <w:sz w:val="21"/>
                      <w:szCs w:val="21"/>
                      <w:highlight w:val="none"/>
                      <w:u w:val="none" w:color="auto"/>
                      <w:lang w:val="en-US" w:eastAsia="zh-CN"/>
                    </w:rPr>
                    <w:fldChar w:fldCharType="end"/>
                  </w:r>
                  <w:r>
                    <w:rPr>
                      <w:rFonts w:hint="default" w:ascii="Times New Roman" w:hAnsi="Times New Roman" w:eastAsia="宋体" w:cs="Times New Roman"/>
                      <w:color w:val="auto"/>
                      <w:sz w:val="21"/>
                      <w:szCs w:val="21"/>
                      <w:highlight w:val="none"/>
                      <w:u w:val="none" w:color="auto"/>
                      <w:lang w:val="en-US" w:eastAsia="zh-CN"/>
                    </w:rPr>
                    <w:t>水污染事故防范措施：a.制定相关的操作规程，以规范员工的操作，同时加强对员工工作岗位的培训，使他们熟练工艺，避免失误操作导致废水事故排放。b做好雨污分流，防止污水进入雨水处理系统。c.加强管道等的保养，防止其因腐蚀、沉降等导致污水外溢污染周边水体。当依托污水处理设施发生故障时应停止生产，避免废水事故排放，待故障排除后，废水经处理达标后方可排放。</w:t>
                  </w:r>
                  <w:r>
                    <w:rPr>
                      <w:rFonts w:hint="default" w:ascii="Times New Roman" w:hAnsi="Times New Roman" w:eastAsia="宋体" w:cs="Times New Roman"/>
                      <w:color w:val="auto"/>
                      <w:sz w:val="21"/>
                      <w:szCs w:val="21"/>
                      <w:highlight w:val="none"/>
                      <w:u w:val="none" w:color="auto"/>
                      <w:lang w:val="en-US" w:eastAsia="zh-CN"/>
                    </w:rPr>
                    <w:fldChar w:fldCharType="begin"/>
                  </w:r>
                  <w:r>
                    <w:rPr>
                      <w:rFonts w:hint="default" w:ascii="Times New Roman" w:hAnsi="Times New Roman" w:eastAsia="宋体" w:cs="Times New Roman"/>
                      <w:color w:val="auto"/>
                      <w:sz w:val="21"/>
                      <w:szCs w:val="21"/>
                      <w:highlight w:val="none"/>
                      <w:u w:val="none" w:color="auto"/>
                      <w:lang w:val="en-US" w:eastAsia="zh-CN"/>
                    </w:rPr>
                    <w:instrText xml:space="preserve"> = 4 \* GB3 \* MERGEFORMAT </w:instrText>
                  </w:r>
                  <w:r>
                    <w:rPr>
                      <w:rFonts w:hint="default" w:ascii="Times New Roman" w:hAnsi="Times New Roman" w:eastAsia="宋体" w:cs="Times New Roman"/>
                      <w:color w:val="auto"/>
                      <w:sz w:val="21"/>
                      <w:szCs w:val="21"/>
                      <w:highlight w:val="none"/>
                      <w:u w:val="none" w:color="auto"/>
                      <w:lang w:val="en-US" w:eastAsia="zh-CN"/>
                    </w:rPr>
                    <w:fldChar w:fldCharType="separate"/>
                  </w:r>
                  <w:r>
                    <w:rPr>
                      <w:rFonts w:hint="default" w:ascii="Times New Roman" w:hAnsi="Times New Roman" w:eastAsia="宋体" w:cs="Times New Roman"/>
                      <w:color w:val="auto"/>
                      <w:sz w:val="21"/>
                      <w:szCs w:val="21"/>
                      <w:highlight w:val="none"/>
                      <w:u w:val="none" w:color="auto"/>
                    </w:rPr>
                    <w:t>④</w:t>
                  </w:r>
                  <w:r>
                    <w:rPr>
                      <w:rFonts w:hint="default" w:ascii="Times New Roman" w:hAnsi="Times New Roman" w:eastAsia="宋体" w:cs="Times New Roman"/>
                      <w:color w:val="auto"/>
                      <w:sz w:val="21"/>
                      <w:szCs w:val="21"/>
                      <w:highlight w:val="none"/>
                      <w:u w:val="none" w:color="auto"/>
                      <w:lang w:val="en-US" w:eastAsia="zh-CN"/>
                    </w:rPr>
                    <w:fldChar w:fldCharType="end"/>
                  </w:r>
                  <w:r>
                    <w:rPr>
                      <w:rFonts w:hint="default" w:ascii="Times New Roman" w:hAnsi="Times New Roman" w:eastAsia="宋体" w:cs="Times New Roman"/>
                      <w:color w:val="auto"/>
                      <w:sz w:val="21"/>
                      <w:szCs w:val="21"/>
                      <w:highlight w:val="none"/>
                      <w:u w:val="none" w:color="auto"/>
                      <w:lang w:val="en-US" w:eastAsia="zh-CN"/>
                    </w:rPr>
                    <w:t>废气事故防范措施：a.废气处理设备制定严格的操作规程，严格按操作规程进行运行控制，防止误操作导致废气事故排放，操作规程上墙，并在各危险区域张贴应急联系电话。b.废气处理设备定期检查，以保证废气的处理效果符合排放标准。c.管理人员每天对各废气处理设施巡检一次，查看废气处理设施运转是否正常，运行控制是否到位，不定时对各记录表进行检查。d.生产车间空气中有害物质的允许浓度按《工业设计卫生制度》执行，由区职业健康监护所每年对全厂尘、毒、噪音进行监测，每年不少于一次，并在监测牌上登记公布，并建立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填表说明（列出项目相关信息及评价说明）：</w:t>
                  </w:r>
                </w:p>
                <w:p>
                  <w:pPr>
                    <w:pStyle w:val="28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生产过程中涉及环境风险物质为</w:t>
                  </w:r>
                  <w:r>
                    <w:rPr>
                      <w:rFonts w:hint="default" w:ascii="Times New Roman" w:hAnsi="Times New Roman" w:eastAsia="宋体" w:cs="Times New Roman"/>
                      <w:color w:val="auto"/>
                      <w:sz w:val="21"/>
                      <w:szCs w:val="21"/>
                      <w:highlight w:val="none"/>
                      <w:u w:val="none" w:color="auto"/>
                      <w:lang w:eastAsia="zh-CN"/>
                    </w:rPr>
                    <w:t>废矿物油</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lang w:val="en-US" w:eastAsia="zh-CN"/>
                    </w:rPr>
                    <w:t>废活性炭</w:t>
                  </w:r>
                  <w:r>
                    <w:rPr>
                      <w:rFonts w:hint="default" w:ascii="Times New Roman" w:hAnsi="Times New Roman" w:eastAsia="宋体" w:cs="Times New Roman"/>
                      <w:color w:val="auto"/>
                      <w:sz w:val="21"/>
                      <w:szCs w:val="21"/>
                      <w:highlight w:val="none"/>
                      <w:u w:val="none" w:color="auto"/>
                    </w:rPr>
                    <w:t>，Q</w:t>
                  </w:r>
                  <w:r>
                    <w:rPr>
                      <w:rFonts w:hint="default" w:ascii="Times New Roman" w:hAnsi="Times New Roman" w:eastAsia="宋体" w:cs="Times New Roman"/>
                      <w:color w:val="auto"/>
                      <w:sz w:val="21"/>
                      <w:szCs w:val="21"/>
                      <w:highlight w:val="none"/>
                      <w:u w:val="none" w:color="auto"/>
                      <w:lang w:val="en-US" w:eastAsia="zh-CN"/>
                    </w:rPr>
                    <w:t>=0.0</w:t>
                  </w:r>
                  <w:r>
                    <w:rPr>
                      <w:rFonts w:hint="default" w:ascii="Times New Roman" w:hAnsi="Times New Roman" w:cs="Times New Roman"/>
                      <w:color w:val="auto"/>
                      <w:sz w:val="21"/>
                      <w:szCs w:val="21"/>
                      <w:highlight w:val="none"/>
                      <w:u w:val="none" w:color="auto"/>
                      <w:lang w:val="en-US" w:eastAsia="zh-CN"/>
                    </w:rPr>
                    <w:t>1002＜1</w:t>
                  </w:r>
                  <w:r>
                    <w:rPr>
                      <w:rFonts w:hint="default" w:ascii="Times New Roman" w:hAnsi="Times New Roman" w:eastAsia="宋体" w:cs="Times New Roman"/>
                      <w:color w:val="auto"/>
                      <w:sz w:val="21"/>
                      <w:szCs w:val="21"/>
                      <w:highlight w:val="none"/>
                      <w:u w:val="none" w:color="auto"/>
                    </w:rPr>
                    <w:t>，环境风险潜势为Ⅰ，主要的环境风险事故为环保运行设施泄露引发的污染事件，要严格按照操作规范，加强对操作工人的培训，有效减少事故发生。</w:t>
                  </w:r>
                </w:p>
              </w:tc>
            </w:tr>
          </w:tbl>
          <w:p>
            <w:pPr>
              <w:pStyle w:val="285"/>
              <w:spacing w:line="360" w:lineRule="auto"/>
              <w:ind w:firstLine="482"/>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七</w:t>
            </w:r>
            <w:r>
              <w:rPr>
                <w:rFonts w:hint="default" w:ascii="Times New Roman" w:hAnsi="Times New Roman" w:eastAsia="宋体" w:cs="Times New Roman"/>
                <w:b/>
                <w:bCs/>
                <w:color w:val="auto"/>
                <w:highlight w:val="none"/>
                <w:u w:val="none" w:color="auto"/>
              </w:rPr>
              <w:t>、排污口规范化设置</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本项目的污染物排放口（源）和固体废物贮存、处置场，必须实行规范化整治。按照国家标准《环境保护图形标志》（GB15562.1-1995）（GB15562.2-1995）及《环境保护图形标志实施细则（试行）》</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危险废物识别标志设置技术规范</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fldChar w:fldCharType="begin"/>
            </w:r>
            <w:r>
              <w:rPr>
                <w:rFonts w:hint="default" w:ascii="Times New Roman" w:hAnsi="Times New Roman" w:eastAsia="宋体" w:cs="Times New Roman"/>
                <w:color w:val="auto"/>
                <w:highlight w:val="none"/>
                <w:u w:val="none" w:color="auto"/>
              </w:rPr>
              <w:instrText xml:space="preserve"> HYPERLINK "https://www.mee.gov.cn/ywgz/fgbz/bz/bzwb/gthw/wxfwjbffbz/202302/W020230224650971041729.pdf" </w:instrText>
            </w:r>
            <w:r>
              <w:rPr>
                <w:rFonts w:hint="default" w:ascii="Times New Roman" w:hAnsi="Times New Roman" w:eastAsia="宋体" w:cs="Times New Roman"/>
                <w:color w:val="auto"/>
                <w:highlight w:val="none"/>
                <w:u w:val="none" w:color="auto"/>
              </w:rPr>
              <w:fldChar w:fldCharType="separate"/>
            </w:r>
            <w:r>
              <w:rPr>
                <w:rFonts w:hint="default" w:ascii="Times New Roman" w:hAnsi="Times New Roman" w:eastAsia="宋体" w:cs="Times New Roman"/>
                <w:color w:val="auto"/>
                <w:highlight w:val="none"/>
                <w:u w:val="none" w:color="auto"/>
              </w:rPr>
              <w:t xml:space="preserve"> （HJ 1276—2022）</w:t>
            </w:r>
            <w:r>
              <w:rPr>
                <w:rFonts w:hint="default" w:ascii="Times New Roman" w:hAnsi="Times New Roman" w:eastAsia="宋体" w:cs="Times New Roman"/>
                <w:color w:val="auto"/>
                <w:highlight w:val="none"/>
                <w:u w:val="none" w:color="auto"/>
              </w:rPr>
              <w:fldChar w:fldCharType="end"/>
            </w:r>
            <w:r>
              <w:rPr>
                <w:rFonts w:hint="default" w:ascii="Times New Roman" w:hAnsi="Times New Roman" w:eastAsia="宋体" w:cs="Times New Roman"/>
                <w:color w:val="auto"/>
                <w:highlight w:val="none"/>
                <w:u w:val="none" w:color="auto"/>
              </w:rPr>
              <w:t>的规定，设置与排污口相应的图形标志牌。根据《环境保护图形标志实施细则》（试行）：第七条 一般性污染物排放口（源）或固体废物贮存（处置）场，设置提示性环境保护图形标志牌，根据现场具体情况，选用立式或平面固定式。排放剧毒、致癌物及对人体有严重危害物质的排放口（源）或危险废物贮存（处置）场，设置警告性环境保护图形标志牌，根据现场具体情况，选用立式或平面固定式。</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（1）排气筒及污水排放口设置</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排气筒</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lang w:val="en-US" w:eastAsia="zh-CN"/>
              </w:rPr>
              <w:t>本项目无排气筒设置</w:t>
            </w:r>
            <w:r>
              <w:rPr>
                <w:rFonts w:hint="default" w:ascii="Times New Roman" w:hAnsi="Times New Roman" w:eastAsia="宋体" w:cs="Times New Roman"/>
                <w:color w:val="auto"/>
                <w:highlight w:val="none"/>
                <w:u w:val="none" w:color="auto"/>
              </w:rPr>
              <w:t>。</w:t>
            </w:r>
          </w:p>
          <w:p>
            <w:pPr>
              <w:pStyle w:val="286"/>
              <w:snapToGrid w:val="0"/>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污水排放口：</w:t>
            </w:r>
            <w:r>
              <w:rPr>
                <w:rFonts w:hint="default" w:ascii="Times New Roman" w:hAnsi="Times New Roman" w:cs="Times New Roman"/>
                <w:color w:val="auto"/>
                <w:sz w:val="24"/>
                <w:szCs w:val="24"/>
                <w:highlight w:val="none"/>
                <w:u w:val="single" w:color="auto"/>
                <w:lang w:val="en-US" w:eastAsia="zh-CN"/>
              </w:rPr>
              <w:t>本项目生产废水</w:t>
            </w:r>
            <w:r>
              <w:rPr>
                <w:rFonts w:hint="eastAsia" w:ascii="Times New Roman" w:hAnsi="Times New Roman" w:cs="Times New Roman"/>
                <w:color w:val="auto"/>
                <w:sz w:val="24"/>
                <w:szCs w:val="24"/>
                <w:highlight w:val="none"/>
                <w:u w:val="single" w:color="auto"/>
                <w:lang w:val="en-US" w:eastAsia="zh-CN"/>
              </w:rPr>
              <w:t>经沉淀池处理后</w:t>
            </w:r>
            <w:r>
              <w:rPr>
                <w:rFonts w:hint="default" w:ascii="Times New Roman" w:hAnsi="Times New Roman" w:cs="Times New Roman"/>
                <w:color w:val="auto"/>
                <w:sz w:val="24"/>
                <w:szCs w:val="24"/>
                <w:highlight w:val="none"/>
                <w:u w:val="single" w:color="auto"/>
                <w:lang w:val="en-US" w:eastAsia="zh-CN"/>
              </w:rPr>
              <w:t>有限回用，外排部分依托湖南中塑新材料科技有限公司污水处理设施处理达标后，最终排入汨罗高新区再生材料产业园污水处理厂，</w:t>
            </w:r>
            <w:r>
              <w:rPr>
                <w:rFonts w:hint="default" w:ascii="Times New Roman" w:hAnsi="Times New Roman" w:cs="Times New Roman"/>
                <w:color w:val="auto"/>
                <w:sz w:val="24"/>
                <w:szCs w:val="24"/>
                <w:highlight w:val="none"/>
                <w:u w:val="none" w:color="auto"/>
                <w:lang w:val="en-US" w:eastAsia="zh-CN"/>
              </w:rPr>
              <w:t>生活污水经化粪池处理后排入</w:t>
            </w:r>
            <w:r>
              <w:rPr>
                <w:rStyle w:val="68"/>
                <w:rFonts w:hint="default" w:ascii="Times New Roman" w:hAnsi="Times New Roman" w:eastAsia="宋体" w:cs="Times New Roman"/>
                <w:b w:val="0"/>
                <w:bCs w:val="0"/>
                <w:color w:val="auto"/>
                <w:sz w:val="24"/>
                <w:szCs w:val="24"/>
                <w:highlight w:val="none"/>
                <w:u w:val="none" w:color="auto"/>
                <w:lang w:val="en-US" w:eastAsia="zh-CN"/>
              </w:rPr>
              <w:t>湖南汨罗高新技术产业开发区（循环园区）污水处理厂。</w:t>
            </w:r>
          </w:p>
          <w:p>
            <w:pPr>
              <w:pStyle w:val="286"/>
              <w:snapToGrid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①合理确定排污口位置，并按《污染源监测技术规范》设置采样点；</w:t>
            </w:r>
          </w:p>
          <w:p>
            <w:pPr>
              <w:pStyle w:val="286"/>
              <w:snapToGrid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②对厂区污水处理设施排口应编号</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u w:val="none" w:color="auto"/>
              </w:rPr>
              <w:t>设立规范的排污口标识标牌；</w:t>
            </w:r>
            <w:r>
              <w:rPr>
                <w:rFonts w:hint="default" w:ascii="Times New Roman" w:hAnsi="Times New Roman" w:eastAsia="宋体" w:cs="Times New Roman"/>
                <w:color w:val="auto"/>
                <w:sz w:val="24"/>
                <w:szCs w:val="24"/>
                <w:highlight w:val="none"/>
                <w:u w:val="none" w:color="auto"/>
              </w:rPr>
              <w:t>标志牌按照《环境保护图形标志》（GB 15562.1-2-1995）的规定统一定点监制，环境保护图形见下表。</w:t>
            </w:r>
          </w:p>
          <w:p>
            <w:pPr>
              <w:pStyle w:val="286"/>
              <w:snapToGrid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③建立排污口档案。内容包括排污单位名称、排污口编号、适用的计量方式、排污口位置；所排污染物来源、种类、浓度及计量纪录；排放去向、维护和更新记录等。</w:t>
            </w:r>
          </w:p>
          <w:p>
            <w:pPr>
              <w:pStyle w:val="286"/>
              <w:snapToGrid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④规范化整治排污口有关设施属于环境保护设施，项目应将其纳入本单位设备管理，并选派责任心强、有专业知识和技能的兼专职人员对排污口进行管理。</w:t>
            </w:r>
          </w:p>
          <w:p>
            <w:pPr>
              <w:pStyle w:val="286"/>
              <w:snapToGrid w:val="0"/>
              <w:spacing w:line="360" w:lineRule="auto"/>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5 \* GB3 \* MERGEFORMAT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u w:val="none" w:color="auto"/>
              </w:rPr>
              <w:t>⑤</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t>环境图形标志：标志牌设置应距污染物排放口（源）及固体废物贮存（处置）场或采样、监测点附近且醒目处，并能长久保留。可根据情况分别选择设置立式或平面固定式标志牌，在地面设置标志牌上缘距离地面2米。</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（2）排污口管理</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285"/>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本项目环境保护图形符号具体见表4-</w:t>
            </w:r>
            <w:r>
              <w:rPr>
                <w:rFonts w:hint="default" w:ascii="Times New Roman" w:hAnsi="Times New Roman" w:cs="Times New Roman"/>
                <w:color w:val="auto"/>
                <w:highlight w:val="none"/>
                <w:u w:val="none" w:color="auto"/>
                <w:lang w:val="en-US" w:eastAsia="zh-CN"/>
              </w:rPr>
              <w:t>17</w:t>
            </w:r>
            <w:r>
              <w:rPr>
                <w:rFonts w:hint="default" w:ascii="Times New Roman" w:hAnsi="Times New Roman" w:eastAsia="宋体" w:cs="Times New Roman"/>
                <w:color w:val="auto"/>
                <w:highlight w:val="none"/>
                <w:u w:val="none" w:color="auto"/>
              </w:rPr>
              <w:t>。</w:t>
            </w:r>
          </w:p>
          <w:p>
            <w:pPr>
              <w:pStyle w:val="278"/>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default" w:ascii="Times New Roman" w:hAnsi="Times New Roman" w:cs="Times New Roman"/>
                <w:color w:val="auto"/>
                <w:sz w:val="21"/>
                <w:szCs w:val="21"/>
                <w:highlight w:val="none"/>
                <w:u w:val="none" w:color="auto"/>
                <w:lang w:val="en-US" w:eastAsia="zh-CN"/>
              </w:rPr>
              <w:t>17</w:t>
            </w:r>
            <w:r>
              <w:rPr>
                <w:rFonts w:hint="default" w:ascii="Times New Roman" w:hAnsi="Times New Roman" w:eastAsia="宋体" w:cs="Times New Roman"/>
                <w:color w:val="auto"/>
                <w:sz w:val="21"/>
                <w:szCs w:val="21"/>
                <w:highlight w:val="none"/>
                <w:u w:val="none" w:color="auto"/>
              </w:rPr>
              <w:t xml:space="preserve">  排放口图形标志</w:t>
            </w:r>
          </w:p>
          <w:tbl>
            <w:tblPr>
              <w:tblStyle w:val="42"/>
              <w:tblpPr w:leftFromText="180" w:rightFromText="180" w:vertAnchor="text" w:horzAnchor="page" w:tblpX="124" w:tblpY="271"/>
              <w:tblOverlap w:val="never"/>
              <w:tblW w:w="79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8"/>
              <w:gridCol w:w="1853"/>
              <w:gridCol w:w="391"/>
              <w:gridCol w:w="1769"/>
              <w:gridCol w:w="391"/>
              <w:gridCol w:w="900"/>
              <w:gridCol w:w="391"/>
              <w:gridCol w:w="1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8" w:type="dxa"/>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序号</w:t>
                  </w:r>
                </w:p>
              </w:tc>
              <w:tc>
                <w:tcPr>
                  <w:tcW w:w="1853" w:type="dxa"/>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提示图形符号</w:t>
                  </w:r>
                </w:p>
              </w:tc>
              <w:tc>
                <w:tcPr>
                  <w:tcW w:w="2160"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警告图形符号</w:t>
                  </w:r>
                </w:p>
              </w:tc>
              <w:tc>
                <w:tcPr>
                  <w:tcW w:w="1291"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名称</w:t>
                  </w:r>
                </w:p>
              </w:tc>
              <w:tc>
                <w:tcPr>
                  <w:tcW w:w="1988"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628" w:type="dxa"/>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1</w:t>
                  </w:r>
                </w:p>
              </w:tc>
              <w:tc>
                <w:tcPr>
                  <w:tcW w:w="1853" w:type="dxa"/>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drawing>
                      <wp:inline distT="0" distB="0" distL="114300" distR="114300">
                        <wp:extent cx="882650" cy="906145"/>
                        <wp:effectExtent l="0" t="0" r="12700" b="8255"/>
                        <wp:docPr id="4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true"/>
                                </pic:cNvPicPr>
                              </pic:nvPicPr>
                              <pic:blipFill>
                                <a:blip r:embed="rId27"/>
                                <a:stretch>
                                  <a:fillRect/>
                                </a:stretch>
                              </pic:blipFill>
                              <pic:spPr>
                                <a:xfrm>
                                  <a:off x="0" y="0"/>
                                  <a:ext cx="882650" cy="906145"/>
                                </a:xfrm>
                                <a:prstGeom prst="rect">
                                  <a:avLst/>
                                </a:prstGeom>
                                <a:noFill/>
                                <a:ln>
                                  <a:noFill/>
                                </a:ln>
                              </pic:spPr>
                            </pic:pic>
                          </a:graphicData>
                        </a:graphic>
                      </wp:inline>
                    </w:drawing>
                  </w:r>
                </w:p>
              </w:tc>
              <w:tc>
                <w:tcPr>
                  <w:tcW w:w="2160"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drawing>
                      <wp:inline distT="0" distB="0" distL="114300" distR="114300">
                        <wp:extent cx="970280" cy="993775"/>
                        <wp:effectExtent l="0" t="0" r="1270" b="15875"/>
                        <wp:docPr id="2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true"/>
                                </pic:cNvPicPr>
                              </pic:nvPicPr>
                              <pic:blipFill>
                                <a:blip r:embed="rId28"/>
                                <a:stretch>
                                  <a:fillRect/>
                                </a:stretch>
                              </pic:blipFill>
                              <pic:spPr>
                                <a:xfrm>
                                  <a:off x="0" y="0"/>
                                  <a:ext cx="970280" cy="993775"/>
                                </a:xfrm>
                                <a:prstGeom prst="rect">
                                  <a:avLst/>
                                </a:prstGeom>
                                <a:noFill/>
                                <a:ln>
                                  <a:noFill/>
                                </a:ln>
                              </pic:spPr>
                            </pic:pic>
                          </a:graphicData>
                        </a:graphic>
                      </wp:inline>
                    </w:drawing>
                  </w:r>
                </w:p>
              </w:tc>
              <w:tc>
                <w:tcPr>
                  <w:tcW w:w="1291"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废水排放口</w:t>
                  </w:r>
                </w:p>
              </w:tc>
              <w:tc>
                <w:tcPr>
                  <w:tcW w:w="1988" w:type="dxa"/>
                  <w:gridSpan w:val="2"/>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表示废水向水体排放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8" w:type="dxa"/>
                  <w:tcBorders>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lang w:eastAsia="zh-CN"/>
                    </w:rPr>
                  </w:pPr>
                  <w:r>
                    <w:rPr>
                      <w:rFonts w:hint="default" w:ascii="Times New Roman" w:hAnsi="Times New Roman" w:cs="Times New Roman"/>
                      <w:color w:val="auto"/>
                      <w:sz w:val="18"/>
                      <w:szCs w:val="18"/>
                      <w:u w:val="none" w:color="auto"/>
                      <w:lang w:val="en-US" w:eastAsia="zh-CN"/>
                    </w:rPr>
                    <w:t>2</w:t>
                  </w:r>
                </w:p>
              </w:tc>
              <w:tc>
                <w:tcPr>
                  <w:tcW w:w="1853" w:type="dxa"/>
                  <w:tcBorders>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drawing>
                      <wp:inline distT="0" distB="0" distL="114300" distR="114300">
                        <wp:extent cx="906145" cy="914400"/>
                        <wp:effectExtent l="0" t="0" r="8255" b="0"/>
                        <wp:docPr id="2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true"/>
                                </pic:cNvPicPr>
                              </pic:nvPicPr>
                              <pic:blipFill>
                                <a:blip r:embed="rId29"/>
                                <a:stretch>
                                  <a:fillRect/>
                                </a:stretch>
                              </pic:blipFill>
                              <pic:spPr>
                                <a:xfrm>
                                  <a:off x="0" y="0"/>
                                  <a:ext cx="906145" cy="914400"/>
                                </a:xfrm>
                                <a:prstGeom prst="rect">
                                  <a:avLst/>
                                </a:prstGeom>
                                <a:noFill/>
                                <a:ln>
                                  <a:noFill/>
                                </a:ln>
                              </pic:spPr>
                            </pic:pic>
                          </a:graphicData>
                        </a:graphic>
                      </wp:inline>
                    </w:drawing>
                  </w:r>
                </w:p>
              </w:tc>
              <w:tc>
                <w:tcPr>
                  <w:tcW w:w="2160" w:type="dxa"/>
                  <w:gridSpan w:val="2"/>
                  <w:tcBorders>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drawing>
                      <wp:inline distT="0" distB="0" distL="114300" distR="114300">
                        <wp:extent cx="1017905" cy="954405"/>
                        <wp:effectExtent l="0" t="0" r="10795" b="17145"/>
                        <wp:docPr id="4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true"/>
                                </pic:cNvPicPr>
                              </pic:nvPicPr>
                              <pic:blipFill>
                                <a:blip r:embed="rId30"/>
                                <a:stretch>
                                  <a:fillRect/>
                                </a:stretch>
                              </pic:blipFill>
                              <pic:spPr>
                                <a:xfrm>
                                  <a:off x="0" y="0"/>
                                  <a:ext cx="1017905" cy="954405"/>
                                </a:xfrm>
                                <a:prstGeom prst="rect">
                                  <a:avLst/>
                                </a:prstGeom>
                                <a:noFill/>
                                <a:ln>
                                  <a:noFill/>
                                </a:ln>
                              </pic:spPr>
                            </pic:pic>
                          </a:graphicData>
                        </a:graphic>
                      </wp:inline>
                    </w:drawing>
                  </w:r>
                </w:p>
              </w:tc>
              <w:tc>
                <w:tcPr>
                  <w:tcW w:w="1291" w:type="dxa"/>
                  <w:gridSpan w:val="2"/>
                  <w:tcBorders>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一般固体废物</w:t>
                  </w:r>
                </w:p>
              </w:tc>
              <w:tc>
                <w:tcPr>
                  <w:tcW w:w="1988" w:type="dxa"/>
                  <w:gridSpan w:val="2"/>
                  <w:vMerge w:val="restart"/>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表示固体废物贮存、处置场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628" w:type="dxa"/>
                  <w:tcBorders>
                    <w:top w:val="single" w:color="auto" w:sz="4" w:space="0"/>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cs="Times New Roman"/>
                      <w:color w:val="auto"/>
                      <w:sz w:val="18"/>
                      <w:szCs w:val="18"/>
                      <w:u w:val="none" w:color="auto"/>
                      <w:lang w:val="en-US" w:eastAsia="zh-CN"/>
                    </w:rPr>
                    <w:t>3</w:t>
                  </w:r>
                </w:p>
              </w:tc>
              <w:tc>
                <w:tcPr>
                  <w:tcW w:w="1853" w:type="dxa"/>
                  <w:tcBorders>
                    <w:top w:val="single" w:color="auto" w:sz="4" w:space="0"/>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lang w:val="en-US" w:eastAsia="zh-CN"/>
                    </w:rPr>
                  </w:pPr>
                  <w:r>
                    <w:rPr>
                      <w:rFonts w:hint="default" w:ascii="Times New Roman" w:hAnsi="Times New Roman" w:eastAsia="宋体" w:cs="Times New Roman"/>
                      <w:color w:val="auto"/>
                      <w:sz w:val="18"/>
                      <w:szCs w:val="18"/>
                      <w:u w:val="none" w:color="auto"/>
                      <w:lang w:val="en-US" w:eastAsia="zh-CN"/>
                    </w:rPr>
                    <w:t>/</w:t>
                  </w:r>
                </w:p>
              </w:tc>
              <w:tc>
                <w:tcPr>
                  <w:tcW w:w="2160" w:type="dxa"/>
                  <w:gridSpan w:val="2"/>
                  <w:tcBorders>
                    <w:top w:val="single" w:color="auto" w:sz="4" w:space="0"/>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u w:val="none" w:color="auto"/>
                    </w:rPr>
                    <w:drawing>
                      <wp:inline distT="0" distB="0" distL="114300" distR="114300">
                        <wp:extent cx="1061720" cy="946785"/>
                        <wp:effectExtent l="0" t="0" r="5080" b="5715"/>
                        <wp:docPr id="5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true"/>
                                </pic:cNvPicPr>
                              </pic:nvPicPr>
                              <pic:blipFill>
                                <a:blip r:embed="rId31"/>
                                <a:stretch>
                                  <a:fillRect/>
                                </a:stretch>
                              </pic:blipFill>
                              <pic:spPr>
                                <a:xfrm>
                                  <a:off x="0" y="0"/>
                                  <a:ext cx="1061720" cy="946785"/>
                                </a:xfrm>
                                <a:prstGeom prst="rect">
                                  <a:avLst/>
                                </a:prstGeom>
                                <a:noFill/>
                                <a:ln>
                                  <a:noFill/>
                                </a:ln>
                              </pic:spPr>
                            </pic:pic>
                          </a:graphicData>
                        </a:graphic>
                      </wp:inline>
                    </w:drawing>
                  </w:r>
                </w:p>
              </w:tc>
              <w:tc>
                <w:tcPr>
                  <w:tcW w:w="1291" w:type="dxa"/>
                  <w:gridSpan w:val="2"/>
                  <w:tcBorders>
                    <w:top w:val="single" w:color="auto" w:sz="4" w:space="0"/>
                    <w:bottom w:val="single" w:color="auto" w:sz="4" w:space="0"/>
                  </w:tcBorders>
                  <w:noWrap w:val="0"/>
                  <w:vAlign w:val="center"/>
                </w:tcPr>
                <w:p>
                  <w:pPr>
                    <w:pStyle w:val="292"/>
                    <w:bidi w:val="0"/>
                    <w:rPr>
                      <w:rFonts w:hint="default" w:ascii="Times New Roman" w:hAnsi="Times New Roman" w:eastAsia="宋体" w:cs="Times New Roman"/>
                      <w:color w:val="auto"/>
                      <w:sz w:val="18"/>
                      <w:szCs w:val="18"/>
                      <w:u w:val="none" w:color="auto"/>
                    </w:rPr>
                  </w:pPr>
                  <w:r>
                    <w:rPr>
                      <w:rFonts w:hint="default" w:ascii="Times New Roman" w:hAnsi="Times New Roman" w:eastAsia="宋体" w:cs="Times New Roman"/>
                      <w:color w:val="auto"/>
                      <w:sz w:val="18"/>
                      <w:szCs w:val="18"/>
                      <w:u w:val="none" w:color="auto"/>
                    </w:rPr>
                    <w:t>危险废物</w:t>
                  </w:r>
                </w:p>
              </w:tc>
              <w:tc>
                <w:tcPr>
                  <w:tcW w:w="1988" w:type="dxa"/>
                  <w:gridSpan w:val="2"/>
                  <w:vMerge w:val="continue"/>
                  <w:noWrap w:val="0"/>
                  <w:vAlign w:val="center"/>
                </w:tcPr>
                <w:p>
                  <w:pPr>
                    <w:pStyle w:val="292"/>
                    <w:bidi w:val="0"/>
                    <w:rPr>
                      <w:rFonts w:hint="default" w:ascii="Times New Roman" w:hAnsi="Times New Roman" w:eastAsia="宋体" w:cs="Times New Roman"/>
                      <w:color w:val="auto"/>
                      <w:sz w:val="18"/>
                      <w:szCs w:val="18"/>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8" w:type="dxa"/>
                  <w:tcBorders>
                    <w:top w:val="single" w:color="auto" w:sz="4" w:space="0"/>
                  </w:tcBorders>
                  <w:noWrap w:val="0"/>
                  <w:vAlign w:val="center"/>
                </w:tcPr>
                <w:p>
                  <w:pPr>
                    <w:pStyle w:val="27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sz w:val="21"/>
                      <w:szCs w:val="21"/>
                      <w:u w:val="none" w:color="auto"/>
                      <w:lang w:val="en-US" w:eastAsia="zh-CN"/>
                    </w:rPr>
                    <w:t>4</w:t>
                  </w:r>
                </w:p>
              </w:tc>
              <w:tc>
                <w:tcPr>
                  <w:tcW w:w="2244" w:type="dxa"/>
                  <w:gridSpan w:val="2"/>
                  <w:tcBorders>
                    <w:top w:val="single" w:color="auto" w:sz="4" w:space="0"/>
                  </w:tcBorders>
                  <w:noWrap w:val="0"/>
                  <w:vAlign w:val="center"/>
                </w:tcPr>
                <w:p>
                  <w:pPr>
                    <w:pStyle w:val="27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drawing>
                      <wp:inline distT="0" distB="0" distL="114300" distR="114300">
                        <wp:extent cx="986155" cy="994410"/>
                        <wp:effectExtent l="0" t="0" r="4445" b="15240"/>
                        <wp:docPr id="2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true"/>
                                </pic:cNvPicPr>
                              </pic:nvPicPr>
                              <pic:blipFill>
                                <a:blip r:embed="rId32"/>
                                <a:stretch>
                                  <a:fillRect/>
                                </a:stretch>
                              </pic:blipFill>
                              <pic:spPr>
                                <a:xfrm>
                                  <a:off x="0" y="0"/>
                                  <a:ext cx="986155" cy="994410"/>
                                </a:xfrm>
                                <a:prstGeom prst="rect">
                                  <a:avLst/>
                                </a:prstGeom>
                                <a:noFill/>
                                <a:ln>
                                  <a:noFill/>
                                </a:ln>
                              </pic:spPr>
                            </pic:pic>
                          </a:graphicData>
                        </a:graphic>
                      </wp:inline>
                    </w:drawing>
                  </w:r>
                </w:p>
              </w:tc>
              <w:tc>
                <w:tcPr>
                  <w:tcW w:w="2160" w:type="dxa"/>
                  <w:gridSpan w:val="2"/>
                  <w:tcBorders>
                    <w:top w:val="single" w:color="auto" w:sz="4" w:space="0"/>
                  </w:tcBorders>
                  <w:noWrap w:val="0"/>
                  <w:vAlign w:val="center"/>
                </w:tcPr>
                <w:p>
                  <w:pPr>
                    <w:pStyle w:val="27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ar-SA"/>
                    </w:rPr>
                  </w:pPr>
                  <w:r>
                    <w:rPr>
                      <w:rFonts w:hint="default" w:ascii="Times New Roman" w:hAnsi="Times New Roman" w:eastAsia="宋体" w:cs="Times New Roman"/>
                      <w:color w:val="auto"/>
                      <w:sz w:val="21"/>
                      <w:szCs w:val="21"/>
                      <w:u w:val="none" w:color="auto"/>
                      <w:lang w:eastAsia="zh-CN"/>
                    </w:rPr>
                    <w:drawing>
                      <wp:inline distT="0" distB="0" distL="114300" distR="114300">
                        <wp:extent cx="994410" cy="851535"/>
                        <wp:effectExtent l="0" t="0" r="15240" b="5715"/>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33"/>
                                <a:stretch>
                                  <a:fillRect/>
                                </a:stretch>
                              </pic:blipFill>
                              <pic:spPr>
                                <a:xfrm>
                                  <a:off x="0" y="0"/>
                                  <a:ext cx="994410" cy="851535"/>
                                </a:xfrm>
                                <a:prstGeom prst="rect">
                                  <a:avLst/>
                                </a:prstGeom>
                                <a:noFill/>
                                <a:ln>
                                  <a:noFill/>
                                </a:ln>
                              </pic:spPr>
                            </pic:pic>
                          </a:graphicData>
                        </a:graphic>
                      </wp:inline>
                    </w:drawing>
                  </w:r>
                </w:p>
              </w:tc>
              <w:tc>
                <w:tcPr>
                  <w:tcW w:w="1291" w:type="dxa"/>
                  <w:gridSpan w:val="2"/>
                  <w:tcBorders>
                    <w:top w:val="single" w:color="auto" w:sz="4" w:space="0"/>
                  </w:tcBorders>
                  <w:noWrap w:val="0"/>
                  <w:vAlign w:val="center"/>
                </w:tcPr>
                <w:p>
                  <w:pPr>
                    <w:pStyle w:val="27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ar-SA"/>
                    </w:rPr>
                  </w:pPr>
                  <w:r>
                    <w:rPr>
                      <w:rFonts w:hint="default" w:ascii="Times New Roman" w:hAnsi="Times New Roman" w:eastAsia="宋体" w:cs="Times New Roman"/>
                      <w:color w:val="auto"/>
                      <w:sz w:val="21"/>
                      <w:szCs w:val="21"/>
                      <w:u w:val="none" w:color="auto"/>
                      <w:lang w:eastAsia="zh-CN"/>
                    </w:rPr>
                    <w:t>噪声排放源</w:t>
                  </w:r>
                </w:p>
              </w:tc>
              <w:tc>
                <w:tcPr>
                  <w:tcW w:w="1597" w:type="dxa"/>
                  <w:noWrap w:val="0"/>
                  <w:vAlign w:val="center"/>
                </w:tcPr>
                <w:p>
                  <w:pPr>
                    <w:pStyle w:val="27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u w:val="none" w:color="auto"/>
                      <w:lang w:val="zh-CN" w:eastAsia="zh-CN" w:bidi="ar-SA"/>
                    </w:rPr>
                  </w:pPr>
                  <w:r>
                    <w:rPr>
                      <w:rFonts w:hint="default" w:ascii="Times New Roman" w:hAnsi="Times New Roman" w:eastAsia="宋体" w:cs="Times New Roman"/>
                      <w:color w:val="auto"/>
                      <w:sz w:val="21"/>
                      <w:szCs w:val="21"/>
                      <w:u w:val="none" w:color="auto"/>
                      <w:lang w:eastAsia="zh-CN"/>
                    </w:rPr>
                    <w:t>表示噪声向外环境排放</w:t>
                  </w:r>
                </w:p>
              </w:tc>
            </w:tr>
          </w:tbl>
          <w:p>
            <w:pPr>
              <w:pStyle w:val="285"/>
              <w:spacing w:line="360" w:lineRule="auto"/>
              <w:ind w:firstLine="482"/>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八</w:t>
            </w:r>
            <w:r>
              <w:rPr>
                <w:rFonts w:hint="default" w:ascii="Times New Roman" w:hAnsi="Times New Roman" w:eastAsia="宋体" w:cs="Times New Roman"/>
                <w:b/>
                <w:bCs/>
                <w:color w:val="auto"/>
                <w:highlight w:val="none"/>
                <w:u w:val="none" w:color="auto"/>
              </w:rPr>
              <w:t>、环保及环保投资</w:t>
            </w:r>
          </w:p>
          <w:p>
            <w:pPr>
              <w:pStyle w:val="285"/>
              <w:spacing w:line="360" w:lineRule="auto"/>
              <w:ind w:firstLine="48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single" w:color="auto"/>
              </w:rPr>
              <w:t>根据以上分析，汇总出项目在不同时段控制“三废”和噪声污染源的环保措施，处理效果及投资费用等，本项目总投资</w:t>
            </w:r>
            <w:r>
              <w:rPr>
                <w:rFonts w:hint="default" w:ascii="Times New Roman" w:hAnsi="Times New Roman" w:cs="Times New Roman"/>
                <w:color w:val="auto"/>
                <w:highlight w:val="none"/>
                <w:u w:val="single" w:color="auto"/>
                <w:lang w:val="en-US" w:eastAsia="zh-CN"/>
              </w:rPr>
              <w:t>4</w:t>
            </w:r>
            <w:r>
              <w:rPr>
                <w:rFonts w:hint="default" w:ascii="Times New Roman" w:hAnsi="Times New Roman" w:eastAsia="宋体" w:cs="Times New Roman"/>
                <w:color w:val="auto"/>
                <w:highlight w:val="none"/>
                <w:u w:val="single" w:color="auto"/>
                <w:lang w:val="en-US" w:eastAsia="zh-CN"/>
              </w:rPr>
              <w:t>000</w:t>
            </w:r>
            <w:r>
              <w:rPr>
                <w:rFonts w:hint="default" w:ascii="Times New Roman" w:hAnsi="Times New Roman" w:eastAsia="宋体" w:cs="Times New Roman"/>
                <w:color w:val="auto"/>
                <w:highlight w:val="none"/>
                <w:u w:val="single" w:color="auto"/>
              </w:rPr>
              <w:t>万元，其中环保投资</w:t>
            </w:r>
            <w:r>
              <w:rPr>
                <w:rFonts w:hint="default" w:ascii="Times New Roman" w:hAnsi="Times New Roman" w:cs="Times New Roman"/>
                <w:color w:val="auto"/>
                <w:highlight w:val="none"/>
                <w:u w:val="single" w:color="auto"/>
                <w:lang w:val="en-US" w:eastAsia="zh-CN"/>
              </w:rPr>
              <w:t>26.5</w:t>
            </w:r>
            <w:r>
              <w:rPr>
                <w:rFonts w:hint="default" w:ascii="Times New Roman" w:hAnsi="Times New Roman" w:eastAsia="宋体" w:cs="Times New Roman"/>
                <w:color w:val="auto"/>
                <w:highlight w:val="none"/>
                <w:u w:val="single" w:color="auto"/>
              </w:rPr>
              <w:t>万元，占项目总投资</w:t>
            </w:r>
            <w:r>
              <w:rPr>
                <w:rFonts w:hint="default" w:ascii="Times New Roman" w:hAnsi="Times New Roman" w:cs="Times New Roman"/>
                <w:color w:val="auto"/>
                <w:highlight w:val="none"/>
                <w:u w:val="single" w:color="auto"/>
                <w:lang w:val="en-US" w:eastAsia="zh-CN"/>
              </w:rPr>
              <w:t>0.66</w:t>
            </w:r>
            <w:r>
              <w:rPr>
                <w:rFonts w:hint="default" w:ascii="Times New Roman" w:hAnsi="Times New Roman" w:eastAsia="宋体" w:cs="Times New Roman"/>
                <w:color w:val="auto"/>
                <w:highlight w:val="none"/>
                <w:u w:val="single" w:color="auto"/>
              </w:rPr>
              <w:t>%。本项目环保投资及其建设内容见下表：</w:t>
            </w:r>
          </w:p>
          <w:p>
            <w:pPr>
              <w:pStyle w:val="278"/>
              <w:spacing w:before="156"/>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default" w:ascii="Times New Roman" w:hAnsi="Times New Roman" w:cs="Times New Roman"/>
                <w:color w:val="auto"/>
                <w:sz w:val="21"/>
                <w:szCs w:val="21"/>
                <w:highlight w:val="none"/>
                <w:u w:val="none" w:color="auto"/>
                <w:lang w:val="en-US" w:eastAsia="zh-CN"/>
              </w:rPr>
              <w:t>18</w:t>
            </w:r>
            <w:r>
              <w:rPr>
                <w:rFonts w:hint="default" w:ascii="Times New Roman" w:hAnsi="Times New Roman" w:eastAsia="宋体" w:cs="Times New Roman"/>
                <w:color w:val="auto"/>
                <w:sz w:val="21"/>
                <w:szCs w:val="21"/>
                <w:highlight w:val="none"/>
                <w:u w:val="none" w:color="auto"/>
              </w:rPr>
              <w:t xml:space="preserve">  环保措施及投资一览表（单位：万元）</w:t>
            </w:r>
          </w:p>
          <w:tbl>
            <w:tblPr>
              <w:tblStyle w:val="42"/>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52"/>
              <w:gridCol w:w="1454"/>
              <w:gridCol w:w="3879"/>
              <w:gridCol w:w="1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2"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阶段</w:t>
                  </w:r>
                </w:p>
              </w:tc>
              <w:tc>
                <w:tcPr>
                  <w:tcW w:w="598"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内容</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92" w:type="pct"/>
                  <w:vMerge w:val="restar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营运期</w:t>
                  </w:r>
                </w:p>
              </w:tc>
              <w:tc>
                <w:tcPr>
                  <w:tcW w:w="598"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破碎</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湿法破碎、</w:t>
                  </w:r>
                  <w:r>
                    <w:rPr>
                      <w:rStyle w:val="68"/>
                      <w:rFonts w:hint="default" w:ascii="Times New Roman" w:hAnsi="Times New Roman" w:eastAsia="宋体" w:cs="Times New Roman"/>
                      <w:b w:val="0"/>
                      <w:bCs w:val="0"/>
                      <w:color w:val="auto"/>
                      <w:sz w:val="21"/>
                      <w:szCs w:val="21"/>
                      <w:highlight w:val="none"/>
                      <w:u w:val="none" w:color="auto"/>
                      <w:lang w:val="en-US" w:eastAsia="zh-CN"/>
                    </w:rPr>
                    <w:t>原料增湿、加强车间封闭性</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vMerge w:val="restar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依托园区现有化粪池</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生产废水</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三级沉淀池（60m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）、循环水池（54m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设备噪声</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采用低噪声设备，设备安装基础采用减振措施；</w:t>
                  </w:r>
                  <w:r>
                    <w:rPr>
                      <w:rFonts w:hint="default" w:ascii="Times New Roman" w:hAnsi="Times New Roman" w:eastAsia="宋体" w:cs="Times New Roman"/>
                      <w:color w:val="auto"/>
                      <w:sz w:val="21"/>
                      <w:szCs w:val="21"/>
                      <w:highlight w:val="none"/>
                      <w:u w:val="none" w:color="auto"/>
                      <w:lang w:val="en-US" w:eastAsia="zh-CN"/>
                    </w:rPr>
                    <w:t>厂房</w:t>
                  </w:r>
                  <w:r>
                    <w:rPr>
                      <w:rFonts w:hint="default" w:ascii="Times New Roman" w:hAnsi="Times New Roman" w:eastAsia="宋体" w:cs="Times New Roman"/>
                      <w:color w:val="auto"/>
                      <w:sz w:val="21"/>
                      <w:szCs w:val="21"/>
                      <w:highlight w:val="none"/>
                      <w:u w:val="none" w:color="auto"/>
                    </w:rPr>
                    <w:t>墙体隔声降噪；合理平面布局</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vMerge w:val="restar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分类垃圾收集桶若干</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0.</w:t>
                  </w:r>
                  <w:r>
                    <w:rPr>
                      <w:rFonts w:hint="default" w:ascii="Times New Roman" w:hAnsi="Times New Roman" w:eastAsia="宋体" w:cs="Times New Roman"/>
                      <w:color w:val="auto"/>
                      <w:sz w:val="21"/>
                      <w:szCs w:val="21"/>
                      <w:highlight w:val="none"/>
                      <w:u w:val="none" w:color="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设置</w:t>
                  </w:r>
                  <w:r>
                    <w:rPr>
                      <w:rFonts w:hint="default" w:ascii="Times New Roman" w:hAnsi="Times New Roman"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一般固体废物暂存间，一般固废外售其他单位综合利用</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2"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598" w:type="pct"/>
                  <w:vMerge w:val="continue"/>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设置</w:t>
                  </w:r>
                  <w:r>
                    <w:rPr>
                      <w:rFonts w:hint="default" w:ascii="Times New Roman" w:hAnsi="Times New Roman"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危险废物暂存间，委托有资质单位处置危废</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03" w:type="pct"/>
                  <w:gridSpan w:val="3"/>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合计</w:t>
                  </w:r>
                </w:p>
              </w:tc>
              <w:tc>
                <w:tcPr>
                  <w:tcW w:w="2435"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660" w:type="pct"/>
                  <w:tcBorders>
                    <w:tl2br w:val="nil"/>
                    <w:tr2bl w:val="nil"/>
                  </w:tcBorders>
                  <w:vAlign w:val="center"/>
                </w:tcPr>
                <w:p>
                  <w:pPr>
                    <w:pStyle w:val="282"/>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26.5</w:t>
                  </w:r>
                </w:p>
              </w:tc>
            </w:tr>
          </w:tbl>
          <w:p>
            <w:pPr>
              <w:pStyle w:val="279"/>
              <w:ind w:firstLine="480"/>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九</w:t>
            </w:r>
            <w:r>
              <w:rPr>
                <w:rFonts w:hint="default" w:ascii="Times New Roman" w:hAnsi="Times New Roman" w:eastAsia="宋体" w:cs="Times New Roman"/>
                <w:b/>
                <w:bCs/>
                <w:color w:val="auto"/>
                <w:highlight w:val="none"/>
                <w:u w:val="none" w:color="auto"/>
              </w:rPr>
              <w:t>、环境管理</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本着“谁污染谁治理”的原则，本项目将建立以建设单位为责任主体的环境管理体系，为确保项目影响区域环境保护目标的实现和各项环保措施的落实，特提出如下环境管理实施建议：</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（1）加强环境监督与管理，环境管理人员应深入施工现场，监督环保措施的实施。</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（2）实现环境保护目标责任制，结合本工程招投标承包体制，把环境保护纳入施工单位的承包任务中，并将环境保护落实到整个施工过程中。</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（3）严格执行国家环保有关政策和法规，及时协助有关环保部门进行项目环境保护。</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（4）建立、健全环境管理制度，设置专职或兼职环保人员，负责日常环保安全，定期检查环保管理和环境监测工作。</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（5）制定各种可能发生事故的应急计划，定期对职工进行培训演练，配备各种必要的维护、抢修器材和设备，保证发生事故时能及时到位。</w:t>
            </w:r>
          </w:p>
          <w:p>
            <w:pPr>
              <w:pStyle w:val="279"/>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（6）加强原辅材料管理，风险物质采用托盘贮存，明确能力责任人，定期对原辅材料贮存情况进行隐患排查。</w:t>
            </w:r>
          </w:p>
          <w:p>
            <w:pPr>
              <w:pStyle w:val="98"/>
              <w:spacing w:line="500" w:lineRule="exact"/>
              <w:ind w:firstLine="481" w:firstLineChars="200"/>
              <w:rPr>
                <w:rFonts w:hint="default" w:ascii="Times New Roman" w:hAnsi="Times New Roman" w:eastAsia="宋体" w:cs="Times New Roman"/>
                <w:b/>
                <w:bCs/>
                <w:color w:val="auto"/>
                <w:szCs w:val="24"/>
                <w:highlight w:val="none"/>
                <w:u w:val="none" w:color="auto"/>
              </w:rPr>
            </w:pPr>
            <w:r>
              <w:rPr>
                <w:rFonts w:hint="default" w:ascii="Times New Roman" w:hAnsi="Times New Roman" w:eastAsia="宋体" w:cs="Times New Roman"/>
                <w:b/>
                <w:bCs/>
                <w:color w:val="auto"/>
                <w:szCs w:val="24"/>
                <w:highlight w:val="none"/>
                <w:u w:val="none" w:color="auto"/>
                <w:lang w:val="en-US" w:eastAsia="zh-CN"/>
              </w:rPr>
              <w:t>十</w:t>
            </w:r>
            <w:r>
              <w:rPr>
                <w:rFonts w:hint="default" w:ascii="Times New Roman" w:hAnsi="Times New Roman" w:eastAsia="宋体" w:cs="Times New Roman"/>
                <w:b/>
                <w:bCs/>
                <w:color w:val="auto"/>
                <w:szCs w:val="24"/>
                <w:highlight w:val="none"/>
                <w:u w:val="none" w:color="auto"/>
              </w:rPr>
              <w:t>、环境监测计划</w:t>
            </w:r>
            <w:bookmarkEnd w:id="18"/>
            <w:bookmarkEnd w:id="19"/>
          </w:p>
          <w:p>
            <w:pPr>
              <w:pStyle w:val="98"/>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Cs w:val="24"/>
                <w:highlight w:val="none"/>
                <w:u w:val="none" w:color="auto"/>
              </w:rPr>
              <w:t>根据《排污单位自行监测技术指南 总则》（HJ819-2017）及《排污许可证申请与核发技术规范</w:t>
            </w:r>
            <w:r>
              <w:rPr>
                <w:rFonts w:hint="default" w:ascii="Times New Roman" w:hAnsi="Times New Roman" w:eastAsia="宋体" w:cs="Times New Roman"/>
                <w:color w:val="auto"/>
                <w:szCs w:val="24"/>
                <w:highlight w:val="none"/>
                <w:u w:val="none" w:color="auto"/>
                <w:lang w:val="en-US" w:eastAsia="zh-CN"/>
              </w:rPr>
              <w:t xml:space="preserve"> </w:t>
            </w:r>
            <w:r>
              <w:rPr>
                <w:rFonts w:hint="default" w:ascii="Times New Roman" w:hAnsi="Times New Roman" w:eastAsia="宋体" w:cs="Times New Roman"/>
                <w:color w:val="auto"/>
                <w:szCs w:val="24"/>
                <w:highlight w:val="none"/>
                <w:u w:val="none" w:color="auto"/>
              </w:rPr>
              <w:t>废弃资源加工工业》（HJ1034-2019）制定以下相应监测计划：</w:t>
            </w:r>
          </w:p>
          <w:p>
            <w:pPr>
              <w:pStyle w:val="25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default" w:ascii="Times New Roman" w:hAnsi="Times New Roman" w:cs="Times New Roman"/>
                <w:color w:val="auto"/>
                <w:sz w:val="21"/>
                <w:szCs w:val="21"/>
                <w:highlight w:val="none"/>
                <w:u w:val="none" w:color="auto"/>
                <w:lang w:val="en-US" w:eastAsia="zh-CN"/>
              </w:rPr>
              <w:t>19</w:t>
            </w:r>
            <w:r>
              <w:rPr>
                <w:rFonts w:hint="default" w:ascii="Times New Roman" w:hAnsi="Times New Roman" w:eastAsia="宋体" w:cs="Times New Roman"/>
                <w:color w:val="auto"/>
                <w:sz w:val="21"/>
                <w:szCs w:val="21"/>
                <w:highlight w:val="none"/>
                <w:u w:val="none" w:color="auto"/>
              </w:rPr>
              <w:t xml:space="preserve"> 营运期环境监测计划</w:t>
            </w:r>
          </w:p>
          <w:tbl>
            <w:tblPr>
              <w:tblStyle w:val="42"/>
              <w:tblW w:w="8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051"/>
              <w:gridCol w:w="1800"/>
              <w:gridCol w:w="1320"/>
              <w:gridCol w:w="21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restart"/>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7325" w:type="dxa"/>
                  <w:gridSpan w:val="4"/>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建议内容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vMerge w:val="continue"/>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p>
              </w:tc>
              <w:tc>
                <w:tcPr>
                  <w:tcW w:w="2051"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监测因子</w:t>
                  </w:r>
                </w:p>
              </w:tc>
              <w:tc>
                <w:tcPr>
                  <w:tcW w:w="180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监测地点</w:t>
                  </w:r>
                </w:p>
              </w:tc>
              <w:tc>
                <w:tcPr>
                  <w:tcW w:w="132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监测频率</w:t>
                  </w:r>
                </w:p>
              </w:tc>
              <w:tc>
                <w:tcPr>
                  <w:tcW w:w="2154"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2051"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w:t>
                  </w:r>
                </w:p>
              </w:tc>
              <w:tc>
                <w:tcPr>
                  <w:tcW w:w="1800"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厂界上风向、厂界下风向</w:t>
                  </w:r>
                  <w:r>
                    <w:rPr>
                      <w:rFonts w:hint="default" w:ascii="Times New Roman" w:hAnsi="Times New Roman" w:eastAsia="宋体" w:cs="Times New Roman"/>
                      <w:color w:val="auto"/>
                      <w:sz w:val="21"/>
                      <w:szCs w:val="21"/>
                      <w:highlight w:val="none"/>
                      <w:u w:val="none" w:color="auto"/>
                      <w:lang w:eastAsia="zh-CN"/>
                    </w:rPr>
                    <w:t>）</w:t>
                  </w:r>
                </w:p>
              </w:tc>
              <w:tc>
                <w:tcPr>
                  <w:tcW w:w="1320" w:type="dxa"/>
                  <w:tcBorders>
                    <w:tl2br w:val="nil"/>
                    <w:tr2bl w:val="nil"/>
                  </w:tcBorders>
                  <w:vAlign w:val="center"/>
                </w:tcPr>
                <w:p>
                  <w:pPr>
                    <w:pStyle w:val="101"/>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1次/年</w:t>
                  </w:r>
                </w:p>
              </w:tc>
              <w:tc>
                <w:tcPr>
                  <w:tcW w:w="2154"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厂界噪声</w:t>
                  </w:r>
                </w:p>
              </w:tc>
              <w:tc>
                <w:tcPr>
                  <w:tcW w:w="2051"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Leq（A）（昼、夜）</w:t>
                  </w:r>
                </w:p>
              </w:tc>
              <w:tc>
                <w:tcPr>
                  <w:tcW w:w="180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w:t>
                  </w:r>
                </w:p>
              </w:tc>
              <w:tc>
                <w:tcPr>
                  <w:tcW w:w="1320"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1次/季度</w:t>
                  </w:r>
                </w:p>
              </w:tc>
              <w:tc>
                <w:tcPr>
                  <w:tcW w:w="2154" w:type="dxa"/>
                  <w:tcBorders>
                    <w:tl2br w:val="nil"/>
                    <w:tr2bl w:val="nil"/>
                  </w:tcBorders>
                  <w:vAlign w:val="center"/>
                </w:tcPr>
                <w:p>
                  <w:pPr>
                    <w:pStyle w:val="101"/>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《工业企业厂界环境噪声排放标准》（GB12348-2008）</w:t>
                  </w:r>
                </w:p>
              </w:tc>
            </w:tr>
          </w:tbl>
          <w:p>
            <w:pPr>
              <w:pStyle w:val="7"/>
              <w:ind w:left="0" w:leftChars="0" w:firstLine="0" w:firstLineChars="0"/>
              <w:rPr>
                <w:rFonts w:hint="default" w:ascii="Times New Roman" w:hAnsi="Times New Roman" w:cs="Times New Roman"/>
                <w:color w:val="auto"/>
                <w:sz w:val="24"/>
                <w:szCs w:val="24"/>
                <w:lang w:val="en-US" w:eastAsia="zh-CN"/>
              </w:rPr>
            </w:pPr>
          </w:p>
        </w:tc>
      </w:tr>
    </w:tbl>
    <w:p>
      <w:pPr>
        <w:adjustRightInd w:val="0"/>
        <w:snapToGrid w:val="0"/>
        <w:spacing w:line="360" w:lineRule="auto"/>
        <w:rPr>
          <w:rFonts w:hint="default" w:ascii="Times New Roman" w:hAnsi="Times New Roman" w:eastAsia="宋体" w:cs="Times New Roman"/>
          <w:b/>
          <w:color w:val="auto"/>
          <w:kern w:val="0"/>
          <w:sz w:val="28"/>
          <w:szCs w:val="28"/>
          <w:highlight w:val="none"/>
          <w:u w:val="none" w:color="auto"/>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8"/>
        <w:bidi w:val="0"/>
        <w:rPr>
          <w:rFonts w:hint="default" w:ascii="Times New Roman" w:hAnsi="Times New Roman" w:eastAsia="宋体" w:cs="Times New Roman"/>
          <w:color w:val="auto"/>
          <w:highlight w:val="none"/>
          <w:u w:val="none" w:color="auto"/>
        </w:rPr>
      </w:pPr>
      <w:bookmarkStart w:id="20" w:name="_Toc10621"/>
      <w:r>
        <w:rPr>
          <w:rFonts w:hint="default" w:ascii="Times New Roman" w:hAnsi="Times New Roman" w:eastAsia="宋体" w:cs="Times New Roman"/>
          <w:color w:val="auto"/>
          <w:highlight w:val="none"/>
          <w:u w:val="none" w:color="auto"/>
        </w:rPr>
        <w:t>五、</w:t>
      </w:r>
      <w:bookmarkStart w:id="21" w:name="_Hlk54167917"/>
      <w:r>
        <w:rPr>
          <w:rFonts w:hint="default" w:ascii="Times New Roman" w:hAnsi="Times New Roman" w:eastAsia="宋体" w:cs="Times New Roman"/>
          <w:color w:val="auto"/>
          <w:highlight w:val="none"/>
          <w:u w:val="none" w:color="auto"/>
        </w:rPr>
        <w:t>环境保护措施监督检查清单</w:t>
      </w:r>
      <w:bookmarkEnd w:id="20"/>
      <w:bookmarkEnd w:id="21"/>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731"/>
        <w:gridCol w:w="1687"/>
        <w:gridCol w:w="1782"/>
        <w:gridCol w:w="2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pct"/>
            <w:tcBorders>
              <w:tl2br w:val="nil"/>
              <w:tr2bl w:val="nil"/>
            </w:tcBorders>
          </w:tcPr>
          <w:p>
            <w:pPr>
              <w:adjustRightInd w:val="0"/>
              <w:snapToGrid w:val="0"/>
              <w:jc w:val="righ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内容</w:t>
            </w:r>
          </w:p>
          <w:p>
            <w:pPr>
              <w:adjustRightInd w:val="0"/>
              <w:snapToGrid w:val="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要素</w:t>
            </w: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排放口(编号、</w:t>
            </w:r>
          </w:p>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名称)/污染源</w:t>
            </w:r>
          </w:p>
        </w:tc>
        <w:tc>
          <w:tcPr>
            <w:tcW w:w="93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污染物项目</w:t>
            </w:r>
          </w:p>
        </w:tc>
        <w:tc>
          <w:tcPr>
            <w:tcW w:w="98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环境保护措施</w:t>
            </w:r>
          </w:p>
        </w:tc>
        <w:tc>
          <w:tcPr>
            <w:tcW w:w="1368"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大气环境</w:t>
            </w: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破碎粉尘</w:t>
            </w:r>
          </w:p>
        </w:tc>
        <w:tc>
          <w:tcPr>
            <w:tcW w:w="931" w:type="pct"/>
            <w:tcBorders>
              <w:bottom w:val="single" w:color="000000" w:sz="4" w:space="0"/>
              <w:tl2br w:val="nil"/>
              <w:tr2bl w:val="nil"/>
            </w:tcBorders>
            <w:vAlign w:val="center"/>
          </w:tcPr>
          <w:p>
            <w:pPr>
              <w:jc w:val="center"/>
              <w:rPr>
                <w:rStyle w:val="68"/>
                <w:rFonts w:hint="eastAsia" w:ascii="宋体" w:hAnsi="宋体" w:eastAsia="宋体" w:cs="宋体"/>
                <w:b w:val="0"/>
                <w:bCs w:val="0"/>
                <w:color w:val="auto"/>
                <w:sz w:val="21"/>
                <w:szCs w:val="21"/>
                <w:highlight w:val="none"/>
                <w:u w:val="none" w:color="auto"/>
                <w:lang w:eastAsia="zh-CN"/>
              </w:rPr>
            </w:pPr>
            <w:r>
              <w:rPr>
                <w:rStyle w:val="68"/>
                <w:rFonts w:hint="eastAsia" w:ascii="宋体" w:hAnsi="宋体" w:eastAsia="宋体" w:cs="宋体"/>
                <w:b w:val="0"/>
                <w:bCs w:val="0"/>
                <w:color w:val="auto"/>
                <w:sz w:val="21"/>
                <w:szCs w:val="21"/>
                <w:highlight w:val="none"/>
                <w:u w:val="none" w:color="auto"/>
                <w:lang w:val="en-US" w:eastAsia="zh-CN"/>
              </w:rPr>
              <w:t>颗粒物</w:t>
            </w:r>
          </w:p>
        </w:tc>
        <w:tc>
          <w:tcPr>
            <w:tcW w:w="983" w:type="pct"/>
            <w:tcBorders>
              <w:tl2br w:val="nil"/>
              <w:tr2bl w:val="nil"/>
            </w:tcBorders>
            <w:vAlign w:val="center"/>
          </w:tcPr>
          <w:p>
            <w:pPr>
              <w:jc w:val="center"/>
              <w:rPr>
                <w:rStyle w:val="68"/>
                <w:rFonts w:hint="default" w:ascii="宋体" w:hAnsi="宋体" w:eastAsia="宋体" w:cs="宋体"/>
                <w:b w:val="0"/>
                <w:bCs w:val="0"/>
                <w:color w:val="auto"/>
                <w:sz w:val="21"/>
                <w:szCs w:val="21"/>
                <w:highlight w:val="none"/>
                <w:u w:val="none" w:color="auto"/>
                <w:lang w:val="en-US" w:eastAsia="zh-CN"/>
              </w:rPr>
            </w:pPr>
            <w:r>
              <w:rPr>
                <w:rStyle w:val="68"/>
                <w:rFonts w:hint="eastAsia" w:ascii="宋体" w:hAnsi="宋体" w:eastAsia="宋体" w:cs="宋体"/>
                <w:b w:val="0"/>
                <w:bCs w:val="0"/>
                <w:color w:val="auto"/>
                <w:sz w:val="21"/>
                <w:szCs w:val="21"/>
                <w:highlight w:val="none"/>
                <w:u w:val="none" w:color="auto"/>
                <w:lang w:val="en-US" w:eastAsia="zh-CN"/>
              </w:rPr>
              <w:t>湿法破碎、原料增湿、加强车间封闭性</w:t>
            </w:r>
          </w:p>
        </w:tc>
        <w:tc>
          <w:tcPr>
            <w:tcW w:w="1368" w:type="pct"/>
            <w:tcBorders>
              <w:bottom w:val="single" w:color="000000" w:sz="4" w:space="0"/>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Style w:val="68"/>
                <w:rFonts w:hint="default" w:ascii="Times New Roman" w:hAnsi="Times New Roman" w:eastAsia="宋体" w:cs="Times New Roman"/>
                <w:b w:val="0"/>
                <w:bCs w:val="0"/>
                <w:color w:val="auto"/>
                <w:sz w:val="21"/>
                <w:szCs w:val="21"/>
                <w:highlight w:val="none"/>
                <w:u w:val="none" w:color="auto"/>
              </w:rPr>
              <w:t>《大气污染物综合排放标准》（GB16297-1996）中表2中的二级标准</w:t>
            </w:r>
            <w:r>
              <w:rPr>
                <w:rStyle w:val="68"/>
                <w:rFonts w:hint="default" w:ascii="Times New Roman" w:hAnsi="Times New Roman" w:eastAsia="宋体" w:cs="Times New Roman"/>
                <w:b w:val="0"/>
                <w:bCs w:val="0"/>
                <w:color w:val="auto"/>
                <w:sz w:val="21"/>
                <w:szCs w:val="21"/>
                <w:highlight w:val="none"/>
                <w:u w:val="none" w:color="auto"/>
                <w:lang w:val="en-US" w:eastAsia="zh-CN"/>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762"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地表水环境</w:t>
            </w: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93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pH、</w:t>
            </w: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vertAlign w:val="subscript"/>
              </w:rPr>
              <w:t>Cr</w:t>
            </w: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-N、SS</w:t>
            </w:r>
          </w:p>
        </w:tc>
        <w:tc>
          <w:tcPr>
            <w:tcW w:w="98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依托中塑新材料公司已有化粪池</w:t>
            </w:r>
          </w:p>
        </w:tc>
        <w:tc>
          <w:tcPr>
            <w:tcW w:w="1368"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湖南汨罗高新技术产业开发区（循环园区）污水处理厂设计进水水质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2"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生产废水</w:t>
            </w:r>
          </w:p>
        </w:tc>
        <w:tc>
          <w:tcPr>
            <w:tcW w:w="93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pH、</w:t>
            </w: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vertAlign w:val="subscript"/>
              </w:rPr>
              <w:t>Cr</w:t>
            </w: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-N、SS</w:t>
            </w:r>
          </w:p>
        </w:tc>
        <w:tc>
          <w:tcPr>
            <w:tcW w:w="98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经三级沉淀池处理后有限回用，外排部分依托湖南中塑新材料科技有限公司污水处理设施处理达标后，最终排入汨罗高新区再生材料产业园污水处理厂</w:t>
            </w:r>
          </w:p>
        </w:tc>
        <w:tc>
          <w:tcPr>
            <w:tcW w:w="1368" w:type="pct"/>
            <w:tcBorders>
              <w:tl2br w:val="nil"/>
              <w:tr2bl w:val="nil"/>
            </w:tcBorders>
            <w:vAlign w:val="center"/>
          </w:tcPr>
          <w:p>
            <w:pPr>
              <w:adjustRightInd w:val="0"/>
              <w:snapToGrid w:val="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再生材料产业园污水处理厂接管标准（未明确接管标准的污染因子需满足《污水综合排放标准》（GB 8978-1996）表4中三级标准）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76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声环境</w:t>
            </w: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生产设施</w:t>
            </w:r>
          </w:p>
        </w:tc>
        <w:tc>
          <w:tcPr>
            <w:tcW w:w="93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w:t>
            </w:r>
          </w:p>
        </w:tc>
        <w:tc>
          <w:tcPr>
            <w:tcW w:w="98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减震措施、建筑物隔声、距离衰减</w:t>
            </w:r>
          </w:p>
        </w:tc>
        <w:tc>
          <w:tcPr>
            <w:tcW w:w="1368"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《工业企业厂界环境噪声排放标准》（GB12348-2008）中表1中3类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6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电磁辐射</w:t>
            </w:r>
          </w:p>
        </w:tc>
        <w:tc>
          <w:tcPr>
            <w:tcW w:w="95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31"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8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368"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76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4237" w:type="pct"/>
            <w:gridSpan w:val="4"/>
            <w:tcBorders>
              <w:tl2br w:val="nil"/>
              <w:tr2bl w:val="nil"/>
            </w:tcBorders>
            <w:vAlign w:val="center"/>
          </w:tcPr>
          <w:p>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分选杂质、废弃包装物收集后外售综合利用；沉淀污泥、生活垃圾交由环卫部门统一处置；废矿物油收集后</w:t>
            </w:r>
            <w:r>
              <w:rPr>
                <w:rFonts w:hint="default" w:ascii="Times New Roman" w:hAnsi="Times New Roman" w:eastAsia="宋体" w:cs="Times New Roman"/>
                <w:color w:val="auto"/>
                <w:sz w:val="21"/>
                <w:szCs w:val="21"/>
                <w:highlight w:val="none"/>
                <w:u w:val="none" w:color="auto"/>
                <w:lang w:val="en-US" w:eastAsia="zh-CN"/>
              </w:rPr>
              <w:t>暂存于危废暂存间（1</w:t>
            </w:r>
            <w:r>
              <w:rPr>
                <w:rFonts w:hint="eastAsia"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m</w:t>
            </w:r>
            <w:r>
              <w:rPr>
                <w:rFonts w:hint="default" w:ascii="Times New Roman" w:hAnsi="Times New Roman" w:eastAsia="宋体" w:cs="Times New Roman"/>
                <w:color w:val="auto"/>
                <w:sz w:val="21"/>
                <w:szCs w:val="21"/>
                <w:highlight w:val="none"/>
                <w:u w:val="none" w:color="auto"/>
                <w:vertAlign w:val="superscript"/>
                <w:lang w:val="en-US" w:eastAsia="zh-CN"/>
              </w:rPr>
              <w:t>2</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交由资质的单位处置。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76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土壤及地下水污染防治措施</w:t>
            </w:r>
          </w:p>
        </w:tc>
        <w:tc>
          <w:tcPr>
            <w:tcW w:w="4237" w:type="pct"/>
            <w:gridSpan w:val="4"/>
            <w:tcBorders>
              <w:tl2br w:val="nil"/>
              <w:tr2bl w:val="nil"/>
            </w:tcBorders>
            <w:vAlign w:val="center"/>
          </w:tcPr>
          <w:p>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1、生产</w:t>
            </w:r>
            <w:r>
              <w:rPr>
                <w:rFonts w:hint="default" w:ascii="Times New Roman" w:hAnsi="Times New Roman" w:eastAsia="宋体" w:cs="Times New Roman"/>
                <w:color w:val="auto"/>
                <w:sz w:val="21"/>
                <w:szCs w:val="21"/>
                <w:highlight w:val="none"/>
                <w:u w:val="none" w:color="auto"/>
                <w:lang w:val="en-US" w:eastAsia="zh-CN"/>
              </w:rPr>
              <w:t>厂房</w:t>
            </w:r>
            <w:r>
              <w:rPr>
                <w:rFonts w:hint="default" w:ascii="Times New Roman" w:hAnsi="Times New Roman" w:eastAsia="宋体" w:cs="Times New Roman"/>
                <w:color w:val="auto"/>
                <w:sz w:val="21"/>
                <w:szCs w:val="21"/>
                <w:highlight w:val="none"/>
                <w:u w:val="none" w:color="auto"/>
              </w:rPr>
              <w:t>均采用水泥混凝土地面，对危废暂存区等重点区域</w:t>
            </w:r>
            <w:r>
              <w:rPr>
                <w:rFonts w:hint="default" w:ascii="Times New Roman" w:hAnsi="Times New Roman" w:eastAsia="宋体" w:cs="Times New Roman"/>
                <w:color w:val="auto"/>
                <w:sz w:val="21"/>
                <w:szCs w:val="21"/>
                <w:highlight w:val="none"/>
                <w:u w:val="none" w:color="auto"/>
                <w:lang w:val="en-US" w:eastAsia="zh-CN"/>
              </w:rPr>
              <w:t>进行重点防渗</w:t>
            </w:r>
            <w:r>
              <w:rPr>
                <w:rFonts w:hint="default" w:ascii="Times New Roman" w:hAnsi="Times New Roman" w:eastAsia="宋体" w:cs="Times New Roman"/>
                <w:color w:val="auto"/>
                <w:sz w:val="21"/>
                <w:szCs w:val="21"/>
                <w:highlight w:val="none"/>
                <w:u w:val="none" w:color="auto"/>
              </w:rPr>
              <w:t>。</w:t>
            </w:r>
          </w:p>
          <w:p>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2、厂区内实行严格的雨污分流制度，避免废水跑、冒、滴、漏现象的发生。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6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生态保护措施</w:t>
            </w:r>
          </w:p>
        </w:tc>
        <w:tc>
          <w:tcPr>
            <w:tcW w:w="4237" w:type="pct"/>
            <w:gridSpan w:val="4"/>
            <w:tcBorders>
              <w:tl2br w:val="nil"/>
              <w:tr2bl w:val="nil"/>
            </w:tcBorders>
            <w:vAlign w:val="center"/>
          </w:tcPr>
          <w:p>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本项目位于工业园区，基本不会造成区域内生态环境的破坏，对整个区域生态环境影响不大。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6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环境风险</w:t>
            </w:r>
          </w:p>
          <w:p>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防范措施</w:t>
            </w:r>
          </w:p>
        </w:tc>
        <w:tc>
          <w:tcPr>
            <w:tcW w:w="4237" w:type="pct"/>
            <w:gridSpan w:val="4"/>
            <w:tcBorders>
              <w:tl2br w:val="nil"/>
              <w:tr2bl w:val="nil"/>
            </w:tcBorders>
            <w:vAlign w:val="center"/>
          </w:tcPr>
          <w:p>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本项目不涉及危险化学品的使用。加强对环保设施的日常维护和检查，加强对危废暂存间的日常管理</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加强消防安全管理，避免发生火灾</w:t>
            </w:r>
            <w:r>
              <w:rPr>
                <w:rFonts w:hint="default" w:ascii="Times New Roman" w:hAnsi="Times New Roman" w:eastAsia="宋体" w:cs="Times New Roman"/>
                <w:color w:val="auto"/>
                <w:sz w:val="21"/>
                <w:szCs w:val="21"/>
                <w:highlight w:val="none"/>
                <w:u w:val="non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5" w:hRule="atLeast"/>
          <w:jc w:val="center"/>
        </w:trPr>
        <w:tc>
          <w:tcPr>
            <w:tcW w:w="76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其他环境</w:t>
            </w:r>
          </w:p>
          <w:p>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管理要求</w:t>
            </w:r>
          </w:p>
        </w:tc>
        <w:tc>
          <w:tcPr>
            <w:tcW w:w="4237" w:type="pct"/>
            <w:gridSpan w:val="4"/>
            <w:tcBorders>
              <w:tl2br w:val="nil"/>
              <w:tr2bl w:val="nil"/>
            </w:tcBorders>
            <w:vAlign w:val="center"/>
          </w:tcPr>
          <w:p>
            <w:pPr>
              <w:adjustRightInd w:val="0"/>
              <w:snapToGrid w:val="0"/>
              <w:spacing w:line="240" w:lineRule="auto"/>
              <w:ind w:firstLine="420" w:firstLineChars="200"/>
              <w:jc w:val="both"/>
              <w:rPr>
                <w:rFonts w:hint="default" w:ascii="Times New Roman" w:hAnsi="Times New Roman" w:eastAsia="宋体" w:cs="Times New Roman"/>
                <w:color w:val="auto"/>
                <w:sz w:val="21"/>
                <w:szCs w:val="21"/>
                <w:u w:val="none" w:color="auto"/>
                <w:lang w:bidi="ar"/>
              </w:rPr>
            </w:pPr>
            <w:r>
              <w:rPr>
                <w:rFonts w:hint="default" w:ascii="Times New Roman" w:hAnsi="Times New Roman" w:eastAsia="宋体" w:cs="Times New Roman"/>
                <w:color w:val="auto"/>
                <w:sz w:val="21"/>
                <w:szCs w:val="21"/>
                <w:u w:val="none" w:color="auto"/>
                <w:lang w:bidi="ar"/>
              </w:rPr>
              <w:t>本项目应按照《排污许可证管理暂行规定》、《固定污染源排污许可分类管理名录》（2019年版）的要求</w:t>
            </w:r>
            <w:r>
              <w:rPr>
                <w:rFonts w:hint="default" w:ascii="Times New Roman" w:hAnsi="Times New Roman" w:eastAsia="宋体" w:cs="Times New Roman"/>
                <w:color w:val="auto"/>
                <w:sz w:val="21"/>
                <w:szCs w:val="21"/>
                <w:u w:val="none" w:color="auto"/>
                <w:lang w:eastAsia="zh-CN" w:bidi="ar"/>
              </w:rPr>
              <w:t>在规定的时限内按时申领国家排污许可证，做到持证排污，不得无证排污或不按证排污。</w:t>
            </w:r>
          </w:p>
          <w:p>
            <w:pPr>
              <w:spacing w:line="240" w:lineRule="auto"/>
              <w:ind w:firstLine="420" w:firstLineChars="20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贯彻落实新修改的《建设项目环境保护管理条例》及《建设项目竣工环境保护验收暂行办法》（国环规环评[2017]4号）（以下简称《暂行办法》），项目竣工后建设单位应自主开展竣工环境保护验收。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pStyle w:val="25"/>
              <w:rPr>
                <w:rFonts w:hint="default" w:ascii="Times New Roman" w:hAnsi="Times New Roman" w:eastAsia="宋体" w:cs="Times New Roman"/>
                <w:color w:val="auto"/>
                <w:sz w:val="21"/>
                <w:szCs w:val="21"/>
                <w:u w:val="none" w:color="auto"/>
              </w:rPr>
            </w:pPr>
          </w:p>
        </w:tc>
      </w:tr>
    </w:tbl>
    <w:p>
      <w:pPr>
        <w:pStyle w:val="39"/>
        <w:jc w:val="both"/>
        <w:outlineLvl w:val="0"/>
        <w:rPr>
          <w:rFonts w:hint="default" w:ascii="Times New Roman" w:hAnsi="Times New Roman" w:eastAsia="宋体" w:cs="Times New Roman"/>
          <w:b/>
          <w:bCs/>
          <w:snapToGrid w:val="0"/>
          <w:color w:val="auto"/>
          <w:sz w:val="30"/>
          <w:szCs w:val="30"/>
          <w:highlight w:val="none"/>
          <w:u w:val="none" w:color="auto"/>
        </w:rPr>
      </w:pPr>
      <w:r>
        <w:rPr>
          <w:rFonts w:hint="default" w:ascii="Times New Roman" w:hAnsi="Times New Roman" w:eastAsia="宋体" w:cs="Times New Roman"/>
          <w:snapToGrid w:val="0"/>
          <w:color w:val="auto"/>
          <w:highlight w:val="none"/>
          <w:u w:val="none" w:color="auto"/>
        </w:rPr>
        <w:br w:type="page"/>
      </w:r>
      <w:bookmarkStart w:id="22" w:name="_Toc19894"/>
      <w:r>
        <w:rPr>
          <w:rStyle w:val="67"/>
          <w:rFonts w:hint="default" w:ascii="Times New Roman" w:hAnsi="Times New Roman" w:eastAsia="宋体" w:cs="Times New Roman"/>
          <w:color w:val="auto"/>
          <w:highlight w:val="none"/>
          <w:u w:val="none" w:color="auto"/>
        </w:rPr>
        <w:t>六、结论</w:t>
      </w:r>
      <w:bookmarkEnd w:id="22"/>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本项目建设符合</w:t>
            </w:r>
            <w:r>
              <w:rPr>
                <w:rFonts w:hint="default" w:ascii="Times New Roman" w:hAnsi="Times New Roman" w:eastAsia="宋体" w:cs="Times New Roman"/>
                <w:color w:val="auto"/>
                <w:highlight w:val="none"/>
                <w:u w:val="none" w:color="auto"/>
                <w:lang w:val="en-US" w:eastAsia="zh-CN"/>
              </w:rPr>
              <w:t>国家和地方产业政策、总体规划、</w:t>
            </w:r>
            <w:r>
              <w:rPr>
                <w:rFonts w:hint="default" w:ascii="Times New Roman" w:hAnsi="Times New Roman" w:eastAsia="宋体" w:cs="Times New Roman"/>
                <w:color w:val="auto"/>
                <w:highlight w:val="none"/>
                <w:u w:val="none" w:color="auto"/>
              </w:rPr>
              <w:t>“三线一单”管理及相关环保要求，项目按照建设项目竣工环境保护技术要求，逐一落实本报告提出的污染治理</w:t>
            </w:r>
            <w:r>
              <w:rPr>
                <w:rFonts w:hint="default" w:ascii="Times New Roman" w:hAnsi="Times New Roman" w:eastAsia="宋体" w:cs="Times New Roman"/>
                <w:color w:val="auto"/>
                <w:highlight w:val="none"/>
                <w:u w:val="none" w:color="auto"/>
                <w:lang w:val="en-US" w:eastAsia="zh-CN"/>
              </w:rPr>
              <w:t>措施</w:t>
            </w:r>
            <w:r>
              <w:rPr>
                <w:rFonts w:hint="default" w:ascii="Times New Roman" w:hAnsi="Times New Roman" w:eastAsia="宋体" w:cs="Times New Roman"/>
                <w:color w:val="auto"/>
                <w:highlight w:val="none"/>
                <w:u w:val="none" w:color="auto"/>
              </w:rPr>
              <w:t>，并在营运期间中加强环保设施管理，保证各项污染物达标排放，做到经济、社会、环境效益的统一协调发展，由此可见，本项目从环保角度考虑是可行的。</w:t>
            </w:r>
          </w:p>
          <w:p>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上述结论是根据建设方提供的项目规模及相应排污情况基础上作出的评价，如果建设方的规模及相应排污情况有所变化，建设方应按环保部门的要求另行申报审批。</w:t>
            </w:r>
          </w:p>
        </w:tc>
      </w:tr>
    </w:tbl>
    <w:p>
      <w:pPr>
        <w:rPr>
          <w:rFonts w:hint="default" w:ascii="Times New Roman" w:hAnsi="Times New Roman" w:eastAsia="宋体" w:cs="Times New Roman"/>
          <w:color w:val="auto"/>
          <w:highlight w:val="none"/>
          <w:u w:val="none" w:color="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8"/>
        <w:bidi w:val="0"/>
        <w:rPr>
          <w:rFonts w:hint="default" w:ascii="Times New Roman" w:hAnsi="Times New Roman" w:eastAsia="宋体" w:cs="Times New Roman"/>
          <w:color w:val="auto"/>
          <w:highlight w:val="none"/>
          <w:u w:val="none" w:color="auto"/>
        </w:rPr>
      </w:pPr>
      <w:bookmarkStart w:id="23" w:name="_Toc16500"/>
      <w:r>
        <w:rPr>
          <w:rFonts w:hint="default" w:ascii="Times New Roman" w:hAnsi="Times New Roman" w:eastAsia="宋体" w:cs="Times New Roman"/>
          <w:color w:val="auto"/>
          <w:highlight w:val="none"/>
          <w:u w:val="none" w:color="auto"/>
        </w:rPr>
        <w:t>附表</w:t>
      </w:r>
      <w:bookmarkEnd w:id="23"/>
    </w:p>
    <w:p>
      <w:pPr>
        <w:pStyle w:val="39"/>
        <w:adjustRightInd w:val="0"/>
        <w:snapToGrid w:val="0"/>
        <w:spacing w:before="0" w:beforeAutospacing="0" w:after="0" w:afterAutospacing="0"/>
        <w:jc w:val="center"/>
        <w:outlineLvl w:val="0"/>
        <w:rPr>
          <w:rFonts w:hint="default" w:ascii="Times New Roman" w:hAnsi="Times New Roman" w:eastAsia="宋体" w:cs="Times New Roman"/>
          <w:snapToGrid w:val="0"/>
          <w:color w:val="auto"/>
          <w:sz w:val="38"/>
          <w:szCs w:val="38"/>
          <w:highlight w:val="none"/>
          <w:u w:val="none" w:color="auto"/>
        </w:rPr>
      </w:pPr>
      <w:bookmarkStart w:id="24" w:name="_Toc20463"/>
      <w:r>
        <w:rPr>
          <w:rFonts w:hint="default" w:ascii="Times New Roman" w:hAnsi="Times New Roman" w:eastAsia="宋体" w:cs="Times New Roman"/>
          <w:snapToGrid w:val="0"/>
          <w:color w:val="auto"/>
          <w:sz w:val="38"/>
          <w:szCs w:val="38"/>
          <w:highlight w:val="none"/>
          <w:u w:val="none" w:color="auto"/>
        </w:rPr>
        <w:t>建设项目污染物排放量汇总表</w:t>
      </w:r>
      <w:bookmarkEnd w:id="24"/>
    </w:p>
    <w:tbl>
      <w:tblPr>
        <w:tblStyle w:val="42"/>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701"/>
        <w:gridCol w:w="1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jc w:val="right"/>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color w:val="auto"/>
                <w:sz w:val="21"/>
                <w:highlight w:val="none"/>
                <w:u w:val="none" w:color="auto"/>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-10795</wp:posOffset>
                      </wp:positionV>
                      <wp:extent cx="1011555" cy="560070"/>
                      <wp:effectExtent l="2540" t="4445" r="14605" b="6985"/>
                      <wp:wrapNone/>
                      <wp:docPr id="152" name="直接连接符 152"/>
                      <wp:cNvGraphicFramePr/>
                      <a:graphic xmlns:a="http://schemas.openxmlformats.org/drawingml/2006/main">
                        <a:graphicData uri="http://schemas.microsoft.com/office/word/2010/wordprocessingShape">
                          <wps:wsp>
                            <wps:cNvCnPr/>
                            <wps:spPr>
                              <a:xfrm>
                                <a:off x="1059180" y="1737360"/>
                                <a:ext cx="1011555" cy="5600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5pt;margin-top:-0.85pt;height:44.1pt;width:79.65pt;z-index:251659264;mso-width-relative:page;mso-height-relative:page;" filled="f" stroked="t" coordsize="21600,21600" o:gfxdata="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GDC1RjZAAAA&#10;CAEAAA8AAAAAAAAAAQAgAAAAOAAAAGRycy9kb3ducmV2LnhtbFBLAQIUABQAAAAIAIdO4kCcubeK&#10;zQEAAGEDAAAOAAAAAAAAAAEAIAAAAD4BAABkcnMvZTJvRG9jLnhtbFBLBQYAAAAABgAGAFkBAAB9&#10;BQAAAAA=&#10;">
                      <v:fill on="f" focussize="0,0"/>
                      <v:stroke weight="0.25pt" color="#000000 [3213]" joinstyle="round"/>
                      <v:imagedata o:title=""/>
                      <o:lock v:ext="edit" aspectratio="f"/>
                    </v:line>
                  </w:pict>
                </mc:Fallback>
              </mc:AlternateContent>
            </w:r>
            <w:r>
              <w:rPr>
                <w:rFonts w:hint="default" w:ascii="Times New Roman" w:hAnsi="Times New Roman" w:eastAsia="宋体" w:cs="Times New Roman"/>
                <w:b w:val="0"/>
                <w:bCs w:val="0"/>
                <w:snapToGrid w:val="0"/>
                <w:color w:val="auto"/>
                <w:spacing w:val="-6"/>
                <w:kern w:val="21"/>
                <w:sz w:val="21"/>
                <w:szCs w:val="21"/>
                <w:highlight w:val="none"/>
                <w:u w:val="none" w:color="auto"/>
              </w:rPr>
              <w:t>项目</w:t>
            </w:r>
          </w:p>
          <w:p>
            <w:pPr>
              <w:pStyle w:val="92"/>
              <w:keepNext w:val="0"/>
              <w:keepLines w:val="0"/>
              <w:pageBreakBefore w:val="0"/>
              <w:kinsoku/>
              <w:wordWrap/>
              <w:overflowPunct/>
              <w:topLinePunct w:val="0"/>
              <w:bidi w:val="0"/>
              <w:snapToGrid w:val="0"/>
              <w:spacing w:beforeLines="0" w:afterLines="0" w:line="240" w:lineRule="auto"/>
              <w:jc w:val="left"/>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分类</w:t>
            </w:r>
          </w:p>
        </w:tc>
        <w:tc>
          <w:tcPr>
            <w:tcW w:w="1417"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污染物名称</w:t>
            </w:r>
          </w:p>
        </w:tc>
        <w:tc>
          <w:tcPr>
            <w:tcW w:w="1701"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1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①</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现有工程</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276"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2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snapToGrid w:val="0"/>
                <w:color w:val="auto"/>
                <w:spacing w:val="-6"/>
                <w:kern w:val="21"/>
                <w:sz w:val="21"/>
                <w:szCs w:val="21"/>
                <w:highlight w:val="none"/>
                <w:u w:val="none" w:color="auto"/>
              </w:rPr>
              <w:t>②</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现有工程</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许可排放量</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701"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3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③</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在建工程</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559"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4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④</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本项目</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559"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16"/>
                <w:kern w:val="21"/>
                <w:sz w:val="21"/>
                <w:szCs w:val="21"/>
                <w:highlight w:val="none"/>
                <w:u w:val="none" w:color="auto"/>
              </w:rPr>
              <w:instrText xml:space="preserve"> = 5 \* GB3 \* MERGEFORMAT </w:instrTex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⑤</w: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16"/>
                <w:kern w:val="21"/>
                <w:sz w:val="21"/>
                <w:szCs w:val="21"/>
                <w:highlight w:val="none"/>
                <w:u w:val="none" w:color="auto"/>
              </w:rPr>
              <w:t>以新带老削减量（新建项目不填）</w:t>
            </w: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701"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16"/>
                <w:kern w:val="21"/>
                <w:sz w:val="21"/>
                <w:szCs w:val="21"/>
                <w:highlight w:val="none"/>
                <w:u w:val="none" w:color="auto"/>
              </w:rPr>
              <w:instrText xml:space="preserve"> = 6 \* GB3 \* MERGEFORMAT </w:instrTex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⑥</w: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16"/>
                <w:kern w:val="21"/>
                <w:sz w:val="21"/>
                <w:szCs w:val="21"/>
                <w:highlight w:val="none"/>
                <w:u w:val="none" w:color="auto"/>
              </w:rPr>
              <w:t>本项目建成后</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t>全厂排放量（固体废物产生量）</w:t>
            </w: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286" w:type="dxa"/>
            <w:tcBorders>
              <w:tl2br w:val="nil"/>
              <w:tr2bl w:val="nil"/>
            </w:tcBorders>
            <w:tcMar>
              <w:left w:w="28" w:type="dxa"/>
              <w:right w:w="28" w:type="dxa"/>
            </w:tcMar>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7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⑦</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变化量</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ascii="Times New Roman" w:cs="Times New Roman"/>
                <w:b w:val="0"/>
                <w:bCs w:val="0"/>
                <w:snapToGrid w:val="0"/>
                <w:color w:val="auto"/>
                <w:kern w:val="21"/>
                <w:sz w:val="21"/>
                <w:szCs w:val="21"/>
                <w:highlight w:val="none"/>
                <w:u w:val="none" w:color="auto"/>
                <w:lang w:val="en-US" w:eastAsia="zh-CN"/>
              </w:rPr>
              <w:t>废气</w:t>
            </w:r>
          </w:p>
        </w:tc>
        <w:tc>
          <w:tcPr>
            <w:tcW w:w="1417"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颗粒物</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Style w:val="68"/>
                <w:rFonts w:hint="default" w:ascii="Times New Roman" w:hAnsi="Times New Roman" w:eastAsia="宋体" w:cs="Times New Roman"/>
                <w:b w:val="0"/>
                <w:bCs w:val="0"/>
                <w:color w:val="auto"/>
                <w:sz w:val="21"/>
                <w:szCs w:val="21"/>
                <w:highlight w:val="none"/>
                <w:u w:val="none" w:color="auto"/>
                <w:lang w:val="en-US" w:eastAsia="zh-CN"/>
              </w:rPr>
            </w:pPr>
            <w:r>
              <w:rPr>
                <w:rStyle w:val="68"/>
                <w:rFonts w:hint="eastAsia" w:cs="Times New Roman"/>
                <w:b w:val="0"/>
                <w:bCs w:val="0"/>
                <w:color w:val="auto"/>
                <w:sz w:val="21"/>
                <w:szCs w:val="21"/>
                <w:highlight w:val="none"/>
                <w:u w:val="none" w:color="auto"/>
                <w:lang w:val="en-US" w:eastAsia="zh-CN"/>
              </w:rPr>
              <w:t>/</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restart"/>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color w:val="auto"/>
                <w:kern w:val="0"/>
                <w:sz w:val="21"/>
                <w:szCs w:val="21"/>
                <w:highlight w:val="none"/>
                <w:u w:val="none" w:color="auto"/>
                <w:lang w:bidi="ar"/>
              </w:rPr>
              <w:t>生活废水</w:t>
            </w:r>
          </w:p>
        </w:tc>
        <w:tc>
          <w:tcPr>
            <w:tcW w:w="1417"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废水量</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eastAsia" w:ascii="Times New Roman" w:cs="Times New Roman"/>
                <w:b w:val="0"/>
                <w:bCs w:val="0"/>
                <w:snapToGrid w:val="0"/>
                <w:color w:val="auto"/>
                <w:kern w:val="21"/>
                <w:sz w:val="21"/>
                <w:szCs w:val="21"/>
                <w:highlight w:val="none"/>
                <w:u w:val="none" w:color="auto"/>
                <w:lang w:val="en-US" w:eastAsia="zh-CN"/>
              </w:rPr>
              <w:t>608</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eastAsia" w:ascii="Times New Roman" w:cs="Times New Roman"/>
                <w:b w:val="0"/>
                <w:bCs w:val="0"/>
                <w:snapToGrid w:val="0"/>
                <w:color w:val="auto"/>
                <w:kern w:val="21"/>
                <w:sz w:val="21"/>
                <w:szCs w:val="21"/>
                <w:highlight w:val="none"/>
                <w:u w:val="none" w:color="auto"/>
                <w:lang w:val="en-US" w:eastAsia="zh-CN"/>
              </w:rPr>
              <w:t>608</w:t>
            </w:r>
          </w:p>
        </w:tc>
        <w:tc>
          <w:tcPr>
            <w:tcW w:w="1286" w:type="dxa"/>
            <w:tcBorders>
              <w:tl2br w:val="nil"/>
              <w:tr2bl w:val="nil"/>
            </w:tcBorders>
            <w:vAlign w:val="center"/>
          </w:tcPr>
          <w:p>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588" w:type="dxa"/>
            <w:vMerge w:val="continue"/>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p>
        </w:tc>
        <w:tc>
          <w:tcPr>
            <w:tcW w:w="1417"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0"/>
                <w:sz w:val="21"/>
                <w:szCs w:val="21"/>
                <w:highlight w:val="none"/>
                <w:u w:val="none" w:color="auto"/>
                <w:lang w:bidi="ar"/>
              </w:rPr>
              <w:t>COD</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0.146</w:t>
            </w:r>
            <w:r>
              <w:rPr>
                <w:rFonts w:hint="default" w:ascii="Times New Roman" w:hAnsi="Times New Roman" w:eastAsia="宋体" w:cs="Times New Roman"/>
                <w:b w:val="0"/>
                <w:bCs w:val="0"/>
                <w:i w:val="0"/>
                <w:iCs w:val="0"/>
                <w:color w:val="auto"/>
                <w:kern w:val="0"/>
                <w:sz w:val="21"/>
                <w:szCs w:val="21"/>
                <w:u w:val="none" w:color="auto"/>
                <w:lang w:val="en-US" w:eastAsia="zh-CN" w:bidi="ar"/>
              </w:rPr>
              <w:t xml:space="preserve"> </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p>
        </w:tc>
        <w:tc>
          <w:tcPr>
            <w:tcW w:w="17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0.146</w:t>
            </w:r>
            <w:r>
              <w:rPr>
                <w:rFonts w:hint="default" w:ascii="Times New Roman" w:hAnsi="Times New Roman" w:eastAsia="宋体" w:cs="Times New Roman"/>
                <w:b w:val="0"/>
                <w:bCs w:val="0"/>
                <w:i w:val="0"/>
                <w:iCs w:val="0"/>
                <w:color w:val="auto"/>
                <w:kern w:val="0"/>
                <w:sz w:val="21"/>
                <w:szCs w:val="21"/>
                <w:u w:val="none" w:color="auto"/>
                <w:lang w:val="en-US" w:eastAsia="zh-CN" w:bidi="ar"/>
              </w:rPr>
              <w:t xml:space="preserve"> </w:t>
            </w:r>
          </w:p>
        </w:tc>
        <w:tc>
          <w:tcPr>
            <w:tcW w:w="12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0"/>
                <w:sz w:val="21"/>
                <w:szCs w:val="21"/>
                <w:highlight w:val="none"/>
                <w:u w:val="none" w:color="auto"/>
                <w:lang w:bidi="ar"/>
              </w:rPr>
              <w:t>BOD</w:t>
            </w:r>
            <w:r>
              <w:rPr>
                <w:rFonts w:hint="eastAsia" w:cs="Times New Roman"/>
                <w:b w:val="0"/>
                <w:bCs w:val="0"/>
                <w:color w:val="auto"/>
                <w:kern w:val="0"/>
                <w:sz w:val="21"/>
                <w:szCs w:val="21"/>
                <w:highlight w:val="none"/>
                <w:u w:val="none" w:color="auto"/>
                <w:vertAlign w:val="subscript"/>
                <w:lang w:val="en-US" w:eastAsia="zh-CN" w:bidi="ar"/>
              </w:rPr>
              <w:t>5</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0.073</w:t>
            </w:r>
            <w:r>
              <w:rPr>
                <w:rFonts w:hint="default" w:ascii="Times New Roman" w:hAnsi="Times New Roman" w:eastAsia="宋体" w:cs="Times New Roman"/>
                <w:b w:val="0"/>
                <w:bCs w:val="0"/>
                <w:i w:val="0"/>
                <w:iCs w:val="0"/>
                <w:color w:val="auto"/>
                <w:kern w:val="0"/>
                <w:sz w:val="21"/>
                <w:szCs w:val="21"/>
                <w:u w:val="none" w:color="auto"/>
                <w:lang w:val="en-US" w:eastAsia="zh-CN" w:bidi="ar"/>
              </w:rPr>
              <w:t xml:space="preserve"> </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p>
        </w:tc>
        <w:tc>
          <w:tcPr>
            <w:tcW w:w="17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0.073</w:t>
            </w:r>
            <w:r>
              <w:rPr>
                <w:rFonts w:hint="default" w:ascii="Times New Roman" w:hAnsi="Times New Roman" w:eastAsia="宋体" w:cs="Times New Roman"/>
                <w:b w:val="0"/>
                <w:bCs w:val="0"/>
                <w:i w:val="0"/>
                <w:iCs w:val="0"/>
                <w:color w:val="auto"/>
                <w:kern w:val="0"/>
                <w:sz w:val="21"/>
                <w:szCs w:val="21"/>
                <w:u w:val="none" w:color="auto"/>
                <w:lang w:val="en-US" w:eastAsia="zh-CN" w:bidi="ar"/>
              </w:rPr>
              <w:t xml:space="preserve"> </w:t>
            </w:r>
          </w:p>
        </w:tc>
        <w:tc>
          <w:tcPr>
            <w:tcW w:w="12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0"/>
                <w:sz w:val="21"/>
                <w:szCs w:val="21"/>
                <w:highlight w:val="none"/>
                <w:u w:val="none" w:color="auto"/>
                <w:lang w:bidi="ar"/>
              </w:rPr>
              <w:t>氨氮</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0.017</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p>
        </w:tc>
        <w:tc>
          <w:tcPr>
            <w:tcW w:w="17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0.017</w:t>
            </w:r>
          </w:p>
        </w:tc>
        <w:tc>
          <w:tcPr>
            <w:tcW w:w="12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0"/>
                <w:sz w:val="21"/>
                <w:szCs w:val="21"/>
                <w:highlight w:val="none"/>
                <w:u w:val="none" w:color="auto"/>
                <w:lang w:bidi="ar"/>
              </w:rPr>
              <w:t>SS</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0.055</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t>/</w:t>
            </w:r>
          </w:p>
        </w:tc>
        <w:tc>
          <w:tcPr>
            <w:tcW w:w="17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b w:val="0"/>
                <w:bCs w:val="0"/>
                <w:i w:val="0"/>
                <w:iCs w:val="0"/>
                <w:color w:val="auto"/>
                <w:kern w:val="0"/>
                <w:sz w:val="21"/>
                <w:szCs w:val="21"/>
                <w:u w:val="none" w:color="auto"/>
                <w:lang w:val="en-US" w:eastAsia="zh-CN" w:bidi="ar"/>
              </w:rPr>
              <w:t>0.055</w:t>
            </w:r>
          </w:p>
        </w:tc>
        <w:tc>
          <w:tcPr>
            <w:tcW w:w="12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restart"/>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ascii="Times New Roman" w:cs="Times New Roman"/>
                <w:b w:val="0"/>
                <w:bCs w:val="0"/>
                <w:snapToGrid w:val="0"/>
                <w:color w:val="auto"/>
                <w:kern w:val="21"/>
                <w:sz w:val="21"/>
                <w:szCs w:val="21"/>
                <w:highlight w:val="none"/>
                <w:u w:val="none" w:color="auto"/>
                <w:lang w:val="en-US" w:eastAsia="zh-CN"/>
              </w:rPr>
              <w:t>生产废水</w:t>
            </w:r>
          </w:p>
        </w:tc>
        <w:tc>
          <w:tcPr>
            <w:tcW w:w="1417" w:type="dxa"/>
            <w:tcBorders>
              <w:tl2br w:val="nil"/>
              <w:tr2bl w:val="nil"/>
            </w:tcBorders>
            <w:vAlign w:val="center"/>
          </w:tcPr>
          <w:p>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r>
              <w:rPr>
                <w:rFonts w:hint="default" w:ascii="Times New Roman" w:hAnsi="Times New Roman" w:eastAsia="宋体" w:cs="Times New Roman"/>
                <w:b w:val="0"/>
                <w:bCs w:val="0"/>
                <w:color w:val="auto"/>
                <w:sz w:val="21"/>
                <w:szCs w:val="21"/>
                <w:highlight w:val="none"/>
                <w:u w:val="none" w:color="auto"/>
              </w:rPr>
              <w:t>废水量</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vAlign w:val="center"/>
          </w:tcPr>
          <w:p>
            <w:pPr>
              <w:keepNext w:val="0"/>
              <w:keepLines w:val="0"/>
              <w:widowControl/>
              <w:suppressLineNumbers w:val="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2580</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vAlign w:val="center"/>
          </w:tcPr>
          <w:p>
            <w:pPr>
              <w:keepNext w:val="0"/>
              <w:keepLines w:val="0"/>
              <w:widowControl/>
              <w:suppressLineNumbers w:val="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2580</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COD</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0.42</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0.42</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BOD</w:t>
            </w:r>
            <w:r>
              <w:rPr>
                <w:rStyle w:val="68"/>
                <w:rFonts w:hint="default" w:ascii="Times New Roman" w:hAnsi="Times New Roman" w:eastAsia="宋体" w:cs="Times New Roman"/>
                <w:b w:val="0"/>
                <w:bCs w:val="0"/>
                <w:color w:val="auto"/>
                <w:sz w:val="21"/>
                <w:szCs w:val="21"/>
                <w:highlight w:val="none"/>
                <w:u w:val="none" w:color="auto"/>
                <w:vertAlign w:val="subscript"/>
                <w:lang w:val="en-US" w:eastAsia="zh-CN"/>
              </w:rPr>
              <w:t>5</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0.15</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0.15</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SS</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0.06</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0.06</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eastAsia" w:ascii="Times New Roman" w:hAnsi="Times New Roman" w:eastAsia="宋体" w:cs="Times New Roman"/>
                <w:b w:val="0"/>
                <w:bCs w:val="0"/>
                <w:color w:val="auto"/>
                <w:sz w:val="21"/>
                <w:szCs w:val="21"/>
                <w:highlight w:val="none"/>
                <w:u w:val="none" w:color="auto"/>
                <w:vertAlign w:val="baseline"/>
                <w:lang w:val="en-US" w:eastAsia="zh-CN"/>
              </w:rPr>
              <w:t xml:space="preserve">总磷 </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0.002</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0.002</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总氮</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0.05</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eastAsia="宋体" w:cs="Times New Roman"/>
                <w:b w:val="0"/>
                <w:bCs w:val="0"/>
                <w:color w:val="auto"/>
                <w:sz w:val="21"/>
                <w:szCs w:val="21"/>
                <w:highlight w:val="none"/>
                <w:u w:val="none" w:color="auto"/>
                <w:vertAlign w:val="baseline"/>
                <w:lang w:val="en-US" w:eastAsia="zh-CN"/>
              </w:rPr>
              <w:t>石油类</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5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0.0005</w:t>
            </w:r>
          </w:p>
        </w:tc>
        <w:tc>
          <w:tcPr>
            <w:tcW w:w="1559" w:type="dxa"/>
            <w:tcBorders>
              <w:tl2br w:val="nil"/>
              <w:tr2bl w:val="nil"/>
            </w:tcBorders>
            <w:vAlign w:val="center"/>
          </w:tcPr>
          <w:p>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p>
        </w:tc>
        <w:tc>
          <w:tcPr>
            <w:tcW w:w="170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68"/>
                <w:rFonts w:hint="default" w:ascii="Times New Roman" w:hAnsi="Times New Roman" w:cs="Times New Roman"/>
                <w:b w:val="0"/>
                <w:bCs w:val="0"/>
                <w:color w:val="auto"/>
                <w:sz w:val="21"/>
                <w:szCs w:val="21"/>
                <w:highlight w:val="none"/>
                <w:u w:val="none" w:color="auto"/>
                <w:vertAlign w:val="baseline"/>
                <w:lang w:val="en-US" w:eastAsia="zh-CN"/>
              </w:rPr>
              <w:t>0.0005</w:t>
            </w:r>
          </w:p>
        </w:tc>
        <w:tc>
          <w:tcPr>
            <w:tcW w:w="1286" w:type="dxa"/>
            <w:tcBorders>
              <w:tl2br w:val="nil"/>
              <w:tr2bl w:val="nil"/>
            </w:tcBorders>
            <w:vAlign w:val="center"/>
          </w:tcPr>
          <w:p>
            <w:pPr>
              <w:keepNext w:val="0"/>
              <w:keepLines w:val="0"/>
              <w:widowControl/>
              <w:suppressLineNumbers w:val="0"/>
              <w:jc w:val="center"/>
              <w:textAlignment w:val="center"/>
              <w:rPr>
                <w:rStyle w:val="68"/>
                <w:rFonts w:hint="eastAsia" w:cs="Times New Roman"/>
                <w:b w:val="0"/>
                <w:bCs w:val="0"/>
                <w:color w:val="auto"/>
                <w:sz w:val="21"/>
                <w:szCs w:val="21"/>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88" w:type="dxa"/>
            <w:vMerge w:val="restart"/>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一般工业</w:t>
            </w:r>
          </w:p>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固体废物</w:t>
            </w:r>
          </w:p>
        </w:tc>
        <w:tc>
          <w:tcPr>
            <w:tcW w:w="1417"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生活垃圾</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3</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rPr>
            </w:pPr>
            <w:r>
              <w:rPr>
                <w:rFonts w:hint="default" w:ascii="Times New Roman" w:hAnsi="Times New Roman" w:eastAsia="宋体" w:cs="Times New Roman"/>
                <w:b w:val="0"/>
                <w:bCs w:val="0"/>
                <w:color w:val="auto"/>
                <w:kern w:val="2"/>
                <w:sz w:val="21"/>
                <w:szCs w:val="21"/>
                <w:highlight w:val="none"/>
                <w:u w:val="none" w:color="auto"/>
              </w:rPr>
              <w:t>分选杂质</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eastAsia="zh-CN"/>
              </w:rPr>
            </w:pPr>
            <w:r>
              <w:rPr>
                <w:rFonts w:hint="eastAsia" w:cs="Times New Roman"/>
                <w:color w:val="auto"/>
                <w:sz w:val="21"/>
                <w:szCs w:val="21"/>
                <w:highlight w:val="none"/>
                <w:u w:val="single" w:color="auto"/>
                <w:lang w:val="en-US" w:eastAsia="zh-CN" w:bidi="ar"/>
              </w:rPr>
              <w:t>17984.306</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sz w:val="21"/>
                <w:szCs w:val="21"/>
                <w:highlight w:val="none"/>
                <w:u w:val="single" w:color="auto"/>
                <w:lang w:val="en-US" w:eastAsia="zh-CN" w:bidi="ar"/>
              </w:rPr>
              <w:t>17984.306</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cs="Times New Roman"/>
                <w:b w:val="0"/>
                <w:bCs w:val="0"/>
                <w:color w:val="auto"/>
                <w:kern w:val="2"/>
                <w:sz w:val="21"/>
                <w:szCs w:val="21"/>
                <w:highlight w:val="none"/>
                <w:u w:val="none" w:color="auto"/>
                <w:lang w:val="en-US" w:eastAsia="zh-CN"/>
              </w:rPr>
              <w:t>沉淀污泥</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cs="Times New Roman"/>
                <w:b w:val="0"/>
                <w:bCs w:val="0"/>
                <w:color w:val="auto"/>
                <w:kern w:val="2"/>
                <w:sz w:val="21"/>
                <w:szCs w:val="21"/>
                <w:highlight w:val="none"/>
                <w:u w:val="none" w:color="auto"/>
                <w:lang w:val="en-US" w:eastAsia="zh-CN"/>
              </w:rPr>
              <w:t>20.83</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20.83</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cs="Times New Roman"/>
                <w:b w:val="0"/>
                <w:bCs w:val="0"/>
                <w:color w:val="auto"/>
                <w:kern w:val="2"/>
                <w:sz w:val="21"/>
                <w:szCs w:val="21"/>
                <w:highlight w:val="none"/>
                <w:u w:val="none" w:color="auto"/>
                <w:lang w:val="en-US" w:eastAsia="zh-CN"/>
              </w:rPr>
              <w:t>废弃包装物</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eastAsia="zh-CN"/>
              </w:rPr>
            </w:pPr>
            <w:r>
              <w:rPr>
                <w:rFonts w:hint="eastAsia" w:cs="Times New Roman"/>
                <w:b w:val="0"/>
                <w:bCs w:val="0"/>
                <w:color w:val="auto"/>
                <w:sz w:val="21"/>
                <w:szCs w:val="21"/>
                <w:highlight w:val="none"/>
                <w:u w:val="none" w:color="auto"/>
                <w:lang w:val="en-US" w:eastAsia="zh-CN"/>
              </w:rPr>
              <w:t>2</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2</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88" w:type="dxa"/>
            <w:tcBorders>
              <w:tl2br w:val="nil"/>
              <w:tr2bl w:val="nil"/>
            </w:tcBorders>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危险废物</w:t>
            </w:r>
          </w:p>
        </w:tc>
        <w:tc>
          <w:tcPr>
            <w:tcW w:w="1417"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废矿物油</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0.05</w:t>
            </w:r>
          </w:p>
        </w:tc>
        <w:tc>
          <w:tcPr>
            <w:tcW w:w="1559" w:type="dxa"/>
            <w:tcBorders>
              <w:tl2br w:val="nil"/>
              <w:tr2bl w:val="nil"/>
            </w:tcBorders>
            <w:vAlign w:val="center"/>
          </w:tcPr>
          <w:p>
            <w:pPr>
              <w:pStyle w:val="92"/>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pPr>
              <w:pStyle w:val="101"/>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0.05</w:t>
            </w:r>
          </w:p>
        </w:tc>
        <w:tc>
          <w:tcPr>
            <w:tcW w:w="1286" w:type="dxa"/>
            <w:tcBorders>
              <w:tl2br w:val="nil"/>
              <w:tr2bl w:val="nil"/>
            </w:tcBorders>
            <w:vAlign w:val="center"/>
          </w:tcPr>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Style w:val="68"/>
                <w:rFonts w:hint="eastAsia" w:cs="Times New Roman"/>
                <w:b w:val="0"/>
                <w:bCs w:val="0"/>
                <w:color w:val="auto"/>
                <w:sz w:val="21"/>
                <w:szCs w:val="21"/>
                <w:highlight w:val="none"/>
                <w:u w:val="none" w:color="auto"/>
                <w:lang w:val="en-US" w:eastAsia="zh-CN"/>
              </w:rPr>
              <w:t>/</w:t>
            </w:r>
          </w:p>
        </w:tc>
      </w:tr>
    </w:tbl>
    <w:p>
      <w:pPr>
        <w:pStyle w:val="92"/>
        <w:spacing w:before="192" w:beforeLines="80" w:after="24"/>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snapToGrid w:val="0"/>
          <w:color w:val="auto"/>
          <w:kern w:val="21"/>
          <w:szCs w:val="21"/>
          <w:highlight w:val="none"/>
          <w:u w:val="none" w:color="auto"/>
        </w:rPr>
        <w:t>注：</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3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③</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4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④</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5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⑤</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7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⑦</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p>
    <w:p>
      <w:pPr>
        <w:pStyle w:val="39"/>
        <w:adjustRightInd w:val="0"/>
        <w:snapToGrid w:val="0"/>
        <w:spacing w:before="0" w:beforeAutospacing="0" w:after="0" w:afterAutospacing="0" w:line="500" w:lineRule="exact"/>
        <w:outlineLvl w:val="9"/>
        <w:rPr>
          <w:rFonts w:hint="default" w:ascii="Times New Roman" w:hAnsi="Times New Roman" w:eastAsia="宋体" w:cs="Times New Roman"/>
          <w:b/>
          <w:bCs/>
          <w:snapToGrid w:val="0"/>
          <w:color w:val="auto"/>
          <w:sz w:val="32"/>
          <w:szCs w:val="32"/>
          <w:highlight w:val="none"/>
          <w:u w:val="none" w:color="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bidi w:val="0"/>
        <w:rPr>
          <w:rFonts w:hint="default" w:ascii="Times New Roman" w:hAnsi="Times New Roman" w:eastAsia="宋体" w:cs="Times New Roman"/>
          <w:color w:val="auto"/>
          <w:highlight w:val="none"/>
          <w:u w:val="none" w:color="auto"/>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仿宋"/>
    <w:panose1 w:val="02010600030101010101"/>
    <w:charset w:val="86"/>
    <w:family w:val="auto"/>
    <w:pitch w:val="default"/>
    <w:sig w:usb0="00000000" w:usb1="00000000" w:usb2="00000016" w:usb3="00000000" w:csb0="0004000F" w:csb1="00000000"/>
  </w:font>
  <w:font w:name="Cambria">
    <w:altName w:val="FreeSerif"/>
    <w:panose1 w:val="02040503050406030204"/>
    <w:charset w:val="00"/>
    <w:family w:val="roman"/>
    <w:pitch w:val="default"/>
    <w:sig w:usb0="00000000" w:usb1="00000000" w:usb2="02000000" w:usb3="00000000" w:csb0="2000019F" w:csb1="00000000"/>
  </w:font>
  <w:font w:name="微软雅黑">
    <w:altName w:val="方正黑体_GBK"/>
    <w:panose1 w:val="020B0503020204020204"/>
    <w:charset w:val="86"/>
    <w:family w:val="auto"/>
    <w:pitch w:val="default"/>
    <w:sig w:usb0="00000000" w:usb1="00000000" w:usb2="00000016" w:usb3="00000000" w:csb0="0004001F" w:csb1="00000000"/>
  </w:font>
  <w:font w:name="monospace">
    <w:altName w:val="华文仿宋"/>
    <w:panose1 w:val="00000000000000000000"/>
    <w:charset w:val="00"/>
    <w:family w:val="auto"/>
    <w:pitch w:val="default"/>
    <w:sig w:usb0="00000000" w:usb1="00000000" w:usb2="00000000" w:usb3="00000000" w:csb0="00040001" w:csb1="00000000"/>
  </w:font>
  <w:font w:name="新宋体-18030">
    <w:altName w:val="方正书宋_GBK"/>
    <w:panose1 w:val="00000000000000000000"/>
    <w:charset w:val="00"/>
    <w:family w:val="auto"/>
    <w:pitch w:val="default"/>
    <w:sig w:usb0="00000000" w:usb1="00000000" w:usb2="00000000"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MingLiU">
    <w:altName w:val="方正书宋_GBK"/>
    <w:panose1 w:val="02010609000101010101"/>
    <w:charset w:val="88"/>
    <w:family w:val="modern"/>
    <w:pitch w:val="default"/>
    <w:sig w:usb0="00000000" w:usb1="00000000" w:usb2="00000016" w:usb3="00000000" w:csb0="00100001" w:csb1="00000000"/>
  </w:font>
  <w:font w:name="Verdana">
    <w:altName w:val="Ubuntu"/>
    <w:panose1 w:val="020B0604030504040204"/>
    <w:charset w:val="00"/>
    <w:family w:val="swiss"/>
    <w:pitch w:val="default"/>
    <w:sig w:usb0="00000000" w:usb1="00000000" w:usb2="00000010" w:usb3="00000000" w:csb0="2000019F" w:csb1="00000000"/>
  </w:font>
  <w:font w:name="Impact">
    <w:altName w:val="Ubuntu Condensed"/>
    <w:panose1 w:val="020B0806030902050204"/>
    <w:charset w:val="00"/>
    <w:family w:val="swiss"/>
    <w:pitch w:val="default"/>
    <w:sig w:usb0="00000000" w:usb1="00000000" w:usb2="00000000" w:usb3="00000000" w:csb0="2000009F" w:csb1="DFD70000"/>
  </w:font>
  <w:font w:name="仿宋体">
    <w:altName w:val="方正仿宋_GBK"/>
    <w:panose1 w:val="00000000000000000000"/>
    <w:charset w:val="86"/>
    <w:family w:val="roman"/>
    <w:pitch w:val="default"/>
    <w:sig w:usb0="00000000" w:usb1="00000000" w:usb2="00000010" w:usb3="00000000" w:csb0="00040000" w:csb1="00000000"/>
  </w:font>
  <w:font w:name="Arial Unicode MS">
    <w:altName w:val="DejaVu Sans"/>
    <w:panose1 w:val="020B0604020202020204"/>
    <w:charset w:val="86"/>
    <w:family w:val="swiss"/>
    <w:pitch w:val="default"/>
    <w:sig w:usb0="00000000" w:usb1="00000000" w:usb2="0000003F" w:usb3="00000000" w:csb0="603F01FF" w:csb1="FFFF0000"/>
  </w:font>
  <w:font w:name="Tahoma">
    <w:altName w:val="DejaVu Sans"/>
    <w:panose1 w:val="020B0604030504040204"/>
    <w:charset w:val="00"/>
    <w:family w:val="swiss"/>
    <w:pitch w:val="default"/>
    <w:sig w:usb0="00000000" w:usb1="00000000" w:usb2="00000029" w:usb3="00000000" w:csb0="200101FF" w:csb1="20280000"/>
  </w:font>
  <w:font w:name="Wingdings 2">
    <w:altName w:val="Standard Symbols PS"/>
    <w:panose1 w:val="05020102010507070707"/>
    <w:charset w:val="02"/>
    <w:family w:val="roman"/>
    <w:pitch w:val="default"/>
    <w:sig w:usb0="00000000" w:usb1="00000000" w:usb2="00000000" w:usb3="00000000" w:csb0="80000000" w:csb1="0000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华文仿宋">
    <w:panose1 w:val="02010600040101010101"/>
    <w:charset w:val="86"/>
    <w:family w:val="auto"/>
    <w:pitch w:val="default"/>
    <w:sig w:usb0="00000287" w:usb1="080F0000" w:usb2="00000000" w:usb3="00000000" w:csb0="0004009F" w:csb1="DFD70000"/>
  </w:font>
  <w:font w:name="FreeSerif">
    <w:panose1 w:val="02020603050405020304"/>
    <w:charset w:val="00"/>
    <w:family w:val="auto"/>
    <w:pitch w:val="default"/>
    <w:sig w:usb0="E59FAFFF" w:usb1="C200FDFF" w:usb2="43501B29" w:usb3="04000043" w:csb0="600101FF" w:csb1="FFFF0000"/>
  </w:font>
  <w:font w:name="Standard Symbols PS">
    <w:panose1 w:val="05050102010706020507"/>
    <w:charset w:val="00"/>
    <w:family w:val="auto"/>
    <w:pitch w:val="default"/>
    <w:sig w:usb0="00000003"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Style w:val="47"/>
        <w:rFonts w:hint="default" w:ascii="Times New Roman" w:hAnsi="Times New Roman" w:cs="Times New Roman"/>
        <w:sz w:val="22"/>
        <w:szCs w:val="22"/>
      </w:rPr>
      <w:fldChar w:fldCharType="begin"/>
    </w:r>
    <w:r>
      <w:rPr>
        <w:rStyle w:val="47"/>
        <w:rFonts w:hint="default" w:ascii="Times New Roman" w:hAnsi="Times New Roman" w:cs="Times New Roman"/>
        <w:sz w:val="22"/>
        <w:szCs w:val="22"/>
      </w:rPr>
      <w:instrText xml:space="preserve">PAGE  </w:instrText>
    </w:r>
    <w:r>
      <w:rPr>
        <w:rStyle w:val="47"/>
        <w:rFonts w:hint="default" w:ascii="Times New Roman" w:hAnsi="Times New Roman" w:cs="Times New Roman"/>
        <w:sz w:val="22"/>
        <w:szCs w:val="22"/>
      </w:rPr>
      <w:fldChar w:fldCharType="separate"/>
    </w:r>
    <w:r>
      <w:rPr>
        <w:rStyle w:val="47"/>
        <w:rFonts w:hint="default" w:ascii="Times New Roman" w:hAnsi="Times New Roman" w:cs="Times New Roman"/>
        <w:sz w:val="22"/>
        <w:szCs w:val="22"/>
      </w:rPr>
      <w:t>58</w:t>
    </w:r>
    <w:r>
      <w:rPr>
        <w:rStyle w:val="47"/>
        <w:rFonts w:hint="default" w:ascii="Times New Roman" w:hAnsi="Times New Roman" w:cs="Times New Roman"/>
        <w:sz w:val="22"/>
        <w:szCs w:val="22"/>
      </w:rPr>
      <w:fldChar w:fldCharType="end"/>
    </w:r>
    <w:r>
      <w:rPr>
        <w:rStyle w:val="47"/>
        <w:rFonts w:hint="eastAsia" w:ascii="宋体" w:hAnsi="宋体"/>
        <w:sz w:val="20"/>
      </w:rPr>
      <w:t xml:space="preserve">  </w:t>
    </w:r>
    <w:r>
      <w:rPr>
        <w:rStyle w:val="47"/>
        <w:rFonts w:hint="eastAsia" w:ascii="宋体" w:hAnsi="宋体"/>
        <w:sz w:val="28"/>
        <w:szCs w:val="28"/>
      </w:rPr>
      <w:t>—</w:t>
    </w:r>
  </w:p>
  <w:p>
    <w:pPr>
      <w:pStyle w:val="31"/>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default" w:ascii="Times New Roman" w:hAnsi="Times New Roman" w:cs="Times New Roman"/>
        <w:sz w:val="20"/>
      </w:rPr>
      <w:t xml:space="preserve">  </w:t>
    </w:r>
    <w:r>
      <w:rPr>
        <w:rStyle w:val="47"/>
        <w:rFonts w:hint="default" w:ascii="Times New Roman" w:hAnsi="Times New Roman" w:cs="Times New Roman"/>
        <w:sz w:val="26"/>
        <w:szCs w:val="26"/>
      </w:rPr>
      <w:fldChar w:fldCharType="begin"/>
    </w:r>
    <w:r>
      <w:rPr>
        <w:rStyle w:val="47"/>
        <w:rFonts w:hint="default" w:ascii="Times New Roman" w:hAnsi="Times New Roman" w:cs="Times New Roman"/>
        <w:sz w:val="26"/>
        <w:szCs w:val="26"/>
      </w:rPr>
      <w:instrText xml:space="preserve">PAGE  </w:instrText>
    </w:r>
    <w:r>
      <w:rPr>
        <w:rStyle w:val="47"/>
        <w:rFonts w:hint="default" w:ascii="Times New Roman" w:hAnsi="Times New Roman" w:cs="Times New Roman"/>
        <w:sz w:val="26"/>
        <w:szCs w:val="26"/>
      </w:rPr>
      <w:fldChar w:fldCharType="separate"/>
    </w:r>
    <w:r>
      <w:rPr>
        <w:rStyle w:val="47"/>
        <w:rFonts w:hint="default" w:ascii="Times New Roman" w:hAnsi="Times New Roman" w:cs="Times New Roman"/>
        <w:sz w:val="26"/>
        <w:szCs w:val="26"/>
      </w:rPr>
      <w:t>58</w:t>
    </w:r>
    <w:r>
      <w:rPr>
        <w:rStyle w:val="47"/>
        <w:rFonts w:hint="default" w:ascii="Times New Roman" w:hAnsi="Times New Roman" w:cs="Times New Roman"/>
        <w:sz w:val="26"/>
        <w:szCs w:val="26"/>
      </w:rPr>
      <w:fldChar w:fldCharType="end"/>
    </w:r>
    <w:r>
      <w:rPr>
        <w:rStyle w:val="47"/>
        <w:rFonts w:hint="default" w:ascii="Times New Roman" w:hAnsi="Times New Roman" w:cs="Times New Roman"/>
        <w:sz w:val="20"/>
      </w:rPr>
      <w:t xml:space="preserve"> </w:t>
    </w:r>
    <w:r>
      <w:rPr>
        <w:rStyle w:val="47"/>
        <w:rFonts w:hint="eastAsia" w:ascii="宋体" w:hAnsi="宋体"/>
        <w:sz w:val="20"/>
      </w:rPr>
      <w:t xml:space="preserve"> </w:t>
    </w:r>
    <w:r>
      <w:rPr>
        <w:rStyle w:val="47"/>
        <w:rFonts w:hint="eastAsia" w:ascii="宋体" w:hAnsi="宋体"/>
        <w:sz w:val="28"/>
        <w:szCs w:val="28"/>
      </w:rPr>
      <w:t>—</w:t>
    </w:r>
  </w:p>
  <w:p>
    <w:pPr>
      <w:pStyle w:val="3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Style w:val="47"/>
        <w:rFonts w:hint="default" w:ascii="Times New Roman" w:hAnsi="Times New Roman" w:cs="Times New Roman"/>
        <w:sz w:val="20"/>
      </w:rPr>
      <w:t xml:space="preserve"> </w:t>
    </w:r>
    <w:r>
      <w:rPr>
        <w:rStyle w:val="47"/>
        <w:rFonts w:hint="default" w:ascii="Times New Roman" w:hAnsi="Times New Roman" w:cs="Times New Roman"/>
        <w:sz w:val="26"/>
        <w:szCs w:val="26"/>
      </w:rPr>
      <w:fldChar w:fldCharType="begin"/>
    </w:r>
    <w:r>
      <w:rPr>
        <w:rStyle w:val="47"/>
        <w:rFonts w:hint="default" w:ascii="Times New Roman" w:hAnsi="Times New Roman" w:cs="Times New Roman"/>
        <w:sz w:val="26"/>
        <w:szCs w:val="26"/>
      </w:rPr>
      <w:instrText xml:space="preserve">PAGE  </w:instrText>
    </w:r>
    <w:r>
      <w:rPr>
        <w:rStyle w:val="47"/>
        <w:rFonts w:hint="default" w:ascii="Times New Roman" w:hAnsi="Times New Roman" w:cs="Times New Roman"/>
        <w:sz w:val="26"/>
        <w:szCs w:val="26"/>
      </w:rPr>
      <w:fldChar w:fldCharType="separate"/>
    </w:r>
    <w:r>
      <w:rPr>
        <w:rStyle w:val="47"/>
        <w:rFonts w:hint="default" w:ascii="Times New Roman" w:hAnsi="Times New Roman" w:cs="Times New Roman"/>
        <w:sz w:val="26"/>
        <w:szCs w:val="26"/>
      </w:rPr>
      <w:t>69</w:t>
    </w:r>
    <w:r>
      <w:rPr>
        <w:rStyle w:val="47"/>
        <w:rFonts w:hint="default" w:ascii="Times New Roman" w:hAnsi="Times New Roman" w:cs="Times New Roman"/>
        <w:sz w:val="26"/>
        <w:szCs w:val="26"/>
      </w:rPr>
      <w:fldChar w:fldCharType="end"/>
    </w:r>
    <w:r>
      <w:rPr>
        <w:rStyle w:val="47"/>
        <w:rFonts w:hint="default" w:ascii="Times New Roman" w:hAnsi="Times New Roman" w:cs="Times New Roman"/>
        <w:sz w:val="20"/>
      </w:rPr>
      <w:t xml:space="preserve"> </w:t>
    </w:r>
    <w:r>
      <w:rPr>
        <w:rStyle w:val="47"/>
        <w:rFonts w:hint="eastAsia" w:ascii="宋体" w:hAnsi="宋体"/>
        <w:sz w:val="20"/>
      </w:rPr>
      <w:t xml:space="preserve"> </w:t>
    </w:r>
    <w:r>
      <w:rPr>
        <w:rStyle w:val="47"/>
        <w:rFonts w:hint="eastAsia" w:ascii="宋体" w:hAnsi="宋体"/>
        <w:sz w:val="28"/>
        <w:szCs w:val="28"/>
      </w:rPr>
      <w:t>—</w:t>
    </w:r>
  </w:p>
  <w:p>
    <w:pPr>
      <w:pStyle w:val="3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E78FD"/>
    <w:multiLevelType w:val="singleLevel"/>
    <w:tmpl w:val="BB6E78FD"/>
    <w:lvl w:ilvl="0" w:tentative="0">
      <w:start w:val="1"/>
      <w:numFmt w:val="upperRoman"/>
      <w:suff w:val="nothing"/>
      <w:lvlText w:val="%1、"/>
      <w:lvlJc w:val="left"/>
    </w:lvl>
  </w:abstractNum>
  <w:abstractNum w:abstractNumId="1">
    <w:nsid w:val="BFF3FB9E"/>
    <w:multiLevelType w:val="singleLevel"/>
    <w:tmpl w:val="BFF3FB9E"/>
    <w:lvl w:ilvl="0" w:tentative="0">
      <w:start w:val="1"/>
      <w:numFmt w:val="decimal"/>
      <w:suff w:val="nothing"/>
      <w:lvlText w:val="（%1）"/>
      <w:lvlJc w:val="left"/>
    </w:lvl>
  </w:abstractNum>
  <w:abstractNum w:abstractNumId="2">
    <w:nsid w:val="00000001"/>
    <w:multiLevelType w:val="multilevel"/>
    <w:tmpl w:val="00000001"/>
    <w:lvl w:ilvl="0" w:tentative="0">
      <w:start w:val="1"/>
      <w:numFmt w:val="decimal"/>
      <w:pStyle w:val="261"/>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1432460D"/>
    <w:multiLevelType w:val="singleLevel"/>
    <w:tmpl w:val="1432460D"/>
    <w:lvl w:ilvl="0" w:tentative="0">
      <w:start w:val="3"/>
      <w:numFmt w:val="decimal"/>
      <w:suff w:val="nothing"/>
      <w:lvlText w:val="%1）"/>
      <w:lvlJc w:val="left"/>
    </w:lvl>
  </w:abstractNum>
  <w:abstractNum w:abstractNumId="4">
    <w:nsid w:val="349B4561"/>
    <w:multiLevelType w:val="singleLevel"/>
    <w:tmpl w:val="349B4561"/>
    <w:lvl w:ilvl="0" w:tentative="0">
      <w:start w:val="1"/>
      <w:numFmt w:val="decimal"/>
      <w:suff w:val="nothing"/>
      <w:lvlText w:val="%1）"/>
      <w:lvlJc w:val="left"/>
    </w:lvl>
  </w:abstractNum>
  <w:abstractNum w:abstractNumId="5">
    <w:nsid w:val="5390D855"/>
    <w:multiLevelType w:val="singleLevel"/>
    <w:tmpl w:val="5390D855"/>
    <w:lvl w:ilvl="0" w:tentative="0">
      <w:start w:val="1"/>
      <w:numFmt w:val="bullet"/>
      <w:pStyle w:val="28"/>
      <w:lvlText w:val=""/>
      <w:lvlJc w:val="left"/>
      <w:pPr>
        <w:tabs>
          <w:tab w:val="left" w:pos="2040"/>
        </w:tabs>
        <w:ind w:left="2040" w:hanging="360"/>
      </w:pPr>
      <w:rPr>
        <w:rFonts w:hint="default" w:ascii="Wingdings" w:hAnsi="Wingdings"/>
      </w:rPr>
    </w:lvl>
  </w:abstractNum>
  <w:abstractNum w:abstractNumId="6">
    <w:nsid w:val="7418112E"/>
    <w:multiLevelType w:val="multilevel"/>
    <w:tmpl w:val="7418112E"/>
    <w:lvl w:ilvl="0" w:tentative="0">
      <w:start w:val="1"/>
      <w:numFmt w:val="decimal"/>
      <w:pStyle w:val="203"/>
      <w:lvlText w:val="%1、"/>
      <w:lvlJc w:val="left"/>
      <w:pPr>
        <w:ind w:left="720" w:hanging="720"/>
      </w:pPr>
      <w:rPr>
        <w:rFonts w:hint="default"/>
      </w:rPr>
    </w:lvl>
    <w:lvl w:ilvl="1" w:tentative="0">
      <w:start w:val="1"/>
      <w:numFmt w:val="decimalEnclosedCircle"/>
      <w:lvlText w:val="%2"/>
      <w:lvlJc w:val="left"/>
      <w:pPr>
        <w:ind w:left="780" w:hanging="360"/>
      </w:pPr>
      <w:rPr>
        <w:rFonts w:hint="default" w:ascii="宋体" w:hAnsi="宋体" w:cs="宋体"/>
      </w:rPr>
    </w:lvl>
    <w:lvl w:ilvl="2" w:tentative="0">
      <w:start w:val="1"/>
      <w:numFmt w:val="lowerRoman"/>
      <w:pStyle w:val="5"/>
      <w:lvlText w:val="%3."/>
      <w:lvlJc w:val="right"/>
      <w:pPr>
        <w:ind w:left="1260" w:hanging="420"/>
      </w:pPr>
    </w:lvl>
    <w:lvl w:ilvl="3" w:tentative="0">
      <w:start w:val="1"/>
      <w:numFmt w:val="decimal"/>
      <w:pStyle w:val="4"/>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2"/>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5NTFkZmY1NTZjZmNiODg1MGFlYjU1Y2M1MmY3MjMifQ=="/>
    <w:docVar w:name="KSO_WPS_MARK_KEY" w:val="2b1c6de7-cba6-4238-87c4-96edd3ea90d4"/>
  </w:docVars>
  <w:rsids>
    <w:rsidRoot w:val="00172A27"/>
    <w:rsid w:val="00003842"/>
    <w:rsid w:val="00005714"/>
    <w:rsid w:val="000060B3"/>
    <w:rsid w:val="00007828"/>
    <w:rsid w:val="000113A6"/>
    <w:rsid w:val="000129E0"/>
    <w:rsid w:val="00020A05"/>
    <w:rsid w:val="00021272"/>
    <w:rsid w:val="00026DFA"/>
    <w:rsid w:val="000406BD"/>
    <w:rsid w:val="00040774"/>
    <w:rsid w:val="00041C90"/>
    <w:rsid w:val="00041FBE"/>
    <w:rsid w:val="0004364B"/>
    <w:rsid w:val="000469BD"/>
    <w:rsid w:val="00057ED5"/>
    <w:rsid w:val="00060511"/>
    <w:rsid w:val="00061B1F"/>
    <w:rsid w:val="0006254D"/>
    <w:rsid w:val="00063699"/>
    <w:rsid w:val="00072D24"/>
    <w:rsid w:val="000733C4"/>
    <w:rsid w:val="00074783"/>
    <w:rsid w:val="0007520C"/>
    <w:rsid w:val="00077B4B"/>
    <w:rsid w:val="000805B1"/>
    <w:rsid w:val="0008070B"/>
    <w:rsid w:val="000810AC"/>
    <w:rsid w:val="00081A02"/>
    <w:rsid w:val="00082231"/>
    <w:rsid w:val="00083A80"/>
    <w:rsid w:val="0009069C"/>
    <w:rsid w:val="00092B11"/>
    <w:rsid w:val="00092D38"/>
    <w:rsid w:val="0009377B"/>
    <w:rsid w:val="000A20C9"/>
    <w:rsid w:val="000A25A0"/>
    <w:rsid w:val="000A7451"/>
    <w:rsid w:val="000B048C"/>
    <w:rsid w:val="000B058F"/>
    <w:rsid w:val="000B4467"/>
    <w:rsid w:val="000B4DB9"/>
    <w:rsid w:val="000B5DBF"/>
    <w:rsid w:val="000C09AC"/>
    <w:rsid w:val="000C1898"/>
    <w:rsid w:val="000C3949"/>
    <w:rsid w:val="000C7122"/>
    <w:rsid w:val="000C767F"/>
    <w:rsid w:val="000D141C"/>
    <w:rsid w:val="000D5A44"/>
    <w:rsid w:val="000D6EE1"/>
    <w:rsid w:val="000E3ED2"/>
    <w:rsid w:val="00102221"/>
    <w:rsid w:val="00104CBE"/>
    <w:rsid w:val="00105E90"/>
    <w:rsid w:val="001078EE"/>
    <w:rsid w:val="0011020A"/>
    <w:rsid w:val="00111830"/>
    <w:rsid w:val="00114846"/>
    <w:rsid w:val="00130B2E"/>
    <w:rsid w:val="00131F42"/>
    <w:rsid w:val="001357D4"/>
    <w:rsid w:val="001357F1"/>
    <w:rsid w:val="00135FA9"/>
    <w:rsid w:val="0013764D"/>
    <w:rsid w:val="00140A8F"/>
    <w:rsid w:val="00140FA8"/>
    <w:rsid w:val="00141989"/>
    <w:rsid w:val="00142FEB"/>
    <w:rsid w:val="00143A2D"/>
    <w:rsid w:val="00143F40"/>
    <w:rsid w:val="00145A41"/>
    <w:rsid w:val="00146A81"/>
    <w:rsid w:val="00151215"/>
    <w:rsid w:val="00151675"/>
    <w:rsid w:val="00153233"/>
    <w:rsid w:val="00157435"/>
    <w:rsid w:val="00160506"/>
    <w:rsid w:val="001652B5"/>
    <w:rsid w:val="00170EC5"/>
    <w:rsid w:val="00172A27"/>
    <w:rsid w:val="00174703"/>
    <w:rsid w:val="0017504D"/>
    <w:rsid w:val="0017671A"/>
    <w:rsid w:val="00177422"/>
    <w:rsid w:val="001820FC"/>
    <w:rsid w:val="00184590"/>
    <w:rsid w:val="001870D1"/>
    <w:rsid w:val="0018781E"/>
    <w:rsid w:val="0019262D"/>
    <w:rsid w:val="00192D11"/>
    <w:rsid w:val="001937C4"/>
    <w:rsid w:val="00193A39"/>
    <w:rsid w:val="0019615C"/>
    <w:rsid w:val="001967D0"/>
    <w:rsid w:val="00197250"/>
    <w:rsid w:val="001972F8"/>
    <w:rsid w:val="00197BFE"/>
    <w:rsid w:val="001A1B35"/>
    <w:rsid w:val="001A48A2"/>
    <w:rsid w:val="001A556D"/>
    <w:rsid w:val="001A6F61"/>
    <w:rsid w:val="001B72B8"/>
    <w:rsid w:val="001C3925"/>
    <w:rsid w:val="001C41E1"/>
    <w:rsid w:val="001C69B3"/>
    <w:rsid w:val="001D1CFF"/>
    <w:rsid w:val="001D290D"/>
    <w:rsid w:val="001D4963"/>
    <w:rsid w:val="001D5595"/>
    <w:rsid w:val="001D7874"/>
    <w:rsid w:val="001D7F22"/>
    <w:rsid w:val="001E017C"/>
    <w:rsid w:val="001E0946"/>
    <w:rsid w:val="001E3965"/>
    <w:rsid w:val="001E543D"/>
    <w:rsid w:val="001E6EBE"/>
    <w:rsid w:val="001E75F5"/>
    <w:rsid w:val="001F0F17"/>
    <w:rsid w:val="001F14C6"/>
    <w:rsid w:val="001F3347"/>
    <w:rsid w:val="001F5360"/>
    <w:rsid w:val="001F69E4"/>
    <w:rsid w:val="001F7761"/>
    <w:rsid w:val="00201923"/>
    <w:rsid w:val="00202339"/>
    <w:rsid w:val="00204202"/>
    <w:rsid w:val="00211A63"/>
    <w:rsid w:val="002125B4"/>
    <w:rsid w:val="002155B8"/>
    <w:rsid w:val="0021663A"/>
    <w:rsid w:val="002223F6"/>
    <w:rsid w:val="00224815"/>
    <w:rsid w:val="00224839"/>
    <w:rsid w:val="002249B2"/>
    <w:rsid w:val="002257D4"/>
    <w:rsid w:val="00226574"/>
    <w:rsid w:val="002278EC"/>
    <w:rsid w:val="0023280E"/>
    <w:rsid w:val="002377D1"/>
    <w:rsid w:val="00244E32"/>
    <w:rsid w:val="002504D0"/>
    <w:rsid w:val="002506BC"/>
    <w:rsid w:val="00254345"/>
    <w:rsid w:val="00255217"/>
    <w:rsid w:val="0026253A"/>
    <w:rsid w:val="00264557"/>
    <w:rsid w:val="00264EF0"/>
    <w:rsid w:val="002769A0"/>
    <w:rsid w:val="00277635"/>
    <w:rsid w:val="00277D40"/>
    <w:rsid w:val="00277E15"/>
    <w:rsid w:val="002805AB"/>
    <w:rsid w:val="002809B6"/>
    <w:rsid w:val="00284204"/>
    <w:rsid w:val="00284BD1"/>
    <w:rsid w:val="00286A76"/>
    <w:rsid w:val="00290197"/>
    <w:rsid w:val="00291773"/>
    <w:rsid w:val="00291D97"/>
    <w:rsid w:val="00293A3E"/>
    <w:rsid w:val="002A042D"/>
    <w:rsid w:val="002A168C"/>
    <w:rsid w:val="002A172F"/>
    <w:rsid w:val="002A247E"/>
    <w:rsid w:val="002A2A0F"/>
    <w:rsid w:val="002A3DC7"/>
    <w:rsid w:val="002A56BD"/>
    <w:rsid w:val="002A779A"/>
    <w:rsid w:val="002B49E2"/>
    <w:rsid w:val="002B4AE3"/>
    <w:rsid w:val="002B68D9"/>
    <w:rsid w:val="002B7B00"/>
    <w:rsid w:val="002B7C44"/>
    <w:rsid w:val="002C06A4"/>
    <w:rsid w:val="002C2B17"/>
    <w:rsid w:val="002C75A7"/>
    <w:rsid w:val="002D3DD0"/>
    <w:rsid w:val="002E0B6B"/>
    <w:rsid w:val="002E0D44"/>
    <w:rsid w:val="002E1F3A"/>
    <w:rsid w:val="002E298A"/>
    <w:rsid w:val="002F5E64"/>
    <w:rsid w:val="002F6DD0"/>
    <w:rsid w:val="00301978"/>
    <w:rsid w:val="00302C8F"/>
    <w:rsid w:val="0030332C"/>
    <w:rsid w:val="003051C2"/>
    <w:rsid w:val="00311773"/>
    <w:rsid w:val="00312296"/>
    <w:rsid w:val="00314F0E"/>
    <w:rsid w:val="00315BA1"/>
    <w:rsid w:val="00317B3F"/>
    <w:rsid w:val="00321AC3"/>
    <w:rsid w:val="00321D8E"/>
    <w:rsid w:val="0032394F"/>
    <w:rsid w:val="00325928"/>
    <w:rsid w:val="00326AE4"/>
    <w:rsid w:val="00327F29"/>
    <w:rsid w:val="00330938"/>
    <w:rsid w:val="00332863"/>
    <w:rsid w:val="0033684D"/>
    <w:rsid w:val="00337876"/>
    <w:rsid w:val="00337B42"/>
    <w:rsid w:val="0034135F"/>
    <w:rsid w:val="00341B42"/>
    <w:rsid w:val="0034348F"/>
    <w:rsid w:val="00343ACA"/>
    <w:rsid w:val="00356653"/>
    <w:rsid w:val="0035743F"/>
    <w:rsid w:val="00357BE2"/>
    <w:rsid w:val="0036082B"/>
    <w:rsid w:val="0036170C"/>
    <w:rsid w:val="0036178D"/>
    <w:rsid w:val="00365064"/>
    <w:rsid w:val="00365963"/>
    <w:rsid w:val="00366D49"/>
    <w:rsid w:val="00366E0F"/>
    <w:rsid w:val="00374964"/>
    <w:rsid w:val="0038095B"/>
    <w:rsid w:val="00381A72"/>
    <w:rsid w:val="0038359C"/>
    <w:rsid w:val="00384676"/>
    <w:rsid w:val="00390857"/>
    <w:rsid w:val="00391BAD"/>
    <w:rsid w:val="003A1337"/>
    <w:rsid w:val="003A375A"/>
    <w:rsid w:val="003A4BF3"/>
    <w:rsid w:val="003B2B26"/>
    <w:rsid w:val="003B2E54"/>
    <w:rsid w:val="003B420D"/>
    <w:rsid w:val="003B6DE3"/>
    <w:rsid w:val="003C255A"/>
    <w:rsid w:val="003C2C63"/>
    <w:rsid w:val="003C2FC4"/>
    <w:rsid w:val="003C5CD0"/>
    <w:rsid w:val="003C6C16"/>
    <w:rsid w:val="003D0AFC"/>
    <w:rsid w:val="003D2716"/>
    <w:rsid w:val="003D42A9"/>
    <w:rsid w:val="003D5AF9"/>
    <w:rsid w:val="003D5D45"/>
    <w:rsid w:val="003D6DC5"/>
    <w:rsid w:val="003D77F3"/>
    <w:rsid w:val="003D794D"/>
    <w:rsid w:val="003E3058"/>
    <w:rsid w:val="003E3F17"/>
    <w:rsid w:val="003E6006"/>
    <w:rsid w:val="003E663B"/>
    <w:rsid w:val="003E6E72"/>
    <w:rsid w:val="003E76A9"/>
    <w:rsid w:val="003F0809"/>
    <w:rsid w:val="003F0E79"/>
    <w:rsid w:val="003F30A8"/>
    <w:rsid w:val="003F42AA"/>
    <w:rsid w:val="003F6A8C"/>
    <w:rsid w:val="003F755C"/>
    <w:rsid w:val="0040064F"/>
    <w:rsid w:val="00400FD8"/>
    <w:rsid w:val="00406F01"/>
    <w:rsid w:val="00410E4C"/>
    <w:rsid w:val="004118CC"/>
    <w:rsid w:val="00412EFC"/>
    <w:rsid w:val="00413FE6"/>
    <w:rsid w:val="00414339"/>
    <w:rsid w:val="00414944"/>
    <w:rsid w:val="00416D50"/>
    <w:rsid w:val="00416FD5"/>
    <w:rsid w:val="00417772"/>
    <w:rsid w:val="00420E6A"/>
    <w:rsid w:val="00423D34"/>
    <w:rsid w:val="004251F5"/>
    <w:rsid w:val="00425A9E"/>
    <w:rsid w:val="00426D6B"/>
    <w:rsid w:val="00426DB2"/>
    <w:rsid w:val="00427261"/>
    <w:rsid w:val="0043182C"/>
    <w:rsid w:val="00431E6C"/>
    <w:rsid w:val="00432AAF"/>
    <w:rsid w:val="00433CE7"/>
    <w:rsid w:val="004349ED"/>
    <w:rsid w:val="0043584E"/>
    <w:rsid w:val="00441540"/>
    <w:rsid w:val="00445719"/>
    <w:rsid w:val="00452738"/>
    <w:rsid w:val="0045555E"/>
    <w:rsid w:val="00456091"/>
    <w:rsid w:val="004610C4"/>
    <w:rsid w:val="00466321"/>
    <w:rsid w:val="00470504"/>
    <w:rsid w:val="004710F2"/>
    <w:rsid w:val="00475757"/>
    <w:rsid w:val="0047589B"/>
    <w:rsid w:val="00484B9B"/>
    <w:rsid w:val="004855F6"/>
    <w:rsid w:val="004863FC"/>
    <w:rsid w:val="0048661E"/>
    <w:rsid w:val="004866B0"/>
    <w:rsid w:val="00487131"/>
    <w:rsid w:val="00491FD6"/>
    <w:rsid w:val="00494670"/>
    <w:rsid w:val="004963F3"/>
    <w:rsid w:val="004A0F17"/>
    <w:rsid w:val="004A1621"/>
    <w:rsid w:val="004A3444"/>
    <w:rsid w:val="004A37AE"/>
    <w:rsid w:val="004A3823"/>
    <w:rsid w:val="004B524C"/>
    <w:rsid w:val="004C0C4F"/>
    <w:rsid w:val="004C2D1C"/>
    <w:rsid w:val="004C6BB7"/>
    <w:rsid w:val="004C7533"/>
    <w:rsid w:val="004C764A"/>
    <w:rsid w:val="004D612F"/>
    <w:rsid w:val="004E0CD2"/>
    <w:rsid w:val="004E2274"/>
    <w:rsid w:val="004E340F"/>
    <w:rsid w:val="004E44BB"/>
    <w:rsid w:val="004E50EC"/>
    <w:rsid w:val="004E5652"/>
    <w:rsid w:val="004E6946"/>
    <w:rsid w:val="004F0B43"/>
    <w:rsid w:val="004F1AD8"/>
    <w:rsid w:val="004F5D17"/>
    <w:rsid w:val="005019A7"/>
    <w:rsid w:val="005039CB"/>
    <w:rsid w:val="00504C9C"/>
    <w:rsid w:val="0050558F"/>
    <w:rsid w:val="00505593"/>
    <w:rsid w:val="00506286"/>
    <w:rsid w:val="00506F80"/>
    <w:rsid w:val="00510813"/>
    <w:rsid w:val="00511990"/>
    <w:rsid w:val="00511DE0"/>
    <w:rsid w:val="00514870"/>
    <w:rsid w:val="00514B04"/>
    <w:rsid w:val="00514B9B"/>
    <w:rsid w:val="00517F02"/>
    <w:rsid w:val="00520C01"/>
    <w:rsid w:val="0052288D"/>
    <w:rsid w:val="00523DE9"/>
    <w:rsid w:val="00524303"/>
    <w:rsid w:val="00524E00"/>
    <w:rsid w:val="005254F9"/>
    <w:rsid w:val="005258A2"/>
    <w:rsid w:val="005274B8"/>
    <w:rsid w:val="00534DC6"/>
    <w:rsid w:val="005401AE"/>
    <w:rsid w:val="00540F85"/>
    <w:rsid w:val="00542E07"/>
    <w:rsid w:val="00542E63"/>
    <w:rsid w:val="00545424"/>
    <w:rsid w:val="005529F9"/>
    <w:rsid w:val="0055355E"/>
    <w:rsid w:val="00554738"/>
    <w:rsid w:val="00554A7B"/>
    <w:rsid w:val="0055572C"/>
    <w:rsid w:val="0055679D"/>
    <w:rsid w:val="00556B5C"/>
    <w:rsid w:val="00560F6A"/>
    <w:rsid w:val="0056106A"/>
    <w:rsid w:val="00570B79"/>
    <w:rsid w:val="005720AE"/>
    <w:rsid w:val="005720B8"/>
    <w:rsid w:val="005929AC"/>
    <w:rsid w:val="0059389C"/>
    <w:rsid w:val="005942F4"/>
    <w:rsid w:val="00594D77"/>
    <w:rsid w:val="005969E4"/>
    <w:rsid w:val="005A06B7"/>
    <w:rsid w:val="005A1759"/>
    <w:rsid w:val="005A68A7"/>
    <w:rsid w:val="005A6958"/>
    <w:rsid w:val="005A725F"/>
    <w:rsid w:val="005C032F"/>
    <w:rsid w:val="005C036D"/>
    <w:rsid w:val="005C298E"/>
    <w:rsid w:val="005C39C0"/>
    <w:rsid w:val="005C4FBB"/>
    <w:rsid w:val="005D1E8B"/>
    <w:rsid w:val="005D36AB"/>
    <w:rsid w:val="005E0B0E"/>
    <w:rsid w:val="005E6919"/>
    <w:rsid w:val="005E6A83"/>
    <w:rsid w:val="005F05AB"/>
    <w:rsid w:val="006140F3"/>
    <w:rsid w:val="00617CC3"/>
    <w:rsid w:val="0062446C"/>
    <w:rsid w:val="006259D2"/>
    <w:rsid w:val="00627F2E"/>
    <w:rsid w:val="00630235"/>
    <w:rsid w:val="00635AD0"/>
    <w:rsid w:val="00636F5E"/>
    <w:rsid w:val="006377A6"/>
    <w:rsid w:val="00637A3D"/>
    <w:rsid w:val="006411EF"/>
    <w:rsid w:val="00646C4B"/>
    <w:rsid w:val="00647619"/>
    <w:rsid w:val="006542A0"/>
    <w:rsid w:val="006561BE"/>
    <w:rsid w:val="00656386"/>
    <w:rsid w:val="00657250"/>
    <w:rsid w:val="00660523"/>
    <w:rsid w:val="00661AE8"/>
    <w:rsid w:val="0066240A"/>
    <w:rsid w:val="006706BB"/>
    <w:rsid w:val="006748B8"/>
    <w:rsid w:val="0067571B"/>
    <w:rsid w:val="006775C3"/>
    <w:rsid w:val="00681B73"/>
    <w:rsid w:val="00681EF1"/>
    <w:rsid w:val="006861A5"/>
    <w:rsid w:val="00687BE9"/>
    <w:rsid w:val="0069254D"/>
    <w:rsid w:val="0069290A"/>
    <w:rsid w:val="00692DD1"/>
    <w:rsid w:val="0069775A"/>
    <w:rsid w:val="00697813"/>
    <w:rsid w:val="006A38E6"/>
    <w:rsid w:val="006A3EE8"/>
    <w:rsid w:val="006A72BF"/>
    <w:rsid w:val="006B03F2"/>
    <w:rsid w:val="006B064B"/>
    <w:rsid w:val="006B2246"/>
    <w:rsid w:val="006B228F"/>
    <w:rsid w:val="006B37DC"/>
    <w:rsid w:val="006B4F68"/>
    <w:rsid w:val="006C0592"/>
    <w:rsid w:val="006C0B3A"/>
    <w:rsid w:val="006C2132"/>
    <w:rsid w:val="006C272E"/>
    <w:rsid w:val="006C2A3A"/>
    <w:rsid w:val="006C5479"/>
    <w:rsid w:val="006D13B5"/>
    <w:rsid w:val="006D1748"/>
    <w:rsid w:val="006D64A8"/>
    <w:rsid w:val="006E12FF"/>
    <w:rsid w:val="006E484C"/>
    <w:rsid w:val="006E607E"/>
    <w:rsid w:val="006F7A99"/>
    <w:rsid w:val="00703026"/>
    <w:rsid w:val="00703202"/>
    <w:rsid w:val="007039C9"/>
    <w:rsid w:val="007059D3"/>
    <w:rsid w:val="00706C5D"/>
    <w:rsid w:val="00711A33"/>
    <w:rsid w:val="007145AA"/>
    <w:rsid w:val="007176E9"/>
    <w:rsid w:val="00722DC1"/>
    <w:rsid w:val="007241BB"/>
    <w:rsid w:val="0073236A"/>
    <w:rsid w:val="00732922"/>
    <w:rsid w:val="00736EE4"/>
    <w:rsid w:val="00740BCC"/>
    <w:rsid w:val="00740D7D"/>
    <w:rsid w:val="00744F5C"/>
    <w:rsid w:val="00745FAB"/>
    <w:rsid w:val="007472F3"/>
    <w:rsid w:val="0075162E"/>
    <w:rsid w:val="00751718"/>
    <w:rsid w:val="00751AD0"/>
    <w:rsid w:val="00752C96"/>
    <w:rsid w:val="00754034"/>
    <w:rsid w:val="00756556"/>
    <w:rsid w:val="00757045"/>
    <w:rsid w:val="00760A97"/>
    <w:rsid w:val="007618C4"/>
    <w:rsid w:val="007619FE"/>
    <w:rsid w:val="00762306"/>
    <w:rsid w:val="00767980"/>
    <w:rsid w:val="00770B19"/>
    <w:rsid w:val="007715F2"/>
    <w:rsid w:val="00771E67"/>
    <w:rsid w:val="0077463F"/>
    <w:rsid w:val="00774D19"/>
    <w:rsid w:val="007836EA"/>
    <w:rsid w:val="00784CB7"/>
    <w:rsid w:val="00784CDA"/>
    <w:rsid w:val="007865B0"/>
    <w:rsid w:val="007906C4"/>
    <w:rsid w:val="007940EA"/>
    <w:rsid w:val="007967E8"/>
    <w:rsid w:val="007A0666"/>
    <w:rsid w:val="007A2170"/>
    <w:rsid w:val="007A22BF"/>
    <w:rsid w:val="007A3323"/>
    <w:rsid w:val="007A34F4"/>
    <w:rsid w:val="007A3E2C"/>
    <w:rsid w:val="007A4880"/>
    <w:rsid w:val="007A61E5"/>
    <w:rsid w:val="007B72B8"/>
    <w:rsid w:val="007B7A58"/>
    <w:rsid w:val="007C0EA8"/>
    <w:rsid w:val="007C21B5"/>
    <w:rsid w:val="007C3BDC"/>
    <w:rsid w:val="007C5FC6"/>
    <w:rsid w:val="007C7BE0"/>
    <w:rsid w:val="007D0B8A"/>
    <w:rsid w:val="007D3D9D"/>
    <w:rsid w:val="007D480A"/>
    <w:rsid w:val="007E1BA3"/>
    <w:rsid w:val="007E28DB"/>
    <w:rsid w:val="007E4BD2"/>
    <w:rsid w:val="007E6521"/>
    <w:rsid w:val="00801393"/>
    <w:rsid w:val="00802F88"/>
    <w:rsid w:val="00804579"/>
    <w:rsid w:val="0081293E"/>
    <w:rsid w:val="00815465"/>
    <w:rsid w:val="00815ACC"/>
    <w:rsid w:val="00817E9A"/>
    <w:rsid w:val="00826B1C"/>
    <w:rsid w:val="008306BD"/>
    <w:rsid w:val="008315F0"/>
    <w:rsid w:val="00831A80"/>
    <w:rsid w:val="00833743"/>
    <w:rsid w:val="008340A4"/>
    <w:rsid w:val="00853AD0"/>
    <w:rsid w:val="00854C51"/>
    <w:rsid w:val="0085581F"/>
    <w:rsid w:val="00856422"/>
    <w:rsid w:val="00857D18"/>
    <w:rsid w:val="00863617"/>
    <w:rsid w:val="0087135F"/>
    <w:rsid w:val="00872D94"/>
    <w:rsid w:val="00874D9C"/>
    <w:rsid w:val="008771A0"/>
    <w:rsid w:val="00880364"/>
    <w:rsid w:val="00880BC2"/>
    <w:rsid w:val="008827F1"/>
    <w:rsid w:val="00882FD2"/>
    <w:rsid w:val="0088338E"/>
    <w:rsid w:val="00891592"/>
    <w:rsid w:val="00891E9E"/>
    <w:rsid w:val="00892C8B"/>
    <w:rsid w:val="00897E63"/>
    <w:rsid w:val="008A2F68"/>
    <w:rsid w:val="008A33DD"/>
    <w:rsid w:val="008A60E1"/>
    <w:rsid w:val="008A7F75"/>
    <w:rsid w:val="008B0335"/>
    <w:rsid w:val="008B07DC"/>
    <w:rsid w:val="008B4FA6"/>
    <w:rsid w:val="008B5282"/>
    <w:rsid w:val="008B7C17"/>
    <w:rsid w:val="008B7F2D"/>
    <w:rsid w:val="008C2D01"/>
    <w:rsid w:val="008C40E6"/>
    <w:rsid w:val="008C43D1"/>
    <w:rsid w:val="008C59F3"/>
    <w:rsid w:val="008C738A"/>
    <w:rsid w:val="008D01A7"/>
    <w:rsid w:val="008D0640"/>
    <w:rsid w:val="008D0F7A"/>
    <w:rsid w:val="008D11E6"/>
    <w:rsid w:val="008D1AC9"/>
    <w:rsid w:val="008D68E4"/>
    <w:rsid w:val="008D798D"/>
    <w:rsid w:val="008E02EA"/>
    <w:rsid w:val="008E0506"/>
    <w:rsid w:val="008E0606"/>
    <w:rsid w:val="008E0CFF"/>
    <w:rsid w:val="008E5D6B"/>
    <w:rsid w:val="008E73B6"/>
    <w:rsid w:val="008E76F0"/>
    <w:rsid w:val="008F15FE"/>
    <w:rsid w:val="008F254A"/>
    <w:rsid w:val="008F2D29"/>
    <w:rsid w:val="008F3D27"/>
    <w:rsid w:val="008F5187"/>
    <w:rsid w:val="008F60D8"/>
    <w:rsid w:val="008F6541"/>
    <w:rsid w:val="008F7889"/>
    <w:rsid w:val="00900FBB"/>
    <w:rsid w:val="009016E7"/>
    <w:rsid w:val="00902727"/>
    <w:rsid w:val="0090312B"/>
    <w:rsid w:val="00903CE0"/>
    <w:rsid w:val="00905345"/>
    <w:rsid w:val="0090665D"/>
    <w:rsid w:val="00910133"/>
    <w:rsid w:val="009147E7"/>
    <w:rsid w:val="0091736D"/>
    <w:rsid w:val="00920002"/>
    <w:rsid w:val="00925F49"/>
    <w:rsid w:val="009302BE"/>
    <w:rsid w:val="0093037A"/>
    <w:rsid w:val="009313E3"/>
    <w:rsid w:val="00933B9A"/>
    <w:rsid w:val="0093554A"/>
    <w:rsid w:val="0094154D"/>
    <w:rsid w:val="00943364"/>
    <w:rsid w:val="0095155F"/>
    <w:rsid w:val="00952B27"/>
    <w:rsid w:val="00954429"/>
    <w:rsid w:val="009550F2"/>
    <w:rsid w:val="009563CE"/>
    <w:rsid w:val="009635F6"/>
    <w:rsid w:val="0096660A"/>
    <w:rsid w:val="009670EF"/>
    <w:rsid w:val="00972487"/>
    <w:rsid w:val="00976328"/>
    <w:rsid w:val="0097680D"/>
    <w:rsid w:val="00982438"/>
    <w:rsid w:val="0098404C"/>
    <w:rsid w:val="00985283"/>
    <w:rsid w:val="009853AC"/>
    <w:rsid w:val="00987C68"/>
    <w:rsid w:val="0099483B"/>
    <w:rsid w:val="00995992"/>
    <w:rsid w:val="00997C44"/>
    <w:rsid w:val="009A03E5"/>
    <w:rsid w:val="009A0F3B"/>
    <w:rsid w:val="009A1BB4"/>
    <w:rsid w:val="009A2628"/>
    <w:rsid w:val="009A3200"/>
    <w:rsid w:val="009A4B9E"/>
    <w:rsid w:val="009B01AA"/>
    <w:rsid w:val="009B0897"/>
    <w:rsid w:val="009B2F4A"/>
    <w:rsid w:val="009B7BD9"/>
    <w:rsid w:val="009C2F16"/>
    <w:rsid w:val="009C3871"/>
    <w:rsid w:val="009C7DD5"/>
    <w:rsid w:val="009D12AF"/>
    <w:rsid w:val="009D2C0E"/>
    <w:rsid w:val="009D4712"/>
    <w:rsid w:val="009D7D84"/>
    <w:rsid w:val="009D7F35"/>
    <w:rsid w:val="009E0F4D"/>
    <w:rsid w:val="009E227D"/>
    <w:rsid w:val="009E5019"/>
    <w:rsid w:val="009E5DDF"/>
    <w:rsid w:val="009F5E43"/>
    <w:rsid w:val="009F7787"/>
    <w:rsid w:val="00A032A0"/>
    <w:rsid w:val="00A03999"/>
    <w:rsid w:val="00A04F1B"/>
    <w:rsid w:val="00A0501B"/>
    <w:rsid w:val="00A066DF"/>
    <w:rsid w:val="00A067C1"/>
    <w:rsid w:val="00A11FD6"/>
    <w:rsid w:val="00A14947"/>
    <w:rsid w:val="00A2013D"/>
    <w:rsid w:val="00A21D28"/>
    <w:rsid w:val="00A224C4"/>
    <w:rsid w:val="00A32506"/>
    <w:rsid w:val="00A32A83"/>
    <w:rsid w:val="00A368DB"/>
    <w:rsid w:val="00A40DF1"/>
    <w:rsid w:val="00A423AA"/>
    <w:rsid w:val="00A523CB"/>
    <w:rsid w:val="00A53089"/>
    <w:rsid w:val="00A53EC6"/>
    <w:rsid w:val="00A55B12"/>
    <w:rsid w:val="00A55C0F"/>
    <w:rsid w:val="00A55C6C"/>
    <w:rsid w:val="00A602BD"/>
    <w:rsid w:val="00A65B04"/>
    <w:rsid w:val="00A75F80"/>
    <w:rsid w:val="00A768A3"/>
    <w:rsid w:val="00A8033F"/>
    <w:rsid w:val="00A86A3F"/>
    <w:rsid w:val="00A8713F"/>
    <w:rsid w:val="00A90BA1"/>
    <w:rsid w:val="00A9311A"/>
    <w:rsid w:val="00A97A9A"/>
    <w:rsid w:val="00AA0671"/>
    <w:rsid w:val="00AA09CA"/>
    <w:rsid w:val="00AA1371"/>
    <w:rsid w:val="00AA2531"/>
    <w:rsid w:val="00AA3DAB"/>
    <w:rsid w:val="00AA745A"/>
    <w:rsid w:val="00AB1E09"/>
    <w:rsid w:val="00AB5330"/>
    <w:rsid w:val="00AB69B0"/>
    <w:rsid w:val="00AB7747"/>
    <w:rsid w:val="00AB7B82"/>
    <w:rsid w:val="00AC055C"/>
    <w:rsid w:val="00AC0D19"/>
    <w:rsid w:val="00AC14CE"/>
    <w:rsid w:val="00AC2A56"/>
    <w:rsid w:val="00AC5B69"/>
    <w:rsid w:val="00AD055E"/>
    <w:rsid w:val="00AD47A7"/>
    <w:rsid w:val="00AD700E"/>
    <w:rsid w:val="00AE5EF5"/>
    <w:rsid w:val="00AE66BD"/>
    <w:rsid w:val="00AE6B99"/>
    <w:rsid w:val="00AE739E"/>
    <w:rsid w:val="00AF0CBF"/>
    <w:rsid w:val="00AF257F"/>
    <w:rsid w:val="00AF33CF"/>
    <w:rsid w:val="00AF375E"/>
    <w:rsid w:val="00AF4D50"/>
    <w:rsid w:val="00AF6179"/>
    <w:rsid w:val="00B00082"/>
    <w:rsid w:val="00B0046C"/>
    <w:rsid w:val="00B03C0E"/>
    <w:rsid w:val="00B0409C"/>
    <w:rsid w:val="00B1295A"/>
    <w:rsid w:val="00B20A45"/>
    <w:rsid w:val="00B22C5C"/>
    <w:rsid w:val="00B23AF5"/>
    <w:rsid w:val="00B24F30"/>
    <w:rsid w:val="00B24FCD"/>
    <w:rsid w:val="00B27838"/>
    <w:rsid w:val="00B30681"/>
    <w:rsid w:val="00B31ABF"/>
    <w:rsid w:val="00B33BE3"/>
    <w:rsid w:val="00B414F3"/>
    <w:rsid w:val="00B42D01"/>
    <w:rsid w:val="00B4583B"/>
    <w:rsid w:val="00B522C8"/>
    <w:rsid w:val="00B52C40"/>
    <w:rsid w:val="00B53B5D"/>
    <w:rsid w:val="00B57638"/>
    <w:rsid w:val="00B6055E"/>
    <w:rsid w:val="00B60A72"/>
    <w:rsid w:val="00B61F41"/>
    <w:rsid w:val="00B6317D"/>
    <w:rsid w:val="00B6577D"/>
    <w:rsid w:val="00B71601"/>
    <w:rsid w:val="00B76C4F"/>
    <w:rsid w:val="00B7723F"/>
    <w:rsid w:val="00B80534"/>
    <w:rsid w:val="00B8123B"/>
    <w:rsid w:val="00B8433C"/>
    <w:rsid w:val="00B87491"/>
    <w:rsid w:val="00B91DDA"/>
    <w:rsid w:val="00BA00B7"/>
    <w:rsid w:val="00BA14BD"/>
    <w:rsid w:val="00BA29E9"/>
    <w:rsid w:val="00BA359D"/>
    <w:rsid w:val="00BA5E64"/>
    <w:rsid w:val="00BA67F5"/>
    <w:rsid w:val="00BA68B1"/>
    <w:rsid w:val="00BA7142"/>
    <w:rsid w:val="00BB237C"/>
    <w:rsid w:val="00BB41A3"/>
    <w:rsid w:val="00BB426E"/>
    <w:rsid w:val="00BB5740"/>
    <w:rsid w:val="00BC087D"/>
    <w:rsid w:val="00BC0A02"/>
    <w:rsid w:val="00BC2418"/>
    <w:rsid w:val="00BC2D1A"/>
    <w:rsid w:val="00BC32DC"/>
    <w:rsid w:val="00BC35B6"/>
    <w:rsid w:val="00BC4820"/>
    <w:rsid w:val="00BD198D"/>
    <w:rsid w:val="00BD1B51"/>
    <w:rsid w:val="00BD2A91"/>
    <w:rsid w:val="00BD3989"/>
    <w:rsid w:val="00BD4596"/>
    <w:rsid w:val="00BD4FC3"/>
    <w:rsid w:val="00BD79CE"/>
    <w:rsid w:val="00BD7D6D"/>
    <w:rsid w:val="00BE0575"/>
    <w:rsid w:val="00BE1405"/>
    <w:rsid w:val="00BE312D"/>
    <w:rsid w:val="00BE527F"/>
    <w:rsid w:val="00BE67A0"/>
    <w:rsid w:val="00BF0F83"/>
    <w:rsid w:val="00BF1C20"/>
    <w:rsid w:val="00C003AD"/>
    <w:rsid w:val="00C0282B"/>
    <w:rsid w:val="00C06351"/>
    <w:rsid w:val="00C074C2"/>
    <w:rsid w:val="00C10578"/>
    <w:rsid w:val="00C1306C"/>
    <w:rsid w:val="00C135BC"/>
    <w:rsid w:val="00C15C95"/>
    <w:rsid w:val="00C2243E"/>
    <w:rsid w:val="00C2596A"/>
    <w:rsid w:val="00C2738E"/>
    <w:rsid w:val="00C27537"/>
    <w:rsid w:val="00C328FE"/>
    <w:rsid w:val="00C33507"/>
    <w:rsid w:val="00C348E3"/>
    <w:rsid w:val="00C40162"/>
    <w:rsid w:val="00C411E5"/>
    <w:rsid w:val="00C4409D"/>
    <w:rsid w:val="00C44569"/>
    <w:rsid w:val="00C44DFB"/>
    <w:rsid w:val="00C44E72"/>
    <w:rsid w:val="00C45A06"/>
    <w:rsid w:val="00C469E8"/>
    <w:rsid w:val="00C46A77"/>
    <w:rsid w:val="00C46C61"/>
    <w:rsid w:val="00C47E5B"/>
    <w:rsid w:val="00C554A3"/>
    <w:rsid w:val="00C61E4B"/>
    <w:rsid w:val="00C62BC8"/>
    <w:rsid w:val="00C63C19"/>
    <w:rsid w:val="00C64BFF"/>
    <w:rsid w:val="00C704E9"/>
    <w:rsid w:val="00C74FDE"/>
    <w:rsid w:val="00C75A35"/>
    <w:rsid w:val="00C763C9"/>
    <w:rsid w:val="00C80057"/>
    <w:rsid w:val="00C82232"/>
    <w:rsid w:val="00C82913"/>
    <w:rsid w:val="00C84299"/>
    <w:rsid w:val="00C84301"/>
    <w:rsid w:val="00C85F7B"/>
    <w:rsid w:val="00C86CCB"/>
    <w:rsid w:val="00C972B1"/>
    <w:rsid w:val="00CA2CCE"/>
    <w:rsid w:val="00CA2DA9"/>
    <w:rsid w:val="00CA43FD"/>
    <w:rsid w:val="00CA6FB4"/>
    <w:rsid w:val="00CA6FE7"/>
    <w:rsid w:val="00CA7EF8"/>
    <w:rsid w:val="00CB1372"/>
    <w:rsid w:val="00CC489B"/>
    <w:rsid w:val="00CC4F66"/>
    <w:rsid w:val="00CD11FD"/>
    <w:rsid w:val="00CD12F8"/>
    <w:rsid w:val="00CD1F18"/>
    <w:rsid w:val="00CD2BCD"/>
    <w:rsid w:val="00CD3A4C"/>
    <w:rsid w:val="00CD6D25"/>
    <w:rsid w:val="00CD6FD7"/>
    <w:rsid w:val="00CD797D"/>
    <w:rsid w:val="00CD7F14"/>
    <w:rsid w:val="00CE1003"/>
    <w:rsid w:val="00CE10E9"/>
    <w:rsid w:val="00CE2910"/>
    <w:rsid w:val="00CE3245"/>
    <w:rsid w:val="00CE34AD"/>
    <w:rsid w:val="00CE5128"/>
    <w:rsid w:val="00CE5393"/>
    <w:rsid w:val="00CE5FF8"/>
    <w:rsid w:val="00CF06EB"/>
    <w:rsid w:val="00CF08D0"/>
    <w:rsid w:val="00CF36BE"/>
    <w:rsid w:val="00CF5DA2"/>
    <w:rsid w:val="00CF6000"/>
    <w:rsid w:val="00CF6771"/>
    <w:rsid w:val="00D003F3"/>
    <w:rsid w:val="00D0364F"/>
    <w:rsid w:val="00D04EDC"/>
    <w:rsid w:val="00D06834"/>
    <w:rsid w:val="00D14596"/>
    <w:rsid w:val="00D242D8"/>
    <w:rsid w:val="00D27746"/>
    <w:rsid w:val="00D308ED"/>
    <w:rsid w:val="00D32A74"/>
    <w:rsid w:val="00D32FF2"/>
    <w:rsid w:val="00D344BF"/>
    <w:rsid w:val="00D347BC"/>
    <w:rsid w:val="00D35A21"/>
    <w:rsid w:val="00D36D86"/>
    <w:rsid w:val="00D40FC2"/>
    <w:rsid w:val="00D428AA"/>
    <w:rsid w:val="00D4374C"/>
    <w:rsid w:val="00D43CBA"/>
    <w:rsid w:val="00D47717"/>
    <w:rsid w:val="00D50A34"/>
    <w:rsid w:val="00D5116C"/>
    <w:rsid w:val="00D51B41"/>
    <w:rsid w:val="00D53316"/>
    <w:rsid w:val="00D5338A"/>
    <w:rsid w:val="00D53EFA"/>
    <w:rsid w:val="00D62BCE"/>
    <w:rsid w:val="00D63C15"/>
    <w:rsid w:val="00D66908"/>
    <w:rsid w:val="00D7304B"/>
    <w:rsid w:val="00D771E4"/>
    <w:rsid w:val="00D77329"/>
    <w:rsid w:val="00D83141"/>
    <w:rsid w:val="00D83232"/>
    <w:rsid w:val="00D8402D"/>
    <w:rsid w:val="00D8459D"/>
    <w:rsid w:val="00D91C96"/>
    <w:rsid w:val="00D92909"/>
    <w:rsid w:val="00D93EC8"/>
    <w:rsid w:val="00D94A7C"/>
    <w:rsid w:val="00D95896"/>
    <w:rsid w:val="00DA2DAB"/>
    <w:rsid w:val="00DA40A2"/>
    <w:rsid w:val="00DA6918"/>
    <w:rsid w:val="00DB0C5E"/>
    <w:rsid w:val="00DB2983"/>
    <w:rsid w:val="00DB7455"/>
    <w:rsid w:val="00DB76F5"/>
    <w:rsid w:val="00DC1257"/>
    <w:rsid w:val="00DC17EE"/>
    <w:rsid w:val="00DC3DC0"/>
    <w:rsid w:val="00DC3DE2"/>
    <w:rsid w:val="00DC4734"/>
    <w:rsid w:val="00DC4A87"/>
    <w:rsid w:val="00DC4B37"/>
    <w:rsid w:val="00DC5B2B"/>
    <w:rsid w:val="00DC65BD"/>
    <w:rsid w:val="00DD318D"/>
    <w:rsid w:val="00DD441F"/>
    <w:rsid w:val="00DE2AD1"/>
    <w:rsid w:val="00DE2B7D"/>
    <w:rsid w:val="00DF2E12"/>
    <w:rsid w:val="00DF514A"/>
    <w:rsid w:val="00DF6690"/>
    <w:rsid w:val="00DF6804"/>
    <w:rsid w:val="00E005E0"/>
    <w:rsid w:val="00E0358D"/>
    <w:rsid w:val="00E04323"/>
    <w:rsid w:val="00E070A2"/>
    <w:rsid w:val="00E20A6C"/>
    <w:rsid w:val="00E23A28"/>
    <w:rsid w:val="00E2596E"/>
    <w:rsid w:val="00E2656A"/>
    <w:rsid w:val="00E33E0D"/>
    <w:rsid w:val="00E4044A"/>
    <w:rsid w:val="00E410D5"/>
    <w:rsid w:val="00E412D0"/>
    <w:rsid w:val="00E55123"/>
    <w:rsid w:val="00E56322"/>
    <w:rsid w:val="00E57D38"/>
    <w:rsid w:val="00E60982"/>
    <w:rsid w:val="00E62BDF"/>
    <w:rsid w:val="00E62C62"/>
    <w:rsid w:val="00E6477E"/>
    <w:rsid w:val="00E654C1"/>
    <w:rsid w:val="00E65D97"/>
    <w:rsid w:val="00E65E47"/>
    <w:rsid w:val="00E72A5A"/>
    <w:rsid w:val="00E73354"/>
    <w:rsid w:val="00E77F0F"/>
    <w:rsid w:val="00E837FC"/>
    <w:rsid w:val="00E85672"/>
    <w:rsid w:val="00E86D6E"/>
    <w:rsid w:val="00E8789D"/>
    <w:rsid w:val="00E9242D"/>
    <w:rsid w:val="00E96644"/>
    <w:rsid w:val="00EA3019"/>
    <w:rsid w:val="00EA40F5"/>
    <w:rsid w:val="00EA4329"/>
    <w:rsid w:val="00EA4879"/>
    <w:rsid w:val="00EA5349"/>
    <w:rsid w:val="00EB1E4C"/>
    <w:rsid w:val="00EB5255"/>
    <w:rsid w:val="00EB5C47"/>
    <w:rsid w:val="00EC1FC2"/>
    <w:rsid w:val="00EC30D6"/>
    <w:rsid w:val="00EC5B60"/>
    <w:rsid w:val="00EC6618"/>
    <w:rsid w:val="00ED01F9"/>
    <w:rsid w:val="00ED0639"/>
    <w:rsid w:val="00ED0845"/>
    <w:rsid w:val="00ED1471"/>
    <w:rsid w:val="00ED3774"/>
    <w:rsid w:val="00ED607D"/>
    <w:rsid w:val="00ED7B44"/>
    <w:rsid w:val="00ED7C15"/>
    <w:rsid w:val="00EE2517"/>
    <w:rsid w:val="00EE2F62"/>
    <w:rsid w:val="00EE4F43"/>
    <w:rsid w:val="00EF2520"/>
    <w:rsid w:val="00EF4755"/>
    <w:rsid w:val="00EF569B"/>
    <w:rsid w:val="00EF6339"/>
    <w:rsid w:val="00EF7135"/>
    <w:rsid w:val="00F027DB"/>
    <w:rsid w:val="00F07875"/>
    <w:rsid w:val="00F07E08"/>
    <w:rsid w:val="00F14A7A"/>
    <w:rsid w:val="00F1709B"/>
    <w:rsid w:val="00F22985"/>
    <w:rsid w:val="00F27025"/>
    <w:rsid w:val="00F3383E"/>
    <w:rsid w:val="00F364B8"/>
    <w:rsid w:val="00F36661"/>
    <w:rsid w:val="00F368B9"/>
    <w:rsid w:val="00F40763"/>
    <w:rsid w:val="00F41300"/>
    <w:rsid w:val="00F41910"/>
    <w:rsid w:val="00F465A7"/>
    <w:rsid w:val="00F46933"/>
    <w:rsid w:val="00F50B7C"/>
    <w:rsid w:val="00F547A5"/>
    <w:rsid w:val="00F550E6"/>
    <w:rsid w:val="00F64AA5"/>
    <w:rsid w:val="00F65662"/>
    <w:rsid w:val="00F74345"/>
    <w:rsid w:val="00F77205"/>
    <w:rsid w:val="00F778DB"/>
    <w:rsid w:val="00F80A0A"/>
    <w:rsid w:val="00F80EA1"/>
    <w:rsid w:val="00F810CF"/>
    <w:rsid w:val="00F81639"/>
    <w:rsid w:val="00F82B19"/>
    <w:rsid w:val="00F84114"/>
    <w:rsid w:val="00F8482F"/>
    <w:rsid w:val="00F87E59"/>
    <w:rsid w:val="00F9212D"/>
    <w:rsid w:val="00F965DA"/>
    <w:rsid w:val="00FA09F3"/>
    <w:rsid w:val="00FA406A"/>
    <w:rsid w:val="00FA57FB"/>
    <w:rsid w:val="00FA7DD6"/>
    <w:rsid w:val="00FA7E49"/>
    <w:rsid w:val="00FB1642"/>
    <w:rsid w:val="00FB299E"/>
    <w:rsid w:val="00FB4E2D"/>
    <w:rsid w:val="00FB503A"/>
    <w:rsid w:val="00FB516C"/>
    <w:rsid w:val="00FB65FF"/>
    <w:rsid w:val="00FC0F56"/>
    <w:rsid w:val="00FC16D8"/>
    <w:rsid w:val="00FC2602"/>
    <w:rsid w:val="00FD0236"/>
    <w:rsid w:val="00FD18F4"/>
    <w:rsid w:val="00FD54DB"/>
    <w:rsid w:val="00FD5D5B"/>
    <w:rsid w:val="00FD619F"/>
    <w:rsid w:val="00FE40F9"/>
    <w:rsid w:val="00FE7496"/>
    <w:rsid w:val="00FE792A"/>
    <w:rsid w:val="00FF2101"/>
    <w:rsid w:val="00FF2459"/>
    <w:rsid w:val="00FF52B1"/>
    <w:rsid w:val="01290F7E"/>
    <w:rsid w:val="012A3A24"/>
    <w:rsid w:val="012C3F39"/>
    <w:rsid w:val="014C1553"/>
    <w:rsid w:val="015D1E09"/>
    <w:rsid w:val="01A455D3"/>
    <w:rsid w:val="01B56A31"/>
    <w:rsid w:val="01E64855"/>
    <w:rsid w:val="021C6552"/>
    <w:rsid w:val="02697903"/>
    <w:rsid w:val="029F4914"/>
    <w:rsid w:val="02A4476B"/>
    <w:rsid w:val="02AF715A"/>
    <w:rsid w:val="02F96569"/>
    <w:rsid w:val="030B199A"/>
    <w:rsid w:val="037538FB"/>
    <w:rsid w:val="03AC29E3"/>
    <w:rsid w:val="03C70711"/>
    <w:rsid w:val="03D8291E"/>
    <w:rsid w:val="03EA7B21"/>
    <w:rsid w:val="03F47AE6"/>
    <w:rsid w:val="03FB072D"/>
    <w:rsid w:val="041759F4"/>
    <w:rsid w:val="043438CC"/>
    <w:rsid w:val="04581CB1"/>
    <w:rsid w:val="047F0FEB"/>
    <w:rsid w:val="04F67E1A"/>
    <w:rsid w:val="0504248A"/>
    <w:rsid w:val="05044D9E"/>
    <w:rsid w:val="050D65F7"/>
    <w:rsid w:val="051F7740"/>
    <w:rsid w:val="05405741"/>
    <w:rsid w:val="054445C2"/>
    <w:rsid w:val="054C4809"/>
    <w:rsid w:val="055C2189"/>
    <w:rsid w:val="056C5A14"/>
    <w:rsid w:val="057758A8"/>
    <w:rsid w:val="059D5CB1"/>
    <w:rsid w:val="05B65FF0"/>
    <w:rsid w:val="05D84857"/>
    <w:rsid w:val="05E2613F"/>
    <w:rsid w:val="05F83EAE"/>
    <w:rsid w:val="063E7D85"/>
    <w:rsid w:val="06457C0B"/>
    <w:rsid w:val="06585338"/>
    <w:rsid w:val="06612986"/>
    <w:rsid w:val="066E7451"/>
    <w:rsid w:val="06760283"/>
    <w:rsid w:val="069A7E4C"/>
    <w:rsid w:val="06A3134D"/>
    <w:rsid w:val="06D71136"/>
    <w:rsid w:val="06F82858"/>
    <w:rsid w:val="06FB0143"/>
    <w:rsid w:val="071B55A0"/>
    <w:rsid w:val="07293586"/>
    <w:rsid w:val="07295285"/>
    <w:rsid w:val="07636392"/>
    <w:rsid w:val="07770C56"/>
    <w:rsid w:val="077A5587"/>
    <w:rsid w:val="07863AB3"/>
    <w:rsid w:val="079F6EA3"/>
    <w:rsid w:val="07B62F76"/>
    <w:rsid w:val="07D653C6"/>
    <w:rsid w:val="07E72274"/>
    <w:rsid w:val="07FC0BA5"/>
    <w:rsid w:val="07FE2B6F"/>
    <w:rsid w:val="082021FB"/>
    <w:rsid w:val="08327D56"/>
    <w:rsid w:val="087A4A9E"/>
    <w:rsid w:val="087D7E19"/>
    <w:rsid w:val="088E7D3D"/>
    <w:rsid w:val="089824EA"/>
    <w:rsid w:val="08B313AF"/>
    <w:rsid w:val="08B639B0"/>
    <w:rsid w:val="08C10040"/>
    <w:rsid w:val="092217DD"/>
    <w:rsid w:val="092F7F7E"/>
    <w:rsid w:val="0935150D"/>
    <w:rsid w:val="09384CE0"/>
    <w:rsid w:val="093A7294"/>
    <w:rsid w:val="093E162E"/>
    <w:rsid w:val="095011A8"/>
    <w:rsid w:val="09715245"/>
    <w:rsid w:val="09781F36"/>
    <w:rsid w:val="09A02DAD"/>
    <w:rsid w:val="09A3752A"/>
    <w:rsid w:val="09C85445"/>
    <w:rsid w:val="09CA0F5B"/>
    <w:rsid w:val="09CB12D0"/>
    <w:rsid w:val="09DF726C"/>
    <w:rsid w:val="09E366F4"/>
    <w:rsid w:val="09F60ABC"/>
    <w:rsid w:val="0A033BBB"/>
    <w:rsid w:val="0A1026E6"/>
    <w:rsid w:val="0A263993"/>
    <w:rsid w:val="0A2D3AC2"/>
    <w:rsid w:val="0A510A5E"/>
    <w:rsid w:val="0A5D3612"/>
    <w:rsid w:val="0A650C83"/>
    <w:rsid w:val="0A8C3F82"/>
    <w:rsid w:val="0A8D45C8"/>
    <w:rsid w:val="0A9F09AD"/>
    <w:rsid w:val="0AA755DF"/>
    <w:rsid w:val="0AB72AE6"/>
    <w:rsid w:val="0AB9270E"/>
    <w:rsid w:val="0AC05D4F"/>
    <w:rsid w:val="0AD42FB4"/>
    <w:rsid w:val="0B120D44"/>
    <w:rsid w:val="0B1F0FC2"/>
    <w:rsid w:val="0B3C6330"/>
    <w:rsid w:val="0B4906CC"/>
    <w:rsid w:val="0B81389B"/>
    <w:rsid w:val="0B8922F5"/>
    <w:rsid w:val="0BBA37A4"/>
    <w:rsid w:val="0BD27BF6"/>
    <w:rsid w:val="0BE15BE0"/>
    <w:rsid w:val="0BE20DB9"/>
    <w:rsid w:val="0C062220"/>
    <w:rsid w:val="0C2C6E4C"/>
    <w:rsid w:val="0C2E746F"/>
    <w:rsid w:val="0C3B3C7D"/>
    <w:rsid w:val="0C3E353A"/>
    <w:rsid w:val="0C421F71"/>
    <w:rsid w:val="0C451B48"/>
    <w:rsid w:val="0C637E3B"/>
    <w:rsid w:val="0C76701F"/>
    <w:rsid w:val="0C9C3EED"/>
    <w:rsid w:val="0C9E7A65"/>
    <w:rsid w:val="0CA228D6"/>
    <w:rsid w:val="0CAB2EAE"/>
    <w:rsid w:val="0CC73443"/>
    <w:rsid w:val="0CE23185"/>
    <w:rsid w:val="0CE31AF2"/>
    <w:rsid w:val="0CE82AC1"/>
    <w:rsid w:val="0CF92285"/>
    <w:rsid w:val="0D0227BA"/>
    <w:rsid w:val="0D106C4B"/>
    <w:rsid w:val="0D31309F"/>
    <w:rsid w:val="0D3F3251"/>
    <w:rsid w:val="0D4A3B40"/>
    <w:rsid w:val="0D621C7D"/>
    <w:rsid w:val="0D6842AC"/>
    <w:rsid w:val="0D727D88"/>
    <w:rsid w:val="0D783C19"/>
    <w:rsid w:val="0D955AC7"/>
    <w:rsid w:val="0DB312C2"/>
    <w:rsid w:val="0DC3059F"/>
    <w:rsid w:val="0DDD3B1A"/>
    <w:rsid w:val="0DF04D08"/>
    <w:rsid w:val="0E151265"/>
    <w:rsid w:val="0E16227B"/>
    <w:rsid w:val="0E275797"/>
    <w:rsid w:val="0E2D0504"/>
    <w:rsid w:val="0E6059EA"/>
    <w:rsid w:val="0E73034D"/>
    <w:rsid w:val="0E7C1DD4"/>
    <w:rsid w:val="0EB75826"/>
    <w:rsid w:val="0ECA5736"/>
    <w:rsid w:val="0ECE11DD"/>
    <w:rsid w:val="0EE567A2"/>
    <w:rsid w:val="0EF1511D"/>
    <w:rsid w:val="0F1322B7"/>
    <w:rsid w:val="0F13775A"/>
    <w:rsid w:val="0F545EB3"/>
    <w:rsid w:val="0F5A50BB"/>
    <w:rsid w:val="0F5F45FE"/>
    <w:rsid w:val="0F6038E0"/>
    <w:rsid w:val="0F9A112B"/>
    <w:rsid w:val="0FA0275E"/>
    <w:rsid w:val="0FB81855"/>
    <w:rsid w:val="0FBE0E6B"/>
    <w:rsid w:val="0FFC5BE6"/>
    <w:rsid w:val="100770DE"/>
    <w:rsid w:val="10242FE9"/>
    <w:rsid w:val="1030200B"/>
    <w:rsid w:val="106106CB"/>
    <w:rsid w:val="106D2F64"/>
    <w:rsid w:val="10751D83"/>
    <w:rsid w:val="107E3917"/>
    <w:rsid w:val="108D0FB4"/>
    <w:rsid w:val="10B63710"/>
    <w:rsid w:val="10C00B1B"/>
    <w:rsid w:val="10C34956"/>
    <w:rsid w:val="10C97A7B"/>
    <w:rsid w:val="10F10820"/>
    <w:rsid w:val="10F60887"/>
    <w:rsid w:val="110E3A9D"/>
    <w:rsid w:val="111C2F7A"/>
    <w:rsid w:val="11307580"/>
    <w:rsid w:val="1131366D"/>
    <w:rsid w:val="11322D34"/>
    <w:rsid w:val="11405FA6"/>
    <w:rsid w:val="1143100A"/>
    <w:rsid w:val="11452F8B"/>
    <w:rsid w:val="1145564C"/>
    <w:rsid w:val="115864E0"/>
    <w:rsid w:val="115C5091"/>
    <w:rsid w:val="115D60D6"/>
    <w:rsid w:val="11665CA1"/>
    <w:rsid w:val="11883E53"/>
    <w:rsid w:val="11A41235"/>
    <w:rsid w:val="11B072F2"/>
    <w:rsid w:val="11E44B84"/>
    <w:rsid w:val="11E67536"/>
    <w:rsid w:val="12093DB0"/>
    <w:rsid w:val="123642D2"/>
    <w:rsid w:val="12831C96"/>
    <w:rsid w:val="1288550F"/>
    <w:rsid w:val="128911C6"/>
    <w:rsid w:val="12971A5F"/>
    <w:rsid w:val="12B34E1A"/>
    <w:rsid w:val="12C37784"/>
    <w:rsid w:val="12CE3BF8"/>
    <w:rsid w:val="12CF4BAC"/>
    <w:rsid w:val="12D030A7"/>
    <w:rsid w:val="130D0ECD"/>
    <w:rsid w:val="133B4CAF"/>
    <w:rsid w:val="135B05AC"/>
    <w:rsid w:val="135B70C7"/>
    <w:rsid w:val="1371517B"/>
    <w:rsid w:val="13843362"/>
    <w:rsid w:val="13881D4C"/>
    <w:rsid w:val="13951726"/>
    <w:rsid w:val="13B14FEB"/>
    <w:rsid w:val="13BD35E6"/>
    <w:rsid w:val="13D5487D"/>
    <w:rsid w:val="13DD2C13"/>
    <w:rsid w:val="13FF3A16"/>
    <w:rsid w:val="14100FAF"/>
    <w:rsid w:val="14396509"/>
    <w:rsid w:val="14523203"/>
    <w:rsid w:val="14570B1E"/>
    <w:rsid w:val="145F3718"/>
    <w:rsid w:val="146E0DBE"/>
    <w:rsid w:val="146E5FD7"/>
    <w:rsid w:val="14880F2A"/>
    <w:rsid w:val="14AD0A80"/>
    <w:rsid w:val="14AF540F"/>
    <w:rsid w:val="14B37DDC"/>
    <w:rsid w:val="14DD2C3C"/>
    <w:rsid w:val="14DE3AFB"/>
    <w:rsid w:val="152E43A1"/>
    <w:rsid w:val="153D2B78"/>
    <w:rsid w:val="154E264E"/>
    <w:rsid w:val="15597637"/>
    <w:rsid w:val="1562771C"/>
    <w:rsid w:val="15C44EEF"/>
    <w:rsid w:val="15C745A0"/>
    <w:rsid w:val="15E46F00"/>
    <w:rsid w:val="15E617BC"/>
    <w:rsid w:val="1604306F"/>
    <w:rsid w:val="16087E1D"/>
    <w:rsid w:val="160C46A9"/>
    <w:rsid w:val="16677B31"/>
    <w:rsid w:val="16702183"/>
    <w:rsid w:val="16737ED1"/>
    <w:rsid w:val="16944C75"/>
    <w:rsid w:val="169C247B"/>
    <w:rsid w:val="16AE5760"/>
    <w:rsid w:val="16AF3AFF"/>
    <w:rsid w:val="16BB7795"/>
    <w:rsid w:val="17092175"/>
    <w:rsid w:val="171D727E"/>
    <w:rsid w:val="174340FA"/>
    <w:rsid w:val="17487940"/>
    <w:rsid w:val="176D5FFC"/>
    <w:rsid w:val="17701D14"/>
    <w:rsid w:val="17735226"/>
    <w:rsid w:val="179F15B5"/>
    <w:rsid w:val="17BF7040"/>
    <w:rsid w:val="17D13644"/>
    <w:rsid w:val="17EA34DE"/>
    <w:rsid w:val="17EE22B8"/>
    <w:rsid w:val="18092470"/>
    <w:rsid w:val="180C6E5D"/>
    <w:rsid w:val="181673C6"/>
    <w:rsid w:val="182C1032"/>
    <w:rsid w:val="183D4FEE"/>
    <w:rsid w:val="187A0FA9"/>
    <w:rsid w:val="188B24C3"/>
    <w:rsid w:val="189F624C"/>
    <w:rsid w:val="18AC0290"/>
    <w:rsid w:val="18AD237E"/>
    <w:rsid w:val="18C52297"/>
    <w:rsid w:val="18D84051"/>
    <w:rsid w:val="192F6BB4"/>
    <w:rsid w:val="194556FE"/>
    <w:rsid w:val="195B18C0"/>
    <w:rsid w:val="19604E24"/>
    <w:rsid w:val="19616ABA"/>
    <w:rsid w:val="19894668"/>
    <w:rsid w:val="19ED60A7"/>
    <w:rsid w:val="19F618F8"/>
    <w:rsid w:val="19F619B6"/>
    <w:rsid w:val="19FE50BD"/>
    <w:rsid w:val="1A0C2EC9"/>
    <w:rsid w:val="1A1C66C0"/>
    <w:rsid w:val="1A1D6BD3"/>
    <w:rsid w:val="1A3D13B7"/>
    <w:rsid w:val="1A42393B"/>
    <w:rsid w:val="1A4A636B"/>
    <w:rsid w:val="1A5140A5"/>
    <w:rsid w:val="1A5159F5"/>
    <w:rsid w:val="1A555BE5"/>
    <w:rsid w:val="1A7C6A88"/>
    <w:rsid w:val="1A807477"/>
    <w:rsid w:val="1A850185"/>
    <w:rsid w:val="1A8B75D0"/>
    <w:rsid w:val="1A952EBF"/>
    <w:rsid w:val="1A96448F"/>
    <w:rsid w:val="1AA160A8"/>
    <w:rsid w:val="1AAD45DE"/>
    <w:rsid w:val="1AB21997"/>
    <w:rsid w:val="1B010554"/>
    <w:rsid w:val="1B046F80"/>
    <w:rsid w:val="1B3267B5"/>
    <w:rsid w:val="1B32684A"/>
    <w:rsid w:val="1B40161D"/>
    <w:rsid w:val="1B441859"/>
    <w:rsid w:val="1B566EC4"/>
    <w:rsid w:val="1B620465"/>
    <w:rsid w:val="1B6606B1"/>
    <w:rsid w:val="1B666D00"/>
    <w:rsid w:val="1B7C26DE"/>
    <w:rsid w:val="1B915DEE"/>
    <w:rsid w:val="1B976E23"/>
    <w:rsid w:val="1BA44110"/>
    <w:rsid w:val="1BB51091"/>
    <w:rsid w:val="1BBE730D"/>
    <w:rsid w:val="1BD01CD5"/>
    <w:rsid w:val="1BE0460E"/>
    <w:rsid w:val="1BE90A4E"/>
    <w:rsid w:val="1C061BF2"/>
    <w:rsid w:val="1C2D7541"/>
    <w:rsid w:val="1C597E06"/>
    <w:rsid w:val="1C5E7925"/>
    <w:rsid w:val="1C69221E"/>
    <w:rsid w:val="1C79218F"/>
    <w:rsid w:val="1CA93793"/>
    <w:rsid w:val="1CC6466D"/>
    <w:rsid w:val="1CD9396A"/>
    <w:rsid w:val="1CE56A70"/>
    <w:rsid w:val="1CE77ABE"/>
    <w:rsid w:val="1CEC0D90"/>
    <w:rsid w:val="1CFD070F"/>
    <w:rsid w:val="1D0F1F99"/>
    <w:rsid w:val="1D48246B"/>
    <w:rsid w:val="1D4B3D09"/>
    <w:rsid w:val="1D5A1466"/>
    <w:rsid w:val="1D5F6196"/>
    <w:rsid w:val="1D6132A5"/>
    <w:rsid w:val="1D625152"/>
    <w:rsid w:val="1D8E56D5"/>
    <w:rsid w:val="1DB751D6"/>
    <w:rsid w:val="1DC65DCF"/>
    <w:rsid w:val="1E0A22AE"/>
    <w:rsid w:val="1E1C5AB3"/>
    <w:rsid w:val="1E1C7453"/>
    <w:rsid w:val="1E323BD8"/>
    <w:rsid w:val="1E33193D"/>
    <w:rsid w:val="1E372021"/>
    <w:rsid w:val="1E57048B"/>
    <w:rsid w:val="1E660498"/>
    <w:rsid w:val="1E6E2C69"/>
    <w:rsid w:val="1E7A43DA"/>
    <w:rsid w:val="1E855059"/>
    <w:rsid w:val="1E8A424F"/>
    <w:rsid w:val="1E9224ED"/>
    <w:rsid w:val="1EA7346A"/>
    <w:rsid w:val="1EB011F4"/>
    <w:rsid w:val="1EC42DAB"/>
    <w:rsid w:val="1F154E4C"/>
    <w:rsid w:val="1F3735EF"/>
    <w:rsid w:val="1F5D53A5"/>
    <w:rsid w:val="1F636EEF"/>
    <w:rsid w:val="1F7D096C"/>
    <w:rsid w:val="1F8902AE"/>
    <w:rsid w:val="1F9A3D66"/>
    <w:rsid w:val="1FBD0D83"/>
    <w:rsid w:val="1FBE2C9F"/>
    <w:rsid w:val="1FC80C7C"/>
    <w:rsid w:val="1FCC21B2"/>
    <w:rsid w:val="1FE13474"/>
    <w:rsid w:val="1FE7539E"/>
    <w:rsid w:val="1FF77327"/>
    <w:rsid w:val="200A5577"/>
    <w:rsid w:val="204A64FA"/>
    <w:rsid w:val="20623752"/>
    <w:rsid w:val="20671BE0"/>
    <w:rsid w:val="207C6CAC"/>
    <w:rsid w:val="20855CFF"/>
    <w:rsid w:val="20963CB8"/>
    <w:rsid w:val="209C2479"/>
    <w:rsid w:val="20A81A1B"/>
    <w:rsid w:val="20B07FB6"/>
    <w:rsid w:val="20B646FB"/>
    <w:rsid w:val="20F8473F"/>
    <w:rsid w:val="20FC5590"/>
    <w:rsid w:val="2100305C"/>
    <w:rsid w:val="210743EB"/>
    <w:rsid w:val="210E7527"/>
    <w:rsid w:val="211A7CF3"/>
    <w:rsid w:val="213B74B1"/>
    <w:rsid w:val="215A2310"/>
    <w:rsid w:val="2167743C"/>
    <w:rsid w:val="217A696B"/>
    <w:rsid w:val="21997E9A"/>
    <w:rsid w:val="21AC36C0"/>
    <w:rsid w:val="21B05AF2"/>
    <w:rsid w:val="21C00AE6"/>
    <w:rsid w:val="21D7279D"/>
    <w:rsid w:val="21DC3A48"/>
    <w:rsid w:val="21DE318A"/>
    <w:rsid w:val="21E765B4"/>
    <w:rsid w:val="21EF5B80"/>
    <w:rsid w:val="22032E04"/>
    <w:rsid w:val="22075B60"/>
    <w:rsid w:val="2219004E"/>
    <w:rsid w:val="221C7370"/>
    <w:rsid w:val="223A2209"/>
    <w:rsid w:val="2245341D"/>
    <w:rsid w:val="22576990"/>
    <w:rsid w:val="226052EB"/>
    <w:rsid w:val="227E67C7"/>
    <w:rsid w:val="22880490"/>
    <w:rsid w:val="229E006F"/>
    <w:rsid w:val="229E77A8"/>
    <w:rsid w:val="22B31486"/>
    <w:rsid w:val="22BE4F7D"/>
    <w:rsid w:val="22C375D7"/>
    <w:rsid w:val="22F335A8"/>
    <w:rsid w:val="22F47480"/>
    <w:rsid w:val="22F64DD9"/>
    <w:rsid w:val="231E70B3"/>
    <w:rsid w:val="235E45D7"/>
    <w:rsid w:val="2369138D"/>
    <w:rsid w:val="23780907"/>
    <w:rsid w:val="237C4EF2"/>
    <w:rsid w:val="23A727D8"/>
    <w:rsid w:val="23D32707"/>
    <w:rsid w:val="23DE1C48"/>
    <w:rsid w:val="23E3540A"/>
    <w:rsid w:val="23E71335"/>
    <w:rsid w:val="23F15230"/>
    <w:rsid w:val="23FC763B"/>
    <w:rsid w:val="240210CD"/>
    <w:rsid w:val="24183C32"/>
    <w:rsid w:val="242E1547"/>
    <w:rsid w:val="244337D9"/>
    <w:rsid w:val="245C5352"/>
    <w:rsid w:val="24657AFD"/>
    <w:rsid w:val="246A1C0D"/>
    <w:rsid w:val="24701494"/>
    <w:rsid w:val="24AA3D01"/>
    <w:rsid w:val="24BF09F7"/>
    <w:rsid w:val="24C207AE"/>
    <w:rsid w:val="24D62C63"/>
    <w:rsid w:val="24D942F0"/>
    <w:rsid w:val="24EA6703"/>
    <w:rsid w:val="24EF159D"/>
    <w:rsid w:val="25011468"/>
    <w:rsid w:val="25145328"/>
    <w:rsid w:val="252D53FE"/>
    <w:rsid w:val="252E4BD8"/>
    <w:rsid w:val="253F5BB9"/>
    <w:rsid w:val="254170C1"/>
    <w:rsid w:val="254A1B16"/>
    <w:rsid w:val="25505802"/>
    <w:rsid w:val="25D95FE7"/>
    <w:rsid w:val="25EC2D81"/>
    <w:rsid w:val="26347A30"/>
    <w:rsid w:val="263F62A3"/>
    <w:rsid w:val="26555BF8"/>
    <w:rsid w:val="26581D4F"/>
    <w:rsid w:val="26595C09"/>
    <w:rsid w:val="2686348F"/>
    <w:rsid w:val="26CA3EF0"/>
    <w:rsid w:val="26D10D20"/>
    <w:rsid w:val="26E65401"/>
    <w:rsid w:val="26EA10A1"/>
    <w:rsid w:val="27076D96"/>
    <w:rsid w:val="27176FDB"/>
    <w:rsid w:val="273F1D26"/>
    <w:rsid w:val="2749248A"/>
    <w:rsid w:val="275E36AF"/>
    <w:rsid w:val="27661E14"/>
    <w:rsid w:val="27694E3C"/>
    <w:rsid w:val="277057A2"/>
    <w:rsid w:val="2771435D"/>
    <w:rsid w:val="27794D50"/>
    <w:rsid w:val="27BD384B"/>
    <w:rsid w:val="27C608B1"/>
    <w:rsid w:val="27D019DA"/>
    <w:rsid w:val="27E601D4"/>
    <w:rsid w:val="27EE3C0E"/>
    <w:rsid w:val="280642EA"/>
    <w:rsid w:val="28190F27"/>
    <w:rsid w:val="28204042"/>
    <w:rsid w:val="283066B9"/>
    <w:rsid w:val="28620159"/>
    <w:rsid w:val="28DA3CE9"/>
    <w:rsid w:val="29031438"/>
    <w:rsid w:val="29206EB8"/>
    <w:rsid w:val="29283CDA"/>
    <w:rsid w:val="29595666"/>
    <w:rsid w:val="296A5517"/>
    <w:rsid w:val="29874881"/>
    <w:rsid w:val="298C4357"/>
    <w:rsid w:val="29A7017C"/>
    <w:rsid w:val="29AE7AF9"/>
    <w:rsid w:val="29BF3A53"/>
    <w:rsid w:val="29DD3F78"/>
    <w:rsid w:val="29E325E0"/>
    <w:rsid w:val="29E33A91"/>
    <w:rsid w:val="29F961E2"/>
    <w:rsid w:val="2A1E4FBE"/>
    <w:rsid w:val="2A452503"/>
    <w:rsid w:val="2A5354E7"/>
    <w:rsid w:val="2AAB5DE7"/>
    <w:rsid w:val="2ABE63DD"/>
    <w:rsid w:val="2AC13250"/>
    <w:rsid w:val="2AD333A5"/>
    <w:rsid w:val="2AE954E2"/>
    <w:rsid w:val="2B0D4CF3"/>
    <w:rsid w:val="2B2143CC"/>
    <w:rsid w:val="2B2428DF"/>
    <w:rsid w:val="2B4E59CB"/>
    <w:rsid w:val="2B580DB1"/>
    <w:rsid w:val="2B8C3D63"/>
    <w:rsid w:val="2BA936A8"/>
    <w:rsid w:val="2BF37A45"/>
    <w:rsid w:val="2C286DB9"/>
    <w:rsid w:val="2C315A5A"/>
    <w:rsid w:val="2C441B1F"/>
    <w:rsid w:val="2C4B1C25"/>
    <w:rsid w:val="2C6C0817"/>
    <w:rsid w:val="2C7D265B"/>
    <w:rsid w:val="2C7E0799"/>
    <w:rsid w:val="2C837526"/>
    <w:rsid w:val="2CA13945"/>
    <w:rsid w:val="2CD1105A"/>
    <w:rsid w:val="2CDC6A3E"/>
    <w:rsid w:val="2D0127D6"/>
    <w:rsid w:val="2D05309B"/>
    <w:rsid w:val="2D160014"/>
    <w:rsid w:val="2D1F6EE7"/>
    <w:rsid w:val="2D26209C"/>
    <w:rsid w:val="2D3C5506"/>
    <w:rsid w:val="2D602436"/>
    <w:rsid w:val="2D6C6407"/>
    <w:rsid w:val="2D7B7CF2"/>
    <w:rsid w:val="2D80608D"/>
    <w:rsid w:val="2D9D410D"/>
    <w:rsid w:val="2D9E56F5"/>
    <w:rsid w:val="2DA078AA"/>
    <w:rsid w:val="2DF92660"/>
    <w:rsid w:val="2DFF6AC7"/>
    <w:rsid w:val="2E0E500A"/>
    <w:rsid w:val="2E1875DA"/>
    <w:rsid w:val="2E3600BD"/>
    <w:rsid w:val="2E5B2D5F"/>
    <w:rsid w:val="2E647DF6"/>
    <w:rsid w:val="2E667F96"/>
    <w:rsid w:val="2E8226AB"/>
    <w:rsid w:val="2E921798"/>
    <w:rsid w:val="2EBD1DB4"/>
    <w:rsid w:val="2EC9272A"/>
    <w:rsid w:val="2EC96C78"/>
    <w:rsid w:val="2EE01078"/>
    <w:rsid w:val="2EE25018"/>
    <w:rsid w:val="2EE60456"/>
    <w:rsid w:val="2F234AE5"/>
    <w:rsid w:val="2F24223B"/>
    <w:rsid w:val="2F3300A1"/>
    <w:rsid w:val="2F436F36"/>
    <w:rsid w:val="2F676673"/>
    <w:rsid w:val="2F7B140D"/>
    <w:rsid w:val="2F7B4868"/>
    <w:rsid w:val="2F803CE6"/>
    <w:rsid w:val="2F804BED"/>
    <w:rsid w:val="2F812718"/>
    <w:rsid w:val="2F8F6298"/>
    <w:rsid w:val="2F913518"/>
    <w:rsid w:val="2F9E3BD4"/>
    <w:rsid w:val="2FB73743"/>
    <w:rsid w:val="2FCD3CA3"/>
    <w:rsid w:val="2FD065E6"/>
    <w:rsid w:val="2FD96870"/>
    <w:rsid w:val="2FF013E3"/>
    <w:rsid w:val="2FF65D56"/>
    <w:rsid w:val="301F4F58"/>
    <w:rsid w:val="304C1E1A"/>
    <w:rsid w:val="30580BC9"/>
    <w:rsid w:val="3061252D"/>
    <w:rsid w:val="30656A38"/>
    <w:rsid w:val="30A11223"/>
    <w:rsid w:val="30B63E5D"/>
    <w:rsid w:val="30CB32B1"/>
    <w:rsid w:val="30D42723"/>
    <w:rsid w:val="30E57AD2"/>
    <w:rsid w:val="30F054BB"/>
    <w:rsid w:val="30F13062"/>
    <w:rsid w:val="31050D9E"/>
    <w:rsid w:val="31171910"/>
    <w:rsid w:val="311E2ED7"/>
    <w:rsid w:val="312468F3"/>
    <w:rsid w:val="315619EE"/>
    <w:rsid w:val="315B4856"/>
    <w:rsid w:val="315C449C"/>
    <w:rsid w:val="31A725A3"/>
    <w:rsid w:val="31A90C46"/>
    <w:rsid w:val="31B82709"/>
    <w:rsid w:val="31D05482"/>
    <w:rsid w:val="31DE7709"/>
    <w:rsid w:val="32392D0A"/>
    <w:rsid w:val="32400B34"/>
    <w:rsid w:val="325359F5"/>
    <w:rsid w:val="325A767C"/>
    <w:rsid w:val="328B6761"/>
    <w:rsid w:val="329E6876"/>
    <w:rsid w:val="32A058A2"/>
    <w:rsid w:val="32AA5162"/>
    <w:rsid w:val="32EB34DA"/>
    <w:rsid w:val="32EC6BD3"/>
    <w:rsid w:val="330000C4"/>
    <w:rsid w:val="331C1F78"/>
    <w:rsid w:val="333015F2"/>
    <w:rsid w:val="33373378"/>
    <w:rsid w:val="33422219"/>
    <w:rsid w:val="334B6320"/>
    <w:rsid w:val="33731A8F"/>
    <w:rsid w:val="33A9254B"/>
    <w:rsid w:val="33C0648F"/>
    <w:rsid w:val="33C624BC"/>
    <w:rsid w:val="33D51B3A"/>
    <w:rsid w:val="33D934D4"/>
    <w:rsid w:val="33EE06B6"/>
    <w:rsid w:val="33FE2F6A"/>
    <w:rsid w:val="340E07E5"/>
    <w:rsid w:val="34147DBB"/>
    <w:rsid w:val="34235BF7"/>
    <w:rsid w:val="34437053"/>
    <w:rsid w:val="34506237"/>
    <w:rsid w:val="34530F7E"/>
    <w:rsid w:val="346F60D7"/>
    <w:rsid w:val="348F22D5"/>
    <w:rsid w:val="348F28FB"/>
    <w:rsid w:val="34A07D8C"/>
    <w:rsid w:val="34BE4E35"/>
    <w:rsid w:val="34F53CFE"/>
    <w:rsid w:val="34FC7EAB"/>
    <w:rsid w:val="352769B2"/>
    <w:rsid w:val="352F721E"/>
    <w:rsid w:val="35301938"/>
    <w:rsid w:val="353951D6"/>
    <w:rsid w:val="35477800"/>
    <w:rsid w:val="35551771"/>
    <w:rsid w:val="35581707"/>
    <w:rsid w:val="35750404"/>
    <w:rsid w:val="3578062C"/>
    <w:rsid w:val="358C5FA8"/>
    <w:rsid w:val="35A63E3D"/>
    <w:rsid w:val="35C15DF1"/>
    <w:rsid w:val="35CC77A3"/>
    <w:rsid w:val="35CE773E"/>
    <w:rsid w:val="36021275"/>
    <w:rsid w:val="36074A7F"/>
    <w:rsid w:val="360E243B"/>
    <w:rsid w:val="361C5DEB"/>
    <w:rsid w:val="36295FA8"/>
    <w:rsid w:val="36644ED3"/>
    <w:rsid w:val="36690512"/>
    <w:rsid w:val="36923549"/>
    <w:rsid w:val="36B2214A"/>
    <w:rsid w:val="36B75FBF"/>
    <w:rsid w:val="36BD0C45"/>
    <w:rsid w:val="36F40B16"/>
    <w:rsid w:val="37023FEC"/>
    <w:rsid w:val="37354259"/>
    <w:rsid w:val="374D5657"/>
    <w:rsid w:val="3754697A"/>
    <w:rsid w:val="376509B4"/>
    <w:rsid w:val="377A0694"/>
    <w:rsid w:val="37864F82"/>
    <w:rsid w:val="37BC7885"/>
    <w:rsid w:val="37C0234C"/>
    <w:rsid w:val="37D64646"/>
    <w:rsid w:val="37DD0002"/>
    <w:rsid w:val="37E00298"/>
    <w:rsid w:val="381256F7"/>
    <w:rsid w:val="38137A7F"/>
    <w:rsid w:val="382B580E"/>
    <w:rsid w:val="385F23EF"/>
    <w:rsid w:val="38622611"/>
    <w:rsid w:val="386A108F"/>
    <w:rsid w:val="386F199C"/>
    <w:rsid w:val="38A07E13"/>
    <w:rsid w:val="38B302F9"/>
    <w:rsid w:val="38C86807"/>
    <w:rsid w:val="38F05D40"/>
    <w:rsid w:val="38F12CD3"/>
    <w:rsid w:val="38F94775"/>
    <w:rsid w:val="390037A2"/>
    <w:rsid w:val="39033292"/>
    <w:rsid w:val="392564F9"/>
    <w:rsid w:val="392971ED"/>
    <w:rsid w:val="393126B9"/>
    <w:rsid w:val="39325651"/>
    <w:rsid w:val="393D6773"/>
    <w:rsid w:val="39754F74"/>
    <w:rsid w:val="39BA4569"/>
    <w:rsid w:val="39BD104E"/>
    <w:rsid w:val="3A2B1550"/>
    <w:rsid w:val="3A4B6D87"/>
    <w:rsid w:val="3A571AE7"/>
    <w:rsid w:val="3A6366DE"/>
    <w:rsid w:val="3A682D68"/>
    <w:rsid w:val="3A7E7E4B"/>
    <w:rsid w:val="3A872856"/>
    <w:rsid w:val="3A9566BA"/>
    <w:rsid w:val="3A973157"/>
    <w:rsid w:val="3A9A304E"/>
    <w:rsid w:val="3ABC0DBD"/>
    <w:rsid w:val="3AE31593"/>
    <w:rsid w:val="3AEE4F40"/>
    <w:rsid w:val="3B1A4AC2"/>
    <w:rsid w:val="3B367F5D"/>
    <w:rsid w:val="3B3763D1"/>
    <w:rsid w:val="3B3914E2"/>
    <w:rsid w:val="3B3A5F6E"/>
    <w:rsid w:val="3B72269E"/>
    <w:rsid w:val="3B8A37F6"/>
    <w:rsid w:val="3BAB3070"/>
    <w:rsid w:val="3BBA03AE"/>
    <w:rsid w:val="3BC14B05"/>
    <w:rsid w:val="3BD04B1C"/>
    <w:rsid w:val="3BD10F7B"/>
    <w:rsid w:val="3BF77A70"/>
    <w:rsid w:val="3C067321"/>
    <w:rsid w:val="3C261975"/>
    <w:rsid w:val="3C2F6E1E"/>
    <w:rsid w:val="3C4F64BA"/>
    <w:rsid w:val="3C5203FE"/>
    <w:rsid w:val="3C5354A4"/>
    <w:rsid w:val="3C7F7B5E"/>
    <w:rsid w:val="3CB46192"/>
    <w:rsid w:val="3CC1149A"/>
    <w:rsid w:val="3CDA245A"/>
    <w:rsid w:val="3CDD3F3F"/>
    <w:rsid w:val="3CDF339A"/>
    <w:rsid w:val="3CF4186F"/>
    <w:rsid w:val="3CF75A47"/>
    <w:rsid w:val="3CFC24D2"/>
    <w:rsid w:val="3CFC4F3A"/>
    <w:rsid w:val="3D194193"/>
    <w:rsid w:val="3D1E06B7"/>
    <w:rsid w:val="3D8C4AA4"/>
    <w:rsid w:val="3D91738A"/>
    <w:rsid w:val="3DB14752"/>
    <w:rsid w:val="3DB225E0"/>
    <w:rsid w:val="3DC56C3B"/>
    <w:rsid w:val="3DF22560"/>
    <w:rsid w:val="3E00131F"/>
    <w:rsid w:val="3E281B9E"/>
    <w:rsid w:val="3E3772B6"/>
    <w:rsid w:val="3E407FDD"/>
    <w:rsid w:val="3E601CD7"/>
    <w:rsid w:val="3E8679F3"/>
    <w:rsid w:val="3E9E6078"/>
    <w:rsid w:val="3EDA0523"/>
    <w:rsid w:val="3F593C0C"/>
    <w:rsid w:val="3F5B58EC"/>
    <w:rsid w:val="3F5F0F5A"/>
    <w:rsid w:val="3F7B5539"/>
    <w:rsid w:val="3F806FF1"/>
    <w:rsid w:val="3F8D39D6"/>
    <w:rsid w:val="3F97666F"/>
    <w:rsid w:val="3F982986"/>
    <w:rsid w:val="40144BB8"/>
    <w:rsid w:val="401B14F5"/>
    <w:rsid w:val="4024126F"/>
    <w:rsid w:val="40254394"/>
    <w:rsid w:val="403F5290"/>
    <w:rsid w:val="40503261"/>
    <w:rsid w:val="405F3EC6"/>
    <w:rsid w:val="406F5077"/>
    <w:rsid w:val="407A6407"/>
    <w:rsid w:val="40847825"/>
    <w:rsid w:val="40AB69C0"/>
    <w:rsid w:val="40B60622"/>
    <w:rsid w:val="40C172D0"/>
    <w:rsid w:val="40D15360"/>
    <w:rsid w:val="40DE36BE"/>
    <w:rsid w:val="41117D93"/>
    <w:rsid w:val="4123602F"/>
    <w:rsid w:val="41265D6F"/>
    <w:rsid w:val="41BD0482"/>
    <w:rsid w:val="41C363F2"/>
    <w:rsid w:val="41E33240"/>
    <w:rsid w:val="4200449D"/>
    <w:rsid w:val="421E0066"/>
    <w:rsid w:val="422619BB"/>
    <w:rsid w:val="423A3BCC"/>
    <w:rsid w:val="4243290F"/>
    <w:rsid w:val="424E57D2"/>
    <w:rsid w:val="426C1851"/>
    <w:rsid w:val="42770F78"/>
    <w:rsid w:val="42786A9F"/>
    <w:rsid w:val="42862001"/>
    <w:rsid w:val="42862E14"/>
    <w:rsid w:val="429D542D"/>
    <w:rsid w:val="42B20202"/>
    <w:rsid w:val="42B26C49"/>
    <w:rsid w:val="42BC3DFA"/>
    <w:rsid w:val="42C800F6"/>
    <w:rsid w:val="42E218BF"/>
    <w:rsid w:val="433721AB"/>
    <w:rsid w:val="43375723"/>
    <w:rsid w:val="433A6FE6"/>
    <w:rsid w:val="433F11B1"/>
    <w:rsid w:val="43480868"/>
    <w:rsid w:val="4350713C"/>
    <w:rsid w:val="435E0940"/>
    <w:rsid w:val="435E171F"/>
    <w:rsid w:val="436037BB"/>
    <w:rsid w:val="43664087"/>
    <w:rsid w:val="436653E0"/>
    <w:rsid w:val="43C4431A"/>
    <w:rsid w:val="43E94C99"/>
    <w:rsid w:val="43EB1049"/>
    <w:rsid w:val="440A0971"/>
    <w:rsid w:val="440E76BA"/>
    <w:rsid w:val="44493B0A"/>
    <w:rsid w:val="446212D5"/>
    <w:rsid w:val="44742D87"/>
    <w:rsid w:val="447B63F0"/>
    <w:rsid w:val="44864C94"/>
    <w:rsid w:val="44A654FA"/>
    <w:rsid w:val="44B705B0"/>
    <w:rsid w:val="44B951CC"/>
    <w:rsid w:val="44CD14E0"/>
    <w:rsid w:val="44D21FEA"/>
    <w:rsid w:val="44D770A2"/>
    <w:rsid w:val="44EB1422"/>
    <w:rsid w:val="44EB34FE"/>
    <w:rsid w:val="44F20B0B"/>
    <w:rsid w:val="44FF5255"/>
    <w:rsid w:val="452C3F67"/>
    <w:rsid w:val="452E5F4C"/>
    <w:rsid w:val="45592BB7"/>
    <w:rsid w:val="45612018"/>
    <w:rsid w:val="45853A2A"/>
    <w:rsid w:val="458946E9"/>
    <w:rsid w:val="458B41ED"/>
    <w:rsid w:val="45955582"/>
    <w:rsid w:val="459973A9"/>
    <w:rsid w:val="459D5389"/>
    <w:rsid w:val="45A47C0E"/>
    <w:rsid w:val="45BD1873"/>
    <w:rsid w:val="45FD57FD"/>
    <w:rsid w:val="46001285"/>
    <w:rsid w:val="460A50CD"/>
    <w:rsid w:val="461E3332"/>
    <w:rsid w:val="463D4FAA"/>
    <w:rsid w:val="46577FD6"/>
    <w:rsid w:val="467F19EB"/>
    <w:rsid w:val="46B440DA"/>
    <w:rsid w:val="46C100BD"/>
    <w:rsid w:val="46C501F3"/>
    <w:rsid w:val="46D955A7"/>
    <w:rsid w:val="46DE57F4"/>
    <w:rsid w:val="46E309FD"/>
    <w:rsid w:val="47133957"/>
    <w:rsid w:val="471B5E18"/>
    <w:rsid w:val="47347547"/>
    <w:rsid w:val="47404518"/>
    <w:rsid w:val="47445AE5"/>
    <w:rsid w:val="475E2707"/>
    <w:rsid w:val="477520D0"/>
    <w:rsid w:val="4787624B"/>
    <w:rsid w:val="479C75B4"/>
    <w:rsid w:val="47A07E0C"/>
    <w:rsid w:val="48074EB2"/>
    <w:rsid w:val="480E6E02"/>
    <w:rsid w:val="4814142D"/>
    <w:rsid w:val="4819407D"/>
    <w:rsid w:val="4821321B"/>
    <w:rsid w:val="482A7203"/>
    <w:rsid w:val="4835780C"/>
    <w:rsid w:val="4870272E"/>
    <w:rsid w:val="48D4396A"/>
    <w:rsid w:val="48D57076"/>
    <w:rsid w:val="48DD765B"/>
    <w:rsid w:val="48E416AF"/>
    <w:rsid w:val="49134BDC"/>
    <w:rsid w:val="49257E67"/>
    <w:rsid w:val="493D32DA"/>
    <w:rsid w:val="494F53A8"/>
    <w:rsid w:val="497D5CBA"/>
    <w:rsid w:val="49AF22D3"/>
    <w:rsid w:val="49DC7715"/>
    <w:rsid w:val="49F44EB3"/>
    <w:rsid w:val="49FE133F"/>
    <w:rsid w:val="4A023139"/>
    <w:rsid w:val="4A02381D"/>
    <w:rsid w:val="4A430365"/>
    <w:rsid w:val="4A4C0CA0"/>
    <w:rsid w:val="4A4E3324"/>
    <w:rsid w:val="4A5E366B"/>
    <w:rsid w:val="4A631581"/>
    <w:rsid w:val="4A6B730C"/>
    <w:rsid w:val="4A7B576F"/>
    <w:rsid w:val="4A7F541D"/>
    <w:rsid w:val="4A943842"/>
    <w:rsid w:val="4AB95AF4"/>
    <w:rsid w:val="4ACC50D2"/>
    <w:rsid w:val="4AED592A"/>
    <w:rsid w:val="4AF561A9"/>
    <w:rsid w:val="4AFB085C"/>
    <w:rsid w:val="4AFC5CC7"/>
    <w:rsid w:val="4B0452B2"/>
    <w:rsid w:val="4B06733D"/>
    <w:rsid w:val="4B234F54"/>
    <w:rsid w:val="4B2E419E"/>
    <w:rsid w:val="4B3E19A5"/>
    <w:rsid w:val="4B4F2FAB"/>
    <w:rsid w:val="4B6A3C3C"/>
    <w:rsid w:val="4B7C0C17"/>
    <w:rsid w:val="4B840EE1"/>
    <w:rsid w:val="4BA243B0"/>
    <w:rsid w:val="4BAB7AF2"/>
    <w:rsid w:val="4BAE2559"/>
    <w:rsid w:val="4BB97642"/>
    <w:rsid w:val="4BC92119"/>
    <w:rsid w:val="4BE255EA"/>
    <w:rsid w:val="4C1C066D"/>
    <w:rsid w:val="4C2061DD"/>
    <w:rsid w:val="4C45078D"/>
    <w:rsid w:val="4C4A0649"/>
    <w:rsid w:val="4C5C2F8D"/>
    <w:rsid w:val="4C7E5ECA"/>
    <w:rsid w:val="4C876AA5"/>
    <w:rsid w:val="4CB11873"/>
    <w:rsid w:val="4CD32456"/>
    <w:rsid w:val="4CF93CC0"/>
    <w:rsid w:val="4D0A2E03"/>
    <w:rsid w:val="4D0E00FB"/>
    <w:rsid w:val="4D0E14C4"/>
    <w:rsid w:val="4D153868"/>
    <w:rsid w:val="4D176606"/>
    <w:rsid w:val="4D4D4D9D"/>
    <w:rsid w:val="4D4F66DD"/>
    <w:rsid w:val="4D6460D5"/>
    <w:rsid w:val="4D650848"/>
    <w:rsid w:val="4DA24159"/>
    <w:rsid w:val="4DA50A8C"/>
    <w:rsid w:val="4DB0198F"/>
    <w:rsid w:val="4DD9099E"/>
    <w:rsid w:val="4DDA685F"/>
    <w:rsid w:val="4DEC4FB0"/>
    <w:rsid w:val="4E075D8A"/>
    <w:rsid w:val="4E0B67F1"/>
    <w:rsid w:val="4E1F00B1"/>
    <w:rsid w:val="4E352F2A"/>
    <w:rsid w:val="4E44262F"/>
    <w:rsid w:val="4E716A05"/>
    <w:rsid w:val="4E8C7E1D"/>
    <w:rsid w:val="4E9F145A"/>
    <w:rsid w:val="4EBF642F"/>
    <w:rsid w:val="4EC00FAD"/>
    <w:rsid w:val="4EC372F3"/>
    <w:rsid w:val="4ECE0172"/>
    <w:rsid w:val="4ED60155"/>
    <w:rsid w:val="4ED83DBE"/>
    <w:rsid w:val="4EED3732"/>
    <w:rsid w:val="4EF462BB"/>
    <w:rsid w:val="4F106358"/>
    <w:rsid w:val="4F2002A7"/>
    <w:rsid w:val="4F24728D"/>
    <w:rsid w:val="4F615A23"/>
    <w:rsid w:val="4F790FC4"/>
    <w:rsid w:val="4F9071D6"/>
    <w:rsid w:val="4F9843DC"/>
    <w:rsid w:val="4FC62A8C"/>
    <w:rsid w:val="4FE0236B"/>
    <w:rsid w:val="4FE20F0D"/>
    <w:rsid w:val="4FE51552"/>
    <w:rsid w:val="500D0826"/>
    <w:rsid w:val="50154E1A"/>
    <w:rsid w:val="501635CE"/>
    <w:rsid w:val="503A57CF"/>
    <w:rsid w:val="504050F1"/>
    <w:rsid w:val="50504C4B"/>
    <w:rsid w:val="5059153A"/>
    <w:rsid w:val="506A312A"/>
    <w:rsid w:val="506D5769"/>
    <w:rsid w:val="50722D7F"/>
    <w:rsid w:val="509C6E7C"/>
    <w:rsid w:val="50B93ABC"/>
    <w:rsid w:val="50C730CB"/>
    <w:rsid w:val="50EC48E0"/>
    <w:rsid w:val="51253514"/>
    <w:rsid w:val="512A403C"/>
    <w:rsid w:val="512D1B31"/>
    <w:rsid w:val="51347BD0"/>
    <w:rsid w:val="51391D0A"/>
    <w:rsid w:val="51600E2A"/>
    <w:rsid w:val="5162104E"/>
    <w:rsid w:val="5165013A"/>
    <w:rsid w:val="51757F46"/>
    <w:rsid w:val="51885CFD"/>
    <w:rsid w:val="518D7E9E"/>
    <w:rsid w:val="51AD2D4C"/>
    <w:rsid w:val="51C4760A"/>
    <w:rsid w:val="521F7FC8"/>
    <w:rsid w:val="52300371"/>
    <w:rsid w:val="5249735F"/>
    <w:rsid w:val="528A0854"/>
    <w:rsid w:val="52A64F62"/>
    <w:rsid w:val="52B01C6F"/>
    <w:rsid w:val="52B12362"/>
    <w:rsid w:val="52B76535"/>
    <w:rsid w:val="52BA3D3E"/>
    <w:rsid w:val="52C50E72"/>
    <w:rsid w:val="52FB4AA2"/>
    <w:rsid w:val="534C5B09"/>
    <w:rsid w:val="53733AAB"/>
    <w:rsid w:val="53874AF5"/>
    <w:rsid w:val="53911318"/>
    <w:rsid w:val="53962D77"/>
    <w:rsid w:val="53A039CC"/>
    <w:rsid w:val="53A1505A"/>
    <w:rsid w:val="53A5604D"/>
    <w:rsid w:val="53A718DD"/>
    <w:rsid w:val="53AC0356"/>
    <w:rsid w:val="53B61BA3"/>
    <w:rsid w:val="53CA2CA3"/>
    <w:rsid w:val="53F6441A"/>
    <w:rsid w:val="53FC6507"/>
    <w:rsid w:val="540514E3"/>
    <w:rsid w:val="54063E08"/>
    <w:rsid w:val="540B770E"/>
    <w:rsid w:val="54106C22"/>
    <w:rsid w:val="5418672F"/>
    <w:rsid w:val="543437E8"/>
    <w:rsid w:val="547445E1"/>
    <w:rsid w:val="547D6452"/>
    <w:rsid w:val="549B0127"/>
    <w:rsid w:val="54A66EE6"/>
    <w:rsid w:val="54C50F64"/>
    <w:rsid w:val="54C8231F"/>
    <w:rsid w:val="54D956C2"/>
    <w:rsid w:val="54E65AEA"/>
    <w:rsid w:val="54F73313"/>
    <w:rsid w:val="54F80955"/>
    <w:rsid w:val="5510622D"/>
    <w:rsid w:val="55115317"/>
    <w:rsid w:val="552D1506"/>
    <w:rsid w:val="552E2C7E"/>
    <w:rsid w:val="55306D65"/>
    <w:rsid w:val="553C502E"/>
    <w:rsid w:val="555170A7"/>
    <w:rsid w:val="55607569"/>
    <w:rsid w:val="55673A23"/>
    <w:rsid w:val="556E3FAD"/>
    <w:rsid w:val="557C581F"/>
    <w:rsid w:val="5587536D"/>
    <w:rsid w:val="558C6877"/>
    <w:rsid w:val="559B174B"/>
    <w:rsid w:val="55A510A6"/>
    <w:rsid w:val="55AD1AB8"/>
    <w:rsid w:val="55B23C34"/>
    <w:rsid w:val="55C057B3"/>
    <w:rsid w:val="55C6741D"/>
    <w:rsid w:val="55CE0CF4"/>
    <w:rsid w:val="55F6231F"/>
    <w:rsid w:val="561062BB"/>
    <w:rsid w:val="562A227E"/>
    <w:rsid w:val="564156CE"/>
    <w:rsid w:val="56582A17"/>
    <w:rsid w:val="56692B6A"/>
    <w:rsid w:val="56755377"/>
    <w:rsid w:val="569002A5"/>
    <w:rsid w:val="569972B8"/>
    <w:rsid w:val="56B22A9C"/>
    <w:rsid w:val="56BC2FF6"/>
    <w:rsid w:val="56D70D3A"/>
    <w:rsid w:val="56E128B0"/>
    <w:rsid w:val="56F477DD"/>
    <w:rsid w:val="570A78A5"/>
    <w:rsid w:val="5711272B"/>
    <w:rsid w:val="571A6B81"/>
    <w:rsid w:val="57595B21"/>
    <w:rsid w:val="5788492C"/>
    <w:rsid w:val="57B72A76"/>
    <w:rsid w:val="57C2320F"/>
    <w:rsid w:val="57C3426C"/>
    <w:rsid w:val="57C56338"/>
    <w:rsid w:val="57CB7F97"/>
    <w:rsid w:val="57CE1F93"/>
    <w:rsid w:val="57CE2764"/>
    <w:rsid w:val="57D45CF1"/>
    <w:rsid w:val="57DE53EC"/>
    <w:rsid w:val="57F86DED"/>
    <w:rsid w:val="580138F2"/>
    <w:rsid w:val="58084309"/>
    <w:rsid w:val="580F056F"/>
    <w:rsid w:val="582700B4"/>
    <w:rsid w:val="583D3C73"/>
    <w:rsid w:val="584F6442"/>
    <w:rsid w:val="588509EA"/>
    <w:rsid w:val="588743D1"/>
    <w:rsid w:val="5887701A"/>
    <w:rsid w:val="58D2139F"/>
    <w:rsid w:val="58D520FD"/>
    <w:rsid w:val="58DF2F07"/>
    <w:rsid w:val="590151E0"/>
    <w:rsid w:val="592A2449"/>
    <w:rsid w:val="594810B1"/>
    <w:rsid w:val="59633BAD"/>
    <w:rsid w:val="59B41811"/>
    <w:rsid w:val="59B56372"/>
    <w:rsid w:val="59BD5557"/>
    <w:rsid w:val="59C0439F"/>
    <w:rsid w:val="59C538A4"/>
    <w:rsid w:val="59C7193F"/>
    <w:rsid w:val="59C833CC"/>
    <w:rsid w:val="59CB7DC5"/>
    <w:rsid w:val="59E45E1F"/>
    <w:rsid w:val="5A0140DB"/>
    <w:rsid w:val="5A1D5C3F"/>
    <w:rsid w:val="5A1F4B06"/>
    <w:rsid w:val="5A3840F9"/>
    <w:rsid w:val="5A591153"/>
    <w:rsid w:val="5AAE3FB0"/>
    <w:rsid w:val="5AB01D89"/>
    <w:rsid w:val="5ABB4D56"/>
    <w:rsid w:val="5ABE2233"/>
    <w:rsid w:val="5AC468CD"/>
    <w:rsid w:val="5ACB1828"/>
    <w:rsid w:val="5AE007D4"/>
    <w:rsid w:val="5B073F02"/>
    <w:rsid w:val="5B146F24"/>
    <w:rsid w:val="5B3D396C"/>
    <w:rsid w:val="5B787B17"/>
    <w:rsid w:val="5B7B1CE2"/>
    <w:rsid w:val="5B80444C"/>
    <w:rsid w:val="5B9064D9"/>
    <w:rsid w:val="5BAE1CA4"/>
    <w:rsid w:val="5BC22F58"/>
    <w:rsid w:val="5BC65645"/>
    <w:rsid w:val="5BCF552A"/>
    <w:rsid w:val="5BDF5D95"/>
    <w:rsid w:val="5BF370CD"/>
    <w:rsid w:val="5BF64F85"/>
    <w:rsid w:val="5BFE7528"/>
    <w:rsid w:val="5C221340"/>
    <w:rsid w:val="5C231B04"/>
    <w:rsid w:val="5C665BB7"/>
    <w:rsid w:val="5C7B72D3"/>
    <w:rsid w:val="5C90224A"/>
    <w:rsid w:val="5CC22998"/>
    <w:rsid w:val="5CE74426"/>
    <w:rsid w:val="5D3E7E08"/>
    <w:rsid w:val="5D6D45A5"/>
    <w:rsid w:val="5D744B4B"/>
    <w:rsid w:val="5DB01A1F"/>
    <w:rsid w:val="5DDE7148"/>
    <w:rsid w:val="5DE124FD"/>
    <w:rsid w:val="5DE5472B"/>
    <w:rsid w:val="5DF536DD"/>
    <w:rsid w:val="5E2467F1"/>
    <w:rsid w:val="5E3E2C95"/>
    <w:rsid w:val="5E48502E"/>
    <w:rsid w:val="5E7B15AC"/>
    <w:rsid w:val="5EB73339"/>
    <w:rsid w:val="5EBB27B7"/>
    <w:rsid w:val="5EDD59F2"/>
    <w:rsid w:val="5EE011AA"/>
    <w:rsid w:val="5EEB381B"/>
    <w:rsid w:val="5F1A2B43"/>
    <w:rsid w:val="5F2546C3"/>
    <w:rsid w:val="5F3E6146"/>
    <w:rsid w:val="5F4C6776"/>
    <w:rsid w:val="5F4E2319"/>
    <w:rsid w:val="5F511C71"/>
    <w:rsid w:val="5F555D46"/>
    <w:rsid w:val="5F7563E8"/>
    <w:rsid w:val="5F8A7ADF"/>
    <w:rsid w:val="5F8E3F6B"/>
    <w:rsid w:val="5F9B1356"/>
    <w:rsid w:val="5FB07420"/>
    <w:rsid w:val="5FB837BB"/>
    <w:rsid w:val="5FD9212E"/>
    <w:rsid w:val="5FDA201F"/>
    <w:rsid w:val="5FF52BB2"/>
    <w:rsid w:val="5FFF4436"/>
    <w:rsid w:val="601900EB"/>
    <w:rsid w:val="602F27F9"/>
    <w:rsid w:val="60301E67"/>
    <w:rsid w:val="603F1C2A"/>
    <w:rsid w:val="605A6577"/>
    <w:rsid w:val="60820FA5"/>
    <w:rsid w:val="60966616"/>
    <w:rsid w:val="60B002F5"/>
    <w:rsid w:val="60C61B47"/>
    <w:rsid w:val="60CC405A"/>
    <w:rsid w:val="61115809"/>
    <w:rsid w:val="613416D7"/>
    <w:rsid w:val="613F699F"/>
    <w:rsid w:val="6141508A"/>
    <w:rsid w:val="61AD68B9"/>
    <w:rsid w:val="61BB4F75"/>
    <w:rsid w:val="61DB3D07"/>
    <w:rsid w:val="61DD4483"/>
    <w:rsid w:val="61E215D8"/>
    <w:rsid w:val="61F335F4"/>
    <w:rsid w:val="620F4ED0"/>
    <w:rsid w:val="621B3775"/>
    <w:rsid w:val="62364782"/>
    <w:rsid w:val="625C2C9A"/>
    <w:rsid w:val="62870481"/>
    <w:rsid w:val="62B3047B"/>
    <w:rsid w:val="62DD6A50"/>
    <w:rsid w:val="62E96ED1"/>
    <w:rsid w:val="62F712DF"/>
    <w:rsid w:val="63310878"/>
    <w:rsid w:val="6394356A"/>
    <w:rsid w:val="63997D99"/>
    <w:rsid w:val="63B27105"/>
    <w:rsid w:val="63C46F05"/>
    <w:rsid w:val="63C61B2C"/>
    <w:rsid w:val="63CE39A4"/>
    <w:rsid w:val="63D40BE9"/>
    <w:rsid w:val="63DA4470"/>
    <w:rsid w:val="63E64EDD"/>
    <w:rsid w:val="63E909F4"/>
    <w:rsid w:val="63F37152"/>
    <w:rsid w:val="64102431"/>
    <w:rsid w:val="64123B35"/>
    <w:rsid w:val="641E0DFC"/>
    <w:rsid w:val="64274133"/>
    <w:rsid w:val="64507DA3"/>
    <w:rsid w:val="645711AE"/>
    <w:rsid w:val="64943FC2"/>
    <w:rsid w:val="64A5151D"/>
    <w:rsid w:val="64A5243A"/>
    <w:rsid w:val="64C271C5"/>
    <w:rsid w:val="64D67929"/>
    <w:rsid w:val="64F531DE"/>
    <w:rsid w:val="64FB330E"/>
    <w:rsid w:val="6507593A"/>
    <w:rsid w:val="65312BAF"/>
    <w:rsid w:val="65373578"/>
    <w:rsid w:val="65382359"/>
    <w:rsid w:val="65A74E99"/>
    <w:rsid w:val="65DD2C33"/>
    <w:rsid w:val="66317BAB"/>
    <w:rsid w:val="664529F4"/>
    <w:rsid w:val="665E0D9E"/>
    <w:rsid w:val="66647114"/>
    <w:rsid w:val="66682803"/>
    <w:rsid w:val="66833198"/>
    <w:rsid w:val="66D541F9"/>
    <w:rsid w:val="66FA5727"/>
    <w:rsid w:val="66FD0E1D"/>
    <w:rsid w:val="671F124A"/>
    <w:rsid w:val="67322224"/>
    <w:rsid w:val="673A2B56"/>
    <w:rsid w:val="677A33C6"/>
    <w:rsid w:val="67845BD9"/>
    <w:rsid w:val="678C687D"/>
    <w:rsid w:val="6791512A"/>
    <w:rsid w:val="67E27590"/>
    <w:rsid w:val="67F55F6E"/>
    <w:rsid w:val="680B1433"/>
    <w:rsid w:val="681F6961"/>
    <w:rsid w:val="68277B62"/>
    <w:rsid w:val="682B7B48"/>
    <w:rsid w:val="683926A8"/>
    <w:rsid w:val="6854061F"/>
    <w:rsid w:val="68610A2F"/>
    <w:rsid w:val="686B6516"/>
    <w:rsid w:val="687402F6"/>
    <w:rsid w:val="68805514"/>
    <w:rsid w:val="688C6B16"/>
    <w:rsid w:val="6892146F"/>
    <w:rsid w:val="68A67612"/>
    <w:rsid w:val="68BF6993"/>
    <w:rsid w:val="68C71B3A"/>
    <w:rsid w:val="68D04DC4"/>
    <w:rsid w:val="68DB6590"/>
    <w:rsid w:val="68E742AA"/>
    <w:rsid w:val="68EF114B"/>
    <w:rsid w:val="690141A5"/>
    <w:rsid w:val="69117181"/>
    <w:rsid w:val="69131AB9"/>
    <w:rsid w:val="69316E2F"/>
    <w:rsid w:val="69366BE8"/>
    <w:rsid w:val="694E2071"/>
    <w:rsid w:val="69766163"/>
    <w:rsid w:val="697A3B33"/>
    <w:rsid w:val="697E5441"/>
    <w:rsid w:val="698E2580"/>
    <w:rsid w:val="699566D7"/>
    <w:rsid w:val="69AE1F1B"/>
    <w:rsid w:val="69D44760"/>
    <w:rsid w:val="69DB153D"/>
    <w:rsid w:val="69EE4AD9"/>
    <w:rsid w:val="69F973F7"/>
    <w:rsid w:val="6A1C5DDE"/>
    <w:rsid w:val="6A2055D5"/>
    <w:rsid w:val="6A520EC7"/>
    <w:rsid w:val="6AF87E20"/>
    <w:rsid w:val="6AFE7291"/>
    <w:rsid w:val="6AFF13B3"/>
    <w:rsid w:val="6B072E17"/>
    <w:rsid w:val="6B0F2131"/>
    <w:rsid w:val="6B115B35"/>
    <w:rsid w:val="6B123FA4"/>
    <w:rsid w:val="6B31445C"/>
    <w:rsid w:val="6B322639"/>
    <w:rsid w:val="6B3748A9"/>
    <w:rsid w:val="6B397FFE"/>
    <w:rsid w:val="6B5F7225"/>
    <w:rsid w:val="6BC8789F"/>
    <w:rsid w:val="6BD41445"/>
    <w:rsid w:val="6BD83C07"/>
    <w:rsid w:val="6BEF61C7"/>
    <w:rsid w:val="6C0C3C30"/>
    <w:rsid w:val="6C0E6DDC"/>
    <w:rsid w:val="6C40610C"/>
    <w:rsid w:val="6C636C38"/>
    <w:rsid w:val="6C6B380E"/>
    <w:rsid w:val="6C6C609E"/>
    <w:rsid w:val="6C8D4C02"/>
    <w:rsid w:val="6CAB6B8B"/>
    <w:rsid w:val="6CB00FEE"/>
    <w:rsid w:val="6CB253A2"/>
    <w:rsid w:val="6CDC000F"/>
    <w:rsid w:val="6CEB01C2"/>
    <w:rsid w:val="6CEC7064"/>
    <w:rsid w:val="6D012439"/>
    <w:rsid w:val="6D130272"/>
    <w:rsid w:val="6D425008"/>
    <w:rsid w:val="6D741016"/>
    <w:rsid w:val="6D94662B"/>
    <w:rsid w:val="6DAC56CB"/>
    <w:rsid w:val="6DB34098"/>
    <w:rsid w:val="6DB545B6"/>
    <w:rsid w:val="6DCF170F"/>
    <w:rsid w:val="6DDE7F68"/>
    <w:rsid w:val="6DE02FB4"/>
    <w:rsid w:val="6DE57F0C"/>
    <w:rsid w:val="6E0252EB"/>
    <w:rsid w:val="6E0431C9"/>
    <w:rsid w:val="6E3A4A84"/>
    <w:rsid w:val="6E514CED"/>
    <w:rsid w:val="6E676B46"/>
    <w:rsid w:val="6E71421E"/>
    <w:rsid w:val="6E7A3414"/>
    <w:rsid w:val="6E9D27A1"/>
    <w:rsid w:val="6EA56942"/>
    <w:rsid w:val="6EB563D5"/>
    <w:rsid w:val="6EBB0175"/>
    <w:rsid w:val="6EC47D76"/>
    <w:rsid w:val="6ED92677"/>
    <w:rsid w:val="6EFA4214"/>
    <w:rsid w:val="6F0808C0"/>
    <w:rsid w:val="6F225983"/>
    <w:rsid w:val="6F2F4997"/>
    <w:rsid w:val="6F353639"/>
    <w:rsid w:val="6F440006"/>
    <w:rsid w:val="6F633692"/>
    <w:rsid w:val="6F644046"/>
    <w:rsid w:val="6F703842"/>
    <w:rsid w:val="6F716D82"/>
    <w:rsid w:val="6F7C10CD"/>
    <w:rsid w:val="6F913114"/>
    <w:rsid w:val="6F9B77A5"/>
    <w:rsid w:val="6FA128E3"/>
    <w:rsid w:val="6FD520EA"/>
    <w:rsid w:val="6FD66A2F"/>
    <w:rsid w:val="6FDD2DC1"/>
    <w:rsid w:val="6FFC5590"/>
    <w:rsid w:val="6FFD40FB"/>
    <w:rsid w:val="700058A8"/>
    <w:rsid w:val="702126DC"/>
    <w:rsid w:val="70326105"/>
    <w:rsid w:val="706A403D"/>
    <w:rsid w:val="706B08A9"/>
    <w:rsid w:val="706D1DD0"/>
    <w:rsid w:val="70826B10"/>
    <w:rsid w:val="70856B87"/>
    <w:rsid w:val="70D527EE"/>
    <w:rsid w:val="70D8620A"/>
    <w:rsid w:val="70F058CE"/>
    <w:rsid w:val="70F86D26"/>
    <w:rsid w:val="71035517"/>
    <w:rsid w:val="71052377"/>
    <w:rsid w:val="710A1EE3"/>
    <w:rsid w:val="71292BE7"/>
    <w:rsid w:val="7152117B"/>
    <w:rsid w:val="715B5300"/>
    <w:rsid w:val="715E0D9E"/>
    <w:rsid w:val="717D4630"/>
    <w:rsid w:val="71826F06"/>
    <w:rsid w:val="718A5D23"/>
    <w:rsid w:val="71B608C6"/>
    <w:rsid w:val="71BB4E1E"/>
    <w:rsid w:val="71CA2A3B"/>
    <w:rsid w:val="71CB32E0"/>
    <w:rsid w:val="71D21EFE"/>
    <w:rsid w:val="71D27F8A"/>
    <w:rsid w:val="71DB657E"/>
    <w:rsid w:val="71E921F7"/>
    <w:rsid w:val="72160E86"/>
    <w:rsid w:val="7218515F"/>
    <w:rsid w:val="72202D95"/>
    <w:rsid w:val="725056BC"/>
    <w:rsid w:val="72553024"/>
    <w:rsid w:val="725D3437"/>
    <w:rsid w:val="72990C6D"/>
    <w:rsid w:val="72AD5657"/>
    <w:rsid w:val="72B05A07"/>
    <w:rsid w:val="72B10D92"/>
    <w:rsid w:val="72B33057"/>
    <w:rsid w:val="72C577B8"/>
    <w:rsid w:val="72C87BB3"/>
    <w:rsid w:val="72CD183E"/>
    <w:rsid w:val="72D91ED9"/>
    <w:rsid w:val="73122968"/>
    <w:rsid w:val="731A4B15"/>
    <w:rsid w:val="731F5D5E"/>
    <w:rsid w:val="731F6922"/>
    <w:rsid w:val="73204F28"/>
    <w:rsid w:val="733D0B73"/>
    <w:rsid w:val="734919C7"/>
    <w:rsid w:val="73546A55"/>
    <w:rsid w:val="736C3EF9"/>
    <w:rsid w:val="738162A0"/>
    <w:rsid w:val="73817B5A"/>
    <w:rsid w:val="73907008"/>
    <w:rsid w:val="73B63665"/>
    <w:rsid w:val="73C51AD5"/>
    <w:rsid w:val="73D72D76"/>
    <w:rsid w:val="73F64EEC"/>
    <w:rsid w:val="741E793C"/>
    <w:rsid w:val="74200AA0"/>
    <w:rsid w:val="742406D0"/>
    <w:rsid w:val="742B1702"/>
    <w:rsid w:val="743B3B70"/>
    <w:rsid w:val="74473801"/>
    <w:rsid w:val="74597C2E"/>
    <w:rsid w:val="745E3944"/>
    <w:rsid w:val="7460028A"/>
    <w:rsid w:val="74695354"/>
    <w:rsid w:val="747177C5"/>
    <w:rsid w:val="74850A24"/>
    <w:rsid w:val="7495397E"/>
    <w:rsid w:val="74A215B3"/>
    <w:rsid w:val="74B0404D"/>
    <w:rsid w:val="74E83482"/>
    <w:rsid w:val="750B5EF7"/>
    <w:rsid w:val="75216152"/>
    <w:rsid w:val="753B34D9"/>
    <w:rsid w:val="754A60DD"/>
    <w:rsid w:val="755229A2"/>
    <w:rsid w:val="75915985"/>
    <w:rsid w:val="759322BB"/>
    <w:rsid w:val="759E411A"/>
    <w:rsid w:val="75BC4DB1"/>
    <w:rsid w:val="75EF6F83"/>
    <w:rsid w:val="75FF55A5"/>
    <w:rsid w:val="7635099D"/>
    <w:rsid w:val="76396CEE"/>
    <w:rsid w:val="766A2C65"/>
    <w:rsid w:val="7670027B"/>
    <w:rsid w:val="767219BD"/>
    <w:rsid w:val="76783CC0"/>
    <w:rsid w:val="76973181"/>
    <w:rsid w:val="76AF1D88"/>
    <w:rsid w:val="76CE6D0D"/>
    <w:rsid w:val="76EF03D6"/>
    <w:rsid w:val="76F81C44"/>
    <w:rsid w:val="770F2BE9"/>
    <w:rsid w:val="77207763"/>
    <w:rsid w:val="77625B0F"/>
    <w:rsid w:val="77762421"/>
    <w:rsid w:val="778B60F5"/>
    <w:rsid w:val="778C464A"/>
    <w:rsid w:val="778D20C9"/>
    <w:rsid w:val="779220AA"/>
    <w:rsid w:val="77AF723B"/>
    <w:rsid w:val="77B56B1F"/>
    <w:rsid w:val="77BF1E80"/>
    <w:rsid w:val="77BF1F66"/>
    <w:rsid w:val="77E163E9"/>
    <w:rsid w:val="780F09F4"/>
    <w:rsid w:val="781D1AA9"/>
    <w:rsid w:val="786014DC"/>
    <w:rsid w:val="78A05E2C"/>
    <w:rsid w:val="78A24185"/>
    <w:rsid w:val="78A31478"/>
    <w:rsid w:val="78A90480"/>
    <w:rsid w:val="78E64898"/>
    <w:rsid w:val="790C447D"/>
    <w:rsid w:val="7918325B"/>
    <w:rsid w:val="79222D29"/>
    <w:rsid w:val="792D48AE"/>
    <w:rsid w:val="79336CA0"/>
    <w:rsid w:val="793F0573"/>
    <w:rsid w:val="7949219F"/>
    <w:rsid w:val="795E3E9C"/>
    <w:rsid w:val="799D1CF3"/>
    <w:rsid w:val="79B15C6C"/>
    <w:rsid w:val="79D0629D"/>
    <w:rsid w:val="79D801B9"/>
    <w:rsid w:val="7A364017"/>
    <w:rsid w:val="7A666C01"/>
    <w:rsid w:val="7A705AFD"/>
    <w:rsid w:val="7A78408D"/>
    <w:rsid w:val="7A7E738E"/>
    <w:rsid w:val="7A8265E1"/>
    <w:rsid w:val="7AB12B12"/>
    <w:rsid w:val="7AB45BBF"/>
    <w:rsid w:val="7AC44D8C"/>
    <w:rsid w:val="7ADC19EA"/>
    <w:rsid w:val="7ADE77CD"/>
    <w:rsid w:val="7ADF4FCE"/>
    <w:rsid w:val="7AE56752"/>
    <w:rsid w:val="7AE635A5"/>
    <w:rsid w:val="7AE87F1B"/>
    <w:rsid w:val="7AEB2129"/>
    <w:rsid w:val="7B175EBA"/>
    <w:rsid w:val="7B493724"/>
    <w:rsid w:val="7B5320C0"/>
    <w:rsid w:val="7B5C4D4D"/>
    <w:rsid w:val="7B5E1D05"/>
    <w:rsid w:val="7B686D42"/>
    <w:rsid w:val="7B841746"/>
    <w:rsid w:val="7B8700BF"/>
    <w:rsid w:val="7B87610F"/>
    <w:rsid w:val="7C3246CF"/>
    <w:rsid w:val="7C4E11E2"/>
    <w:rsid w:val="7C583AD7"/>
    <w:rsid w:val="7C6C5AC7"/>
    <w:rsid w:val="7C917CEC"/>
    <w:rsid w:val="7C9C2E93"/>
    <w:rsid w:val="7CA57EB5"/>
    <w:rsid w:val="7CB01A4A"/>
    <w:rsid w:val="7CBC2302"/>
    <w:rsid w:val="7CC429CA"/>
    <w:rsid w:val="7CC6544B"/>
    <w:rsid w:val="7CCB09DA"/>
    <w:rsid w:val="7CCD11BA"/>
    <w:rsid w:val="7CDB5685"/>
    <w:rsid w:val="7D0239FF"/>
    <w:rsid w:val="7D10781E"/>
    <w:rsid w:val="7D1F05C2"/>
    <w:rsid w:val="7D347AD1"/>
    <w:rsid w:val="7D352D51"/>
    <w:rsid w:val="7D38252E"/>
    <w:rsid w:val="7D5E40CD"/>
    <w:rsid w:val="7D614EFD"/>
    <w:rsid w:val="7D745EB9"/>
    <w:rsid w:val="7D7F4443"/>
    <w:rsid w:val="7DB744FA"/>
    <w:rsid w:val="7DC425BD"/>
    <w:rsid w:val="7DCA2835"/>
    <w:rsid w:val="7DCC0512"/>
    <w:rsid w:val="7DCD56F2"/>
    <w:rsid w:val="7E132BFC"/>
    <w:rsid w:val="7E2B43EA"/>
    <w:rsid w:val="7E3B0F54"/>
    <w:rsid w:val="7E462FD2"/>
    <w:rsid w:val="7E5D031B"/>
    <w:rsid w:val="7E5F4093"/>
    <w:rsid w:val="7E861620"/>
    <w:rsid w:val="7E88183C"/>
    <w:rsid w:val="7E8E55E3"/>
    <w:rsid w:val="7E9C553D"/>
    <w:rsid w:val="7EB00FD7"/>
    <w:rsid w:val="7EB949F0"/>
    <w:rsid w:val="7EFF0731"/>
    <w:rsid w:val="7F001CE7"/>
    <w:rsid w:val="7F10538E"/>
    <w:rsid w:val="7F1A5DA9"/>
    <w:rsid w:val="7F271C18"/>
    <w:rsid w:val="7F3561DD"/>
    <w:rsid w:val="7F3665B7"/>
    <w:rsid w:val="7F375C7E"/>
    <w:rsid w:val="7F542E47"/>
    <w:rsid w:val="7F5F07EF"/>
    <w:rsid w:val="7F9B5B1A"/>
    <w:rsid w:val="7FAB531A"/>
    <w:rsid w:val="7FBA10FA"/>
    <w:rsid w:val="7FBF0D9E"/>
    <w:rsid w:val="7FE47E50"/>
    <w:rsid w:val="7FEF4C7F"/>
    <w:rsid w:val="BADE9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99" w:semiHidden="0" w:name="Body Text Indent 3" w:locked="1"/>
    <w:lsdException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8">
    <w:name w:val="heading 1"/>
    <w:basedOn w:val="1"/>
    <w:next w:val="1"/>
    <w:link w:val="6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68"/>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10">
    <w:name w:val="heading 3"/>
    <w:basedOn w:val="1"/>
    <w:next w:val="1"/>
    <w:link w:val="69"/>
    <w:qFormat/>
    <w:locked/>
    <w:uiPriority w:val="0"/>
    <w:pPr>
      <w:keepNext/>
      <w:keepLines/>
      <w:spacing w:before="260" w:after="260" w:line="416" w:lineRule="auto"/>
      <w:outlineLvl w:val="2"/>
    </w:pPr>
    <w:rPr>
      <w:b/>
      <w:bCs/>
      <w:sz w:val="32"/>
      <w:szCs w:val="32"/>
    </w:rPr>
  </w:style>
  <w:style w:type="paragraph" w:styleId="11">
    <w:name w:val="heading 4"/>
    <w:basedOn w:val="1"/>
    <w:next w:val="1"/>
    <w:link w:val="70"/>
    <w:qFormat/>
    <w:locked/>
    <w:uiPriority w:val="0"/>
    <w:pPr>
      <w:keepNext/>
      <w:keepLines/>
      <w:spacing w:before="100" w:beforeAutospacing="1" w:after="100" w:afterAutospacing="1" w:line="480" w:lineRule="atLeast"/>
      <w:outlineLvl w:val="3"/>
    </w:pPr>
    <w:rPr>
      <w:b/>
      <w:bCs/>
      <w:szCs w:val="28"/>
    </w:rPr>
  </w:style>
  <w:style w:type="paragraph" w:styleId="12">
    <w:name w:val="heading 6"/>
    <w:basedOn w:val="1"/>
    <w:next w:val="1"/>
    <w:qFormat/>
    <w:locked/>
    <w:uiPriority w:val="0"/>
    <w:pPr>
      <w:keepNext/>
      <w:keepLines/>
      <w:spacing w:before="240" w:after="64" w:line="320" w:lineRule="auto"/>
      <w:outlineLvl w:val="5"/>
    </w:pPr>
    <w:rPr>
      <w:rFonts w:ascii="Cambria" w:hAnsi="Cambria"/>
      <w:b/>
      <w:bCs/>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四级条标题"/>
    <w:basedOn w:val="3"/>
    <w:next w:val="7"/>
    <w:qFormat/>
    <w:uiPriority w:val="0"/>
    <w:pPr>
      <w:tabs>
        <w:tab w:val="left" w:pos="1260"/>
        <w:tab w:val="left" w:pos="1680"/>
      </w:tabs>
      <w:outlineLvl w:val="5"/>
    </w:pPr>
    <w:rPr>
      <w:szCs w:val="20"/>
    </w:rPr>
  </w:style>
  <w:style w:type="paragraph" w:customStyle="1" w:styleId="3">
    <w:name w:val="三级条标题"/>
    <w:basedOn w:val="4"/>
    <w:next w:val="7"/>
    <w:qFormat/>
    <w:uiPriority w:val="0"/>
    <w:pPr>
      <w:numPr>
        <w:numId w:val="0"/>
      </w:numPr>
      <w:tabs>
        <w:tab w:val="left" w:pos="1260"/>
        <w:tab w:val="left" w:pos="1680"/>
      </w:tabs>
      <w:outlineLvl w:val="4"/>
    </w:pPr>
  </w:style>
  <w:style w:type="paragraph" w:customStyle="1" w:styleId="4">
    <w:name w:val="二级条标题"/>
    <w:basedOn w:val="5"/>
    <w:next w:val="7"/>
    <w:qFormat/>
    <w:uiPriority w:val="0"/>
    <w:pPr>
      <w:numPr>
        <w:ilvl w:val="3"/>
      </w:numPr>
      <w:tabs>
        <w:tab w:val="left" w:pos="1260"/>
        <w:tab w:val="left" w:pos="1680"/>
      </w:tabs>
      <w:outlineLvl w:val="3"/>
    </w:pPr>
  </w:style>
  <w:style w:type="paragraph" w:customStyle="1" w:styleId="5">
    <w:name w:val="一级条标题"/>
    <w:basedOn w:val="6"/>
    <w:next w:val="7"/>
    <w:qFormat/>
    <w:uiPriority w:val="0"/>
    <w:pPr>
      <w:numPr>
        <w:ilvl w:val="2"/>
        <w:numId w:val="1"/>
      </w:numPr>
      <w:tabs>
        <w:tab w:val="left" w:pos="1260"/>
      </w:tabs>
      <w:spacing w:beforeLines="0" w:afterLines="0"/>
      <w:outlineLvl w:val="2"/>
    </w:pPr>
  </w:style>
  <w:style w:type="paragraph" w:customStyle="1" w:styleId="6">
    <w:name w:val="章标题"/>
    <w:next w:val="7"/>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3">
    <w:name w:val="List 3"/>
    <w:basedOn w:val="1"/>
    <w:qFormat/>
    <w:locked/>
    <w:uiPriority w:val="0"/>
    <w:pPr>
      <w:ind w:left="100" w:leftChars="400" w:hanging="200" w:hangingChars="200"/>
    </w:pPr>
  </w:style>
  <w:style w:type="paragraph" w:styleId="14">
    <w:name w:val="table of authorities"/>
    <w:basedOn w:val="1"/>
    <w:next w:val="1"/>
    <w:qFormat/>
    <w:locked/>
    <w:uiPriority w:val="0"/>
    <w:pPr>
      <w:ind w:left="420" w:leftChars="200"/>
    </w:pPr>
  </w:style>
  <w:style w:type="paragraph" w:styleId="15">
    <w:name w:val="Note Heading"/>
    <w:basedOn w:val="1"/>
    <w:next w:val="1"/>
    <w:link w:val="71"/>
    <w:qFormat/>
    <w:locked/>
    <w:uiPriority w:val="0"/>
    <w:pPr>
      <w:spacing w:line="360" w:lineRule="auto"/>
      <w:ind w:firstLine="200" w:firstLineChars="200"/>
      <w:jc w:val="center"/>
    </w:pPr>
    <w:rPr>
      <w:kern w:val="0"/>
      <w:szCs w:val="20"/>
    </w:rPr>
  </w:style>
  <w:style w:type="paragraph" w:styleId="16">
    <w:name w:val="Normal Indent"/>
    <w:basedOn w:val="1"/>
    <w:next w:val="17"/>
    <w:link w:val="72"/>
    <w:qFormat/>
    <w:locked/>
    <w:uiPriority w:val="0"/>
    <w:pPr>
      <w:ind w:firstLine="420"/>
    </w:pPr>
    <w:rPr>
      <w:kern w:val="0"/>
      <w:sz w:val="20"/>
      <w:szCs w:val="20"/>
    </w:rPr>
  </w:style>
  <w:style w:type="paragraph" w:customStyle="1" w:styleId="17">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8">
    <w:name w:val="caption"/>
    <w:basedOn w:val="1"/>
    <w:next w:val="1"/>
    <w:link w:val="73"/>
    <w:qFormat/>
    <w:locked/>
    <w:uiPriority w:val="0"/>
    <w:pPr>
      <w:keepNext/>
      <w:snapToGrid w:val="0"/>
      <w:jc w:val="center"/>
    </w:pPr>
    <w:rPr>
      <w:rFonts w:ascii="宋体" w:hAnsi="宋体" w:cs="Arial"/>
      <w:kern w:val="0"/>
      <w:sz w:val="20"/>
      <w:szCs w:val="20"/>
    </w:rPr>
  </w:style>
  <w:style w:type="paragraph" w:styleId="19">
    <w:name w:val="Document Map"/>
    <w:basedOn w:val="1"/>
    <w:link w:val="74"/>
    <w:qFormat/>
    <w:locked/>
    <w:uiPriority w:val="0"/>
    <w:pPr>
      <w:shd w:val="clear" w:color="auto" w:fill="000080"/>
    </w:pPr>
  </w:style>
  <w:style w:type="paragraph" w:styleId="20">
    <w:name w:val="annotation text"/>
    <w:basedOn w:val="1"/>
    <w:link w:val="75"/>
    <w:semiHidden/>
    <w:qFormat/>
    <w:uiPriority w:val="99"/>
    <w:pPr>
      <w:jc w:val="left"/>
    </w:pPr>
    <w:rPr>
      <w:kern w:val="0"/>
      <w:szCs w:val="20"/>
    </w:rPr>
  </w:style>
  <w:style w:type="paragraph" w:styleId="21">
    <w:name w:val="Body Text 3"/>
    <w:basedOn w:val="1"/>
    <w:link w:val="76"/>
    <w:qFormat/>
    <w:locked/>
    <w:uiPriority w:val="0"/>
    <w:pPr>
      <w:spacing w:after="120"/>
    </w:pPr>
    <w:rPr>
      <w:sz w:val="16"/>
      <w:szCs w:val="16"/>
    </w:rPr>
  </w:style>
  <w:style w:type="paragraph" w:styleId="22">
    <w:name w:val="Body Text"/>
    <w:basedOn w:val="1"/>
    <w:next w:val="1"/>
    <w:link w:val="65"/>
    <w:qFormat/>
    <w:uiPriority w:val="99"/>
    <w:pPr>
      <w:widowControl/>
      <w:snapToGrid w:val="0"/>
      <w:spacing w:before="60" w:after="160" w:line="259" w:lineRule="auto"/>
      <w:ind w:right="113"/>
    </w:pPr>
    <w:rPr>
      <w:kern w:val="0"/>
      <w:sz w:val="18"/>
      <w:szCs w:val="20"/>
    </w:rPr>
  </w:style>
  <w:style w:type="paragraph" w:styleId="23">
    <w:name w:val="Body Text Indent"/>
    <w:basedOn w:val="1"/>
    <w:next w:val="24"/>
    <w:link w:val="77"/>
    <w:qFormat/>
    <w:uiPriority w:val="0"/>
    <w:pPr>
      <w:spacing w:after="120"/>
      <w:ind w:left="420" w:leftChars="200"/>
    </w:pPr>
    <w:rPr>
      <w:kern w:val="0"/>
      <w:szCs w:val="20"/>
    </w:rPr>
  </w:style>
  <w:style w:type="paragraph" w:styleId="24">
    <w:name w:val="Body Text Indent 2"/>
    <w:basedOn w:val="1"/>
    <w:next w:val="25"/>
    <w:link w:val="66"/>
    <w:qFormat/>
    <w:locked/>
    <w:uiPriority w:val="99"/>
    <w:pPr>
      <w:spacing w:after="120" w:line="480" w:lineRule="auto"/>
      <w:ind w:left="420" w:leftChars="200"/>
    </w:pPr>
  </w:style>
  <w:style w:type="paragraph" w:styleId="25">
    <w:name w:val="Body Text First Indent 2"/>
    <w:basedOn w:val="23"/>
    <w:next w:val="1"/>
    <w:qFormat/>
    <w:locked/>
    <w:uiPriority w:val="0"/>
    <w:pPr>
      <w:ind w:firstLine="420" w:firstLineChars="200"/>
    </w:pPr>
  </w:style>
  <w:style w:type="paragraph" w:styleId="26">
    <w:name w:val="toc 3"/>
    <w:basedOn w:val="1"/>
    <w:next w:val="1"/>
    <w:unhideWhenUsed/>
    <w:qFormat/>
    <w:locked/>
    <w:uiPriority w:val="39"/>
    <w:pPr>
      <w:ind w:left="840" w:leftChars="400"/>
    </w:pPr>
    <w:rPr>
      <w:szCs w:val="20"/>
    </w:rPr>
  </w:style>
  <w:style w:type="paragraph" w:styleId="27">
    <w:name w:val="Plain Text"/>
    <w:basedOn w:val="1"/>
    <w:link w:val="78"/>
    <w:qFormat/>
    <w:locked/>
    <w:uiPriority w:val="0"/>
    <w:rPr>
      <w:rFonts w:ascii="宋体" w:hAnsi="Courier New"/>
      <w:kern w:val="0"/>
      <w:sz w:val="15"/>
      <w:szCs w:val="21"/>
    </w:rPr>
  </w:style>
  <w:style w:type="paragraph" w:styleId="28">
    <w:name w:val="List Bullet 5"/>
    <w:basedOn w:val="1"/>
    <w:qFormat/>
    <w:locked/>
    <w:uiPriority w:val="0"/>
    <w:pPr>
      <w:numPr>
        <w:ilvl w:val="0"/>
        <w:numId w:val="2"/>
      </w:numPr>
    </w:pPr>
  </w:style>
  <w:style w:type="paragraph" w:styleId="29">
    <w:name w:val="Date"/>
    <w:basedOn w:val="1"/>
    <w:next w:val="1"/>
    <w:link w:val="79"/>
    <w:qFormat/>
    <w:uiPriority w:val="0"/>
    <w:pPr>
      <w:ind w:left="100" w:leftChars="2500"/>
    </w:pPr>
    <w:rPr>
      <w:kern w:val="0"/>
      <w:szCs w:val="20"/>
    </w:rPr>
  </w:style>
  <w:style w:type="paragraph" w:styleId="30">
    <w:name w:val="Balloon Text"/>
    <w:basedOn w:val="1"/>
    <w:link w:val="80"/>
    <w:qFormat/>
    <w:uiPriority w:val="0"/>
    <w:rPr>
      <w:kern w:val="0"/>
      <w:sz w:val="18"/>
      <w:szCs w:val="20"/>
    </w:rPr>
  </w:style>
  <w:style w:type="paragraph" w:styleId="31">
    <w:name w:val="footer"/>
    <w:basedOn w:val="1"/>
    <w:link w:val="81"/>
    <w:qFormat/>
    <w:uiPriority w:val="99"/>
    <w:pPr>
      <w:tabs>
        <w:tab w:val="center" w:pos="4153"/>
        <w:tab w:val="right" w:pos="8306"/>
      </w:tabs>
      <w:snapToGrid w:val="0"/>
      <w:jc w:val="left"/>
    </w:pPr>
    <w:rPr>
      <w:kern w:val="0"/>
      <w:sz w:val="18"/>
      <w:szCs w:val="20"/>
    </w:rPr>
  </w:style>
  <w:style w:type="paragraph" w:styleId="32">
    <w:name w:val="header"/>
    <w:basedOn w:val="1"/>
    <w:link w:val="82"/>
    <w:qFormat/>
    <w:uiPriority w:val="99"/>
    <w:pPr>
      <w:pBdr>
        <w:bottom w:val="single" w:color="auto" w:sz="6" w:space="1"/>
      </w:pBdr>
      <w:tabs>
        <w:tab w:val="center" w:pos="4153"/>
        <w:tab w:val="right" w:pos="8306"/>
      </w:tabs>
      <w:snapToGrid w:val="0"/>
      <w:jc w:val="center"/>
    </w:pPr>
    <w:rPr>
      <w:kern w:val="0"/>
      <w:sz w:val="18"/>
      <w:szCs w:val="20"/>
    </w:rPr>
  </w:style>
  <w:style w:type="paragraph" w:styleId="33">
    <w:name w:val="toc 1"/>
    <w:basedOn w:val="1"/>
    <w:next w:val="1"/>
    <w:qFormat/>
    <w:locked/>
    <w:uiPriority w:val="99"/>
  </w:style>
  <w:style w:type="paragraph" w:styleId="34">
    <w:name w:val="List"/>
    <w:basedOn w:val="1"/>
    <w:qFormat/>
    <w:locked/>
    <w:uiPriority w:val="0"/>
    <w:pPr>
      <w:ind w:left="200" w:hanging="200" w:hangingChars="200"/>
    </w:pPr>
  </w:style>
  <w:style w:type="paragraph" w:styleId="35">
    <w:name w:val="Body Text Indent 3"/>
    <w:basedOn w:val="1"/>
    <w:link w:val="83"/>
    <w:qFormat/>
    <w:locked/>
    <w:uiPriority w:val="99"/>
    <w:pPr>
      <w:spacing w:after="120"/>
      <w:ind w:left="420" w:leftChars="200"/>
    </w:pPr>
    <w:rPr>
      <w:sz w:val="16"/>
      <w:szCs w:val="16"/>
    </w:rPr>
  </w:style>
  <w:style w:type="paragraph" w:styleId="36">
    <w:name w:val="toc 2"/>
    <w:basedOn w:val="1"/>
    <w:next w:val="1"/>
    <w:unhideWhenUsed/>
    <w:qFormat/>
    <w:locked/>
    <w:uiPriority w:val="39"/>
    <w:pPr>
      <w:ind w:left="420" w:leftChars="200"/>
    </w:pPr>
    <w:rPr>
      <w:szCs w:val="20"/>
    </w:rPr>
  </w:style>
  <w:style w:type="paragraph" w:styleId="37">
    <w:name w:val="Body Text 2"/>
    <w:basedOn w:val="1"/>
    <w:link w:val="84"/>
    <w:qFormat/>
    <w:locked/>
    <w:uiPriority w:val="0"/>
    <w:pPr>
      <w:spacing w:after="120" w:line="480" w:lineRule="auto"/>
    </w:pPr>
  </w:style>
  <w:style w:type="paragraph" w:styleId="38">
    <w:name w:val="HTML Preformatted"/>
    <w:basedOn w:val="1"/>
    <w:link w:val="85"/>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9">
    <w:name w:val="Normal (Web)"/>
    <w:basedOn w:val="1"/>
    <w:link w:val="86"/>
    <w:qFormat/>
    <w:uiPriority w:val="99"/>
    <w:pPr>
      <w:widowControl/>
      <w:spacing w:before="100" w:beforeAutospacing="1" w:after="100" w:afterAutospacing="1"/>
      <w:jc w:val="left"/>
    </w:pPr>
    <w:rPr>
      <w:rFonts w:ascii="宋体" w:hAnsi="宋体"/>
      <w:kern w:val="0"/>
      <w:szCs w:val="20"/>
    </w:rPr>
  </w:style>
  <w:style w:type="paragraph" w:styleId="40">
    <w:name w:val="annotation subject"/>
    <w:basedOn w:val="20"/>
    <w:next w:val="20"/>
    <w:link w:val="87"/>
    <w:semiHidden/>
    <w:qFormat/>
    <w:uiPriority w:val="0"/>
    <w:rPr>
      <w:b/>
    </w:rPr>
  </w:style>
  <w:style w:type="paragraph" w:styleId="41">
    <w:name w:val="Body Text First Indent"/>
    <w:basedOn w:val="22"/>
    <w:next w:val="1"/>
    <w:link w:val="88"/>
    <w:unhideWhenUsed/>
    <w:qFormat/>
    <w:locked/>
    <w:uiPriority w:val="99"/>
    <w:pPr>
      <w:widowControl w:val="0"/>
      <w:snapToGrid/>
      <w:spacing w:before="0" w:after="120" w:line="240" w:lineRule="auto"/>
      <w:ind w:right="0" w:firstLine="420" w:firstLineChars="100"/>
    </w:pPr>
    <w:rPr>
      <w:kern w:val="2"/>
      <w:sz w:val="21"/>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4">
    <w:name w:val="Table Grid 5"/>
    <w:basedOn w:val="42"/>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6">
    <w:name w:val="Strong"/>
    <w:qFormat/>
    <w:locked/>
    <w:uiPriority w:val="0"/>
    <w:rPr>
      <w:b/>
      <w:bCs/>
    </w:rPr>
  </w:style>
  <w:style w:type="character" w:styleId="47">
    <w:name w:val="page number"/>
    <w:qFormat/>
    <w:locked/>
    <w:uiPriority w:val="0"/>
  </w:style>
  <w:style w:type="character" w:styleId="48">
    <w:name w:val="FollowedHyperlink"/>
    <w:qFormat/>
    <w:locked/>
    <w:uiPriority w:val="0"/>
    <w:rPr>
      <w:rFonts w:cs="Times New Roman"/>
      <w:color w:val="800080"/>
      <w:u w:val="single"/>
    </w:rPr>
  </w:style>
  <w:style w:type="character" w:styleId="49">
    <w:name w:val="Emphasis"/>
    <w:qFormat/>
    <w:locked/>
    <w:uiPriority w:val="0"/>
  </w:style>
  <w:style w:type="character" w:styleId="50">
    <w:name w:val="HTML Definition"/>
    <w:qFormat/>
    <w:locked/>
    <w:uiPriority w:val="0"/>
  </w:style>
  <w:style w:type="character" w:styleId="51">
    <w:name w:val="HTML Acronym"/>
    <w:qFormat/>
    <w:locked/>
    <w:uiPriority w:val="0"/>
  </w:style>
  <w:style w:type="character" w:styleId="52">
    <w:name w:val="HTML Variable"/>
    <w:qFormat/>
    <w:locked/>
    <w:uiPriority w:val="0"/>
  </w:style>
  <w:style w:type="character" w:styleId="53">
    <w:name w:val="Hyperlink"/>
    <w:basedOn w:val="45"/>
    <w:qFormat/>
    <w:locked/>
    <w:uiPriority w:val="99"/>
    <w:rPr>
      <w:color w:val="3366CC"/>
      <w:u w:val="single"/>
    </w:rPr>
  </w:style>
  <w:style w:type="character" w:styleId="54">
    <w:name w:val="HTML Code"/>
    <w:qFormat/>
    <w:locked/>
    <w:uiPriority w:val="0"/>
    <w:rPr>
      <w:rFonts w:ascii="monospace" w:hAnsi="monospace" w:eastAsia="monospace" w:cs="monospace"/>
      <w:sz w:val="21"/>
      <w:szCs w:val="21"/>
    </w:rPr>
  </w:style>
  <w:style w:type="character" w:styleId="55">
    <w:name w:val="annotation reference"/>
    <w:qFormat/>
    <w:uiPriority w:val="99"/>
    <w:rPr>
      <w:sz w:val="21"/>
    </w:rPr>
  </w:style>
  <w:style w:type="character" w:styleId="56">
    <w:name w:val="HTML Cite"/>
    <w:qFormat/>
    <w:locked/>
    <w:uiPriority w:val="0"/>
  </w:style>
  <w:style w:type="character" w:styleId="57">
    <w:name w:val="HTML Keyboard"/>
    <w:qFormat/>
    <w:locked/>
    <w:uiPriority w:val="0"/>
    <w:rPr>
      <w:rFonts w:hint="default" w:ascii="monospace" w:hAnsi="monospace" w:eastAsia="monospace" w:cs="monospace"/>
      <w:sz w:val="21"/>
      <w:szCs w:val="21"/>
    </w:rPr>
  </w:style>
  <w:style w:type="character" w:styleId="58">
    <w:name w:val="HTML Sample"/>
    <w:qFormat/>
    <w:locked/>
    <w:uiPriority w:val="0"/>
    <w:rPr>
      <w:rFonts w:hint="default" w:ascii="monospace" w:hAnsi="monospace" w:eastAsia="monospace" w:cs="monospace"/>
      <w:sz w:val="21"/>
      <w:szCs w:val="21"/>
    </w:rPr>
  </w:style>
  <w:style w:type="paragraph" w:customStyle="1" w:styleId="59">
    <w:name w:val="xl27"/>
    <w:basedOn w:val="14"/>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60">
    <w:name w:val="Date1"/>
    <w:basedOn w:val="1"/>
    <w:next w:val="1"/>
    <w:qFormat/>
    <w:uiPriority w:val="0"/>
    <w:pPr>
      <w:adjustRightInd w:val="0"/>
      <w:jc w:val="left"/>
      <w:textAlignment w:val="baseline"/>
    </w:pPr>
    <w:rPr>
      <w:rFonts w:ascii="宋体" w:hAnsi="宋体"/>
      <w:sz w:val="28"/>
      <w:szCs w:val="20"/>
    </w:rPr>
  </w:style>
  <w:style w:type="paragraph" w:customStyle="1" w:styleId="61">
    <w:name w:val="Default"/>
    <w:basedOn w:val="62"/>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3">
    <w:name w:val="纯文本1"/>
    <w:basedOn w:val="1"/>
    <w:qFormat/>
    <w:uiPriority w:val="0"/>
    <w:rPr>
      <w:rFonts w:ascii="宋体" w:hAnsi="Courier New"/>
      <w:szCs w:val="20"/>
    </w:rPr>
  </w:style>
  <w:style w:type="paragraph" w:customStyle="1" w:styleId="64">
    <w:name w:val="！正文"/>
    <w:basedOn w:val="1"/>
    <w:qFormat/>
    <w:uiPriority w:val="0"/>
    <w:pPr>
      <w:widowControl/>
    </w:pPr>
    <w:rPr>
      <w:rFonts w:hAnsi="Calibri"/>
      <w:sz w:val="24"/>
      <w:szCs w:val="20"/>
      <w:lang w:eastAsia="en-US" w:bidi="en-US"/>
    </w:rPr>
  </w:style>
  <w:style w:type="character" w:customStyle="1" w:styleId="65">
    <w:name w:val="正文文本 字符"/>
    <w:link w:val="22"/>
    <w:qFormat/>
    <w:locked/>
    <w:uiPriority w:val="99"/>
    <w:rPr>
      <w:sz w:val="18"/>
    </w:rPr>
  </w:style>
  <w:style w:type="character" w:customStyle="1" w:styleId="66">
    <w:name w:val="正文文本缩进 2 字符"/>
    <w:link w:val="24"/>
    <w:qFormat/>
    <w:uiPriority w:val="99"/>
    <w:rPr>
      <w:kern w:val="2"/>
      <w:sz w:val="21"/>
      <w:szCs w:val="24"/>
    </w:rPr>
  </w:style>
  <w:style w:type="character" w:customStyle="1" w:styleId="67">
    <w:name w:val="标题 1 字符"/>
    <w:link w:val="8"/>
    <w:qFormat/>
    <w:uiPriority w:val="99"/>
    <w:rPr>
      <w:rFonts w:eastAsia="黑体"/>
      <w:b/>
      <w:bCs/>
      <w:color w:val="000000"/>
      <w:kern w:val="44"/>
      <w:sz w:val="30"/>
      <w:szCs w:val="30"/>
    </w:rPr>
  </w:style>
  <w:style w:type="character" w:customStyle="1" w:styleId="68">
    <w:name w:val="标题 2 字符"/>
    <w:link w:val="9"/>
    <w:qFormat/>
    <w:uiPriority w:val="0"/>
    <w:rPr>
      <w:rFonts w:ascii="等线 Light" w:hAnsi="等线 Light" w:eastAsia="等线 Light" w:cs="Times New Roman"/>
      <w:b/>
      <w:bCs/>
      <w:kern w:val="2"/>
      <w:sz w:val="32"/>
      <w:szCs w:val="32"/>
    </w:rPr>
  </w:style>
  <w:style w:type="character" w:customStyle="1" w:styleId="69">
    <w:name w:val="标题 3 字符"/>
    <w:link w:val="10"/>
    <w:qFormat/>
    <w:uiPriority w:val="0"/>
    <w:rPr>
      <w:b/>
      <w:bCs/>
      <w:kern w:val="2"/>
      <w:sz w:val="32"/>
      <w:szCs w:val="32"/>
    </w:rPr>
  </w:style>
  <w:style w:type="character" w:customStyle="1" w:styleId="70">
    <w:name w:val="标题 4 字符"/>
    <w:link w:val="11"/>
    <w:qFormat/>
    <w:uiPriority w:val="0"/>
    <w:rPr>
      <w:b/>
      <w:bCs/>
      <w:kern w:val="2"/>
      <w:sz w:val="24"/>
      <w:szCs w:val="28"/>
    </w:rPr>
  </w:style>
  <w:style w:type="character" w:customStyle="1" w:styleId="71">
    <w:name w:val="注释标题 字符1"/>
    <w:link w:val="15"/>
    <w:qFormat/>
    <w:uiPriority w:val="0"/>
    <w:rPr>
      <w:sz w:val="24"/>
    </w:rPr>
  </w:style>
  <w:style w:type="character" w:customStyle="1" w:styleId="72">
    <w:name w:val="正文缩进 字符"/>
    <w:link w:val="16"/>
    <w:qFormat/>
    <w:uiPriority w:val="0"/>
  </w:style>
  <w:style w:type="character" w:customStyle="1" w:styleId="73">
    <w:name w:val="题注 字符"/>
    <w:link w:val="18"/>
    <w:qFormat/>
    <w:uiPriority w:val="0"/>
    <w:rPr>
      <w:rFonts w:ascii="宋体" w:hAnsi="宋体" w:cs="Arial"/>
    </w:rPr>
  </w:style>
  <w:style w:type="character" w:customStyle="1" w:styleId="74">
    <w:name w:val="文档结构图 字符"/>
    <w:link w:val="19"/>
    <w:qFormat/>
    <w:uiPriority w:val="0"/>
    <w:rPr>
      <w:kern w:val="2"/>
      <w:sz w:val="21"/>
      <w:szCs w:val="24"/>
      <w:shd w:val="clear" w:color="auto" w:fill="000080"/>
    </w:rPr>
  </w:style>
  <w:style w:type="character" w:customStyle="1" w:styleId="75">
    <w:name w:val="批注文字 字符"/>
    <w:link w:val="20"/>
    <w:qFormat/>
    <w:locked/>
    <w:uiPriority w:val="99"/>
    <w:rPr>
      <w:rFonts w:ascii="Times New Roman" w:hAnsi="Times New Roman" w:eastAsia="宋体"/>
      <w:sz w:val="24"/>
    </w:rPr>
  </w:style>
  <w:style w:type="character" w:customStyle="1" w:styleId="76">
    <w:name w:val="正文文本 3 字符"/>
    <w:link w:val="21"/>
    <w:qFormat/>
    <w:uiPriority w:val="0"/>
    <w:rPr>
      <w:kern w:val="2"/>
      <w:sz w:val="16"/>
      <w:szCs w:val="16"/>
    </w:rPr>
  </w:style>
  <w:style w:type="character" w:customStyle="1" w:styleId="77">
    <w:name w:val="正文文本缩进 字符"/>
    <w:link w:val="23"/>
    <w:qFormat/>
    <w:locked/>
    <w:uiPriority w:val="0"/>
    <w:rPr>
      <w:rFonts w:ascii="Times New Roman" w:hAnsi="Times New Roman" w:eastAsia="宋体"/>
      <w:sz w:val="24"/>
    </w:rPr>
  </w:style>
  <w:style w:type="character" w:customStyle="1" w:styleId="78">
    <w:name w:val="纯文本 字符1"/>
    <w:link w:val="27"/>
    <w:qFormat/>
    <w:uiPriority w:val="0"/>
    <w:rPr>
      <w:rFonts w:ascii="宋体" w:hAnsi="Courier New"/>
      <w:sz w:val="15"/>
      <w:szCs w:val="21"/>
    </w:rPr>
  </w:style>
  <w:style w:type="character" w:customStyle="1" w:styleId="79">
    <w:name w:val="日期 字符1"/>
    <w:link w:val="29"/>
    <w:qFormat/>
    <w:locked/>
    <w:uiPriority w:val="0"/>
    <w:rPr>
      <w:rFonts w:ascii="Times New Roman" w:hAnsi="Times New Roman" w:eastAsia="宋体"/>
      <w:sz w:val="24"/>
    </w:rPr>
  </w:style>
  <w:style w:type="character" w:customStyle="1" w:styleId="80">
    <w:name w:val="批注框文本 字符"/>
    <w:link w:val="30"/>
    <w:semiHidden/>
    <w:qFormat/>
    <w:locked/>
    <w:uiPriority w:val="99"/>
    <w:rPr>
      <w:rFonts w:ascii="Times New Roman" w:hAnsi="Times New Roman" w:eastAsia="宋体"/>
      <w:sz w:val="18"/>
    </w:rPr>
  </w:style>
  <w:style w:type="character" w:customStyle="1" w:styleId="81">
    <w:name w:val="页脚 字符1"/>
    <w:link w:val="31"/>
    <w:qFormat/>
    <w:locked/>
    <w:uiPriority w:val="99"/>
    <w:rPr>
      <w:sz w:val="18"/>
    </w:rPr>
  </w:style>
  <w:style w:type="character" w:customStyle="1" w:styleId="82">
    <w:name w:val="页眉 字符"/>
    <w:link w:val="32"/>
    <w:qFormat/>
    <w:locked/>
    <w:uiPriority w:val="99"/>
    <w:rPr>
      <w:sz w:val="18"/>
    </w:rPr>
  </w:style>
  <w:style w:type="character" w:customStyle="1" w:styleId="83">
    <w:name w:val="正文文本缩进 3 字符"/>
    <w:link w:val="35"/>
    <w:qFormat/>
    <w:uiPriority w:val="99"/>
    <w:rPr>
      <w:kern w:val="2"/>
      <w:sz w:val="16"/>
      <w:szCs w:val="16"/>
    </w:rPr>
  </w:style>
  <w:style w:type="character" w:customStyle="1" w:styleId="84">
    <w:name w:val="正文文本 2 字符"/>
    <w:link w:val="37"/>
    <w:qFormat/>
    <w:uiPriority w:val="0"/>
    <w:rPr>
      <w:kern w:val="2"/>
      <w:sz w:val="21"/>
      <w:szCs w:val="24"/>
    </w:rPr>
  </w:style>
  <w:style w:type="character" w:customStyle="1" w:styleId="85">
    <w:name w:val="HTML 预设格式 字符"/>
    <w:link w:val="38"/>
    <w:qFormat/>
    <w:uiPriority w:val="0"/>
    <w:rPr>
      <w:rFonts w:ascii="宋体" w:hAnsi="宋体" w:cs="宋体"/>
      <w:sz w:val="24"/>
      <w:szCs w:val="24"/>
    </w:rPr>
  </w:style>
  <w:style w:type="character" w:customStyle="1" w:styleId="86">
    <w:name w:val="普通(网站) 字符"/>
    <w:link w:val="39"/>
    <w:qFormat/>
    <w:locked/>
    <w:uiPriority w:val="0"/>
    <w:rPr>
      <w:rFonts w:ascii="宋体" w:hAnsi="宋体" w:eastAsia="宋体"/>
      <w:sz w:val="24"/>
    </w:rPr>
  </w:style>
  <w:style w:type="character" w:customStyle="1" w:styleId="87">
    <w:name w:val="批注主题 字符"/>
    <w:link w:val="40"/>
    <w:semiHidden/>
    <w:qFormat/>
    <w:locked/>
    <w:uiPriority w:val="0"/>
    <w:rPr>
      <w:rFonts w:ascii="Times New Roman" w:hAnsi="Times New Roman" w:eastAsia="宋体"/>
      <w:b/>
      <w:kern w:val="2"/>
      <w:sz w:val="24"/>
    </w:rPr>
  </w:style>
  <w:style w:type="character" w:customStyle="1" w:styleId="88">
    <w:name w:val="正文文本首行缩进 字符1"/>
    <w:link w:val="41"/>
    <w:qFormat/>
    <w:uiPriority w:val="99"/>
    <w:rPr>
      <w:kern w:val="2"/>
      <w:sz w:val="21"/>
      <w:szCs w:val="24"/>
    </w:rPr>
  </w:style>
  <w:style w:type="character" w:customStyle="1" w:styleId="89">
    <w:name w:val="页脚 字符"/>
    <w:qFormat/>
    <w:uiPriority w:val="99"/>
  </w:style>
  <w:style w:type="character" w:customStyle="1" w:styleId="90">
    <w:name w:val="正文文本 字符1"/>
    <w:semiHidden/>
    <w:qFormat/>
    <w:uiPriority w:val="0"/>
    <w:rPr>
      <w:rFonts w:ascii="Times New Roman" w:hAnsi="Times New Roman" w:eastAsia="宋体"/>
      <w:sz w:val="24"/>
    </w:rPr>
  </w:style>
  <w:style w:type="character" w:customStyle="1" w:styleId="91">
    <w:name w:val="表格 Char"/>
    <w:link w:val="92"/>
    <w:qFormat/>
    <w:locked/>
    <w:uiPriority w:val="0"/>
    <w:rPr>
      <w:rFonts w:ascii="宋体"/>
      <w:sz w:val="21"/>
    </w:rPr>
  </w:style>
  <w:style w:type="paragraph" w:customStyle="1" w:styleId="92">
    <w:name w:val="表格"/>
    <w:basedOn w:val="1"/>
    <w:next w:val="1"/>
    <w:link w:val="91"/>
    <w:qFormat/>
    <w:uiPriority w:val="0"/>
    <w:pPr>
      <w:adjustRightInd w:val="0"/>
      <w:snapToGrid w:val="0"/>
      <w:spacing w:beforeLines="10" w:afterLines="10" w:line="259" w:lineRule="auto"/>
      <w:jc w:val="center"/>
    </w:pPr>
    <w:rPr>
      <w:rFonts w:ascii="宋体"/>
      <w:kern w:val="0"/>
      <w:szCs w:val="20"/>
    </w:rPr>
  </w:style>
  <w:style w:type="character" w:customStyle="1" w:styleId="93">
    <w:name w:val="日期 字符"/>
    <w:semiHidden/>
    <w:qFormat/>
    <w:uiPriority w:val="0"/>
    <w:rPr>
      <w:rFonts w:ascii="Times New Roman" w:hAnsi="Times New Roman" w:eastAsia="宋体"/>
      <w:sz w:val="24"/>
    </w:rPr>
  </w:style>
  <w:style w:type="character" w:customStyle="1" w:styleId="94">
    <w:name w:val="批注文字 字符1"/>
    <w:semiHidden/>
    <w:qFormat/>
    <w:uiPriority w:val="0"/>
    <w:rPr>
      <w:rFonts w:ascii="Times New Roman" w:hAnsi="Times New Roman" w:eastAsia="宋体"/>
      <w:sz w:val="24"/>
    </w:rPr>
  </w:style>
  <w:style w:type="paragraph" w:customStyle="1" w:styleId="9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97">
    <w:name w:val="正文1 Char"/>
    <w:link w:val="98"/>
    <w:qFormat/>
    <w:uiPriority w:val="0"/>
    <w:rPr>
      <w:rFonts w:eastAsia="楷体_GB2312"/>
      <w:sz w:val="24"/>
    </w:rPr>
  </w:style>
  <w:style w:type="paragraph" w:customStyle="1" w:styleId="98">
    <w:name w:val="正文1"/>
    <w:basedOn w:val="1"/>
    <w:link w:val="97"/>
    <w:qFormat/>
    <w:uiPriority w:val="0"/>
    <w:pPr>
      <w:adjustRightInd w:val="0"/>
    </w:pPr>
    <w:rPr>
      <w:rFonts w:eastAsia="楷体_GB2312"/>
      <w:kern w:val="0"/>
      <w:szCs w:val="20"/>
    </w:rPr>
  </w:style>
  <w:style w:type="character" w:customStyle="1" w:styleId="99">
    <w:name w:val="纯文本 字符"/>
    <w:qFormat/>
    <w:uiPriority w:val="99"/>
    <w:rPr>
      <w:rFonts w:ascii="宋体" w:hAnsi="Courier New" w:cs="Courier New"/>
      <w:kern w:val="2"/>
      <w:sz w:val="21"/>
      <w:szCs w:val="21"/>
    </w:rPr>
  </w:style>
  <w:style w:type="character" w:customStyle="1" w:styleId="100">
    <w:name w:val="表字体 Char"/>
    <w:link w:val="101"/>
    <w:qFormat/>
    <w:uiPriority w:val="0"/>
  </w:style>
  <w:style w:type="paragraph" w:customStyle="1" w:styleId="101">
    <w:name w:val="表字体"/>
    <w:basedOn w:val="1"/>
    <w:next w:val="1"/>
    <w:link w:val="100"/>
    <w:qFormat/>
    <w:uiPriority w:val="0"/>
    <w:pPr>
      <w:jc w:val="center"/>
    </w:pPr>
    <w:rPr>
      <w:kern w:val="0"/>
      <w:sz w:val="20"/>
      <w:szCs w:val="20"/>
    </w:rPr>
  </w:style>
  <w:style w:type="paragraph" w:customStyle="1" w:styleId="102">
    <w:name w:val="正文首行缩进 2 + Times New Roman"/>
    <w:basedOn w:val="1"/>
    <w:link w:val="103"/>
    <w:qFormat/>
    <w:uiPriority w:val="0"/>
    <w:pPr>
      <w:tabs>
        <w:tab w:val="left" w:pos="0"/>
        <w:tab w:val="left" w:pos="870"/>
        <w:tab w:val="left" w:pos="3150"/>
      </w:tabs>
      <w:autoSpaceDE w:val="0"/>
      <w:autoSpaceDN w:val="0"/>
      <w:spacing w:line="360" w:lineRule="auto"/>
      <w:ind w:firstLine="480" w:firstLineChars="200"/>
      <w:jc w:val="left"/>
    </w:pPr>
    <w:rPr>
      <w:kern w:val="0"/>
    </w:rPr>
  </w:style>
  <w:style w:type="character" w:customStyle="1" w:styleId="103">
    <w:name w:val="正文首行缩进 2 + Times New Roman Char Char"/>
    <w:link w:val="102"/>
    <w:qFormat/>
    <w:uiPriority w:val="0"/>
    <w:rPr>
      <w:sz w:val="24"/>
      <w:szCs w:val="24"/>
    </w:rPr>
  </w:style>
  <w:style w:type="paragraph" w:customStyle="1" w:styleId="104">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05">
    <w:name w:val="正文文本首行缩进 字符"/>
    <w:qFormat/>
    <w:uiPriority w:val="99"/>
    <w:rPr>
      <w:kern w:val="2"/>
      <w:sz w:val="21"/>
      <w:szCs w:val="24"/>
    </w:rPr>
  </w:style>
  <w:style w:type="paragraph" w:customStyle="1" w:styleId="106">
    <w:name w:val="样式 行距: 单倍行距"/>
    <w:basedOn w:val="1"/>
    <w:qFormat/>
    <w:uiPriority w:val="0"/>
    <w:pPr>
      <w:adjustRightInd w:val="0"/>
      <w:textAlignment w:val="baseline"/>
    </w:pPr>
    <w:rPr>
      <w:rFonts w:cs="宋体"/>
      <w:szCs w:val="20"/>
    </w:rPr>
  </w:style>
  <w:style w:type="paragraph" w:customStyle="1" w:styleId="107">
    <w:name w:val="样式式"/>
    <w:basedOn w:val="1"/>
    <w:qFormat/>
    <w:uiPriority w:val="0"/>
    <w:pPr>
      <w:jc w:val="center"/>
    </w:pPr>
    <w:rPr>
      <w:szCs w:val="21"/>
    </w:rPr>
  </w:style>
  <w:style w:type="paragraph" w:customStyle="1" w:styleId="108">
    <w:name w:val="2"/>
    <w:basedOn w:val="1"/>
    <w:next w:val="1"/>
    <w:qFormat/>
    <w:uiPriority w:val="39"/>
  </w:style>
  <w:style w:type="paragraph" w:customStyle="1" w:styleId="109">
    <w:name w:val="_Style 94"/>
    <w:basedOn w:val="8"/>
    <w:next w:val="1"/>
    <w:qFormat/>
    <w:uiPriority w:val="39"/>
    <w:pPr>
      <w:keepLines/>
      <w:overflowPunct/>
      <w:snapToGrid/>
      <w:spacing w:before="340" w:after="330" w:line="578" w:lineRule="auto"/>
      <w:ind w:left="0" w:firstLine="0"/>
      <w:outlineLvl w:val="9"/>
    </w:pPr>
    <w:rPr>
      <w:rFonts w:eastAsia="宋体"/>
      <w:color w:val="auto"/>
      <w:sz w:val="44"/>
      <w:szCs w:val="44"/>
    </w:rPr>
  </w:style>
  <w:style w:type="paragraph" w:customStyle="1" w:styleId="110">
    <w:name w:val="1"/>
    <w:basedOn w:val="1"/>
    <w:next w:val="111"/>
    <w:qFormat/>
    <w:uiPriority w:val="0"/>
    <w:pPr>
      <w:ind w:firstLine="420" w:firstLineChars="200"/>
    </w:pPr>
  </w:style>
  <w:style w:type="paragraph" w:styleId="111">
    <w:name w:val="List Paragraph"/>
    <w:basedOn w:val="1"/>
    <w:qFormat/>
    <w:uiPriority w:val="34"/>
    <w:pPr>
      <w:ind w:firstLine="420" w:firstLineChars="200"/>
    </w:pPr>
  </w:style>
  <w:style w:type="paragraph" w:customStyle="1" w:styleId="112">
    <w:name w:val="田雄-报告表正文格式"/>
    <w:basedOn w:val="1"/>
    <w:qFormat/>
    <w:uiPriority w:val="0"/>
    <w:pPr>
      <w:spacing w:line="360" w:lineRule="auto"/>
      <w:ind w:firstLine="720" w:firstLineChars="200"/>
    </w:pPr>
  </w:style>
  <w:style w:type="table" w:customStyle="1" w:styleId="113">
    <w:name w:val="Table Normal"/>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114">
    <w:name w:val="Table Paragraph"/>
    <w:basedOn w:val="1"/>
    <w:qFormat/>
    <w:uiPriority w:val="1"/>
    <w:pPr>
      <w:jc w:val="left"/>
    </w:pPr>
    <w:rPr>
      <w:rFonts w:ascii="等线" w:hAnsi="等线" w:eastAsia="等线"/>
      <w:kern w:val="0"/>
      <w:sz w:val="22"/>
      <w:szCs w:val="22"/>
      <w:lang w:eastAsia="en-US"/>
    </w:rPr>
  </w:style>
  <w:style w:type="character" w:customStyle="1" w:styleId="115">
    <w:name w:val="表格文字 Char"/>
    <w:link w:val="116"/>
    <w:qFormat/>
    <w:uiPriority w:val="0"/>
    <w:rPr>
      <w:snapToGrid/>
      <w:color w:val="0000FF"/>
      <w:szCs w:val="21"/>
      <w:lang w:val="eu-ES"/>
    </w:rPr>
  </w:style>
  <w:style w:type="paragraph" w:customStyle="1" w:styleId="116">
    <w:name w:val="表格文字"/>
    <w:basedOn w:val="41"/>
    <w:link w:val="115"/>
    <w:qFormat/>
    <w:uiPriority w:val="0"/>
    <w:pPr>
      <w:wordWrap w:val="0"/>
      <w:topLinePunct/>
      <w:autoSpaceDE w:val="0"/>
      <w:autoSpaceDN w:val="0"/>
      <w:adjustRightInd w:val="0"/>
      <w:snapToGrid w:val="0"/>
      <w:jc w:val="center"/>
    </w:pPr>
    <w:rPr>
      <w:snapToGrid w:val="0"/>
      <w:color w:val="0000FF"/>
      <w:kern w:val="0"/>
      <w:sz w:val="20"/>
      <w:szCs w:val="21"/>
      <w:lang w:val="eu-ES"/>
    </w:rPr>
  </w:style>
  <w:style w:type="paragraph" w:customStyle="1" w:styleId="117">
    <w:name w:val="正文文本11"/>
    <w:basedOn w:val="1"/>
    <w:qFormat/>
    <w:uiPriority w:val="0"/>
    <w:pPr>
      <w:shd w:val="clear" w:color="auto" w:fill="FFFFFF"/>
      <w:spacing w:line="619" w:lineRule="exact"/>
      <w:ind w:hanging="2040"/>
      <w:jc w:val="distribute"/>
    </w:pPr>
    <w:rPr>
      <w:rFonts w:ascii="MingLiU" w:hAnsi="MingLiU" w:eastAsia="MingLiU"/>
      <w:spacing w:val="20"/>
      <w:kern w:val="0"/>
      <w:sz w:val="26"/>
      <w:szCs w:val="26"/>
    </w:rPr>
  </w:style>
  <w:style w:type="paragraph" w:customStyle="1" w:styleId="118">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19">
    <w:name w:val="表格1 Char"/>
    <w:link w:val="120"/>
    <w:qFormat/>
    <w:uiPriority w:val="0"/>
    <w:rPr>
      <w:rFonts w:ascii="宋体" w:hAnsi="Impact"/>
      <w:kern w:val="24"/>
      <w:sz w:val="28"/>
    </w:rPr>
  </w:style>
  <w:style w:type="paragraph" w:customStyle="1" w:styleId="120">
    <w:name w:val="表格1"/>
    <w:basedOn w:val="1"/>
    <w:next w:val="1"/>
    <w:link w:val="119"/>
    <w:qFormat/>
    <w:uiPriority w:val="0"/>
    <w:pPr>
      <w:topLinePunct/>
      <w:autoSpaceDE w:val="0"/>
      <w:autoSpaceDN w:val="0"/>
      <w:adjustRightInd w:val="0"/>
      <w:jc w:val="center"/>
      <w:textAlignment w:val="baseline"/>
    </w:pPr>
    <w:rPr>
      <w:rFonts w:ascii="宋体" w:hAnsi="Impact"/>
      <w:kern w:val="24"/>
      <w:sz w:val="28"/>
      <w:szCs w:val="20"/>
    </w:rPr>
  </w:style>
  <w:style w:type="character" w:customStyle="1" w:styleId="121">
    <w:name w:val="正文文本 Char"/>
    <w:qFormat/>
    <w:uiPriority w:val="0"/>
    <w:rPr>
      <w:rFonts w:eastAsia="宋体"/>
      <w:kern w:val="2"/>
      <w:sz w:val="21"/>
      <w:szCs w:val="24"/>
      <w:lang w:val="en-US" w:eastAsia="zh-CN" w:bidi="ar-SA"/>
    </w:rPr>
  </w:style>
  <w:style w:type="paragraph" w:customStyle="1" w:styleId="122">
    <w:name w:val="报告"/>
    <w:basedOn w:val="1"/>
    <w:qFormat/>
    <w:uiPriority w:val="0"/>
    <w:pPr>
      <w:spacing w:line="360" w:lineRule="auto"/>
      <w:ind w:firstLine="720" w:firstLineChars="200"/>
    </w:pPr>
  </w:style>
  <w:style w:type="paragraph" w:customStyle="1" w:styleId="123">
    <w:name w:val="p0"/>
    <w:basedOn w:val="1"/>
    <w:qFormat/>
    <w:uiPriority w:val="0"/>
    <w:pPr>
      <w:widowControl/>
    </w:pPr>
    <w:rPr>
      <w:kern w:val="0"/>
      <w:szCs w:val="21"/>
    </w:rPr>
  </w:style>
  <w:style w:type="character" w:customStyle="1" w:styleId="124">
    <w:name w:val="TT表格标题 Char"/>
    <w:link w:val="125"/>
    <w:qFormat/>
    <w:uiPriority w:val="0"/>
    <w:rPr>
      <w:rFonts w:cs="宋体"/>
      <w:b/>
      <w:bCs/>
      <w:color w:val="000000"/>
      <w:sz w:val="24"/>
    </w:rPr>
  </w:style>
  <w:style w:type="paragraph" w:customStyle="1" w:styleId="125">
    <w:name w:val="TT表格标题"/>
    <w:basedOn w:val="1"/>
    <w:link w:val="124"/>
    <w:qFormat/>
    <w:uiPriority w:val="0"/>
    <w:pPr>
      <w:jc w:val="center"/>
    </w:pPr>
    <w:rPr>
      <w:rFonts w:cs="宋体"/>
      <w:b/>
      <w:bCs/>
      <w:color w:val="000000"/>
      <w:kern w:val="0"/>
      <w:szCs w:val="20"/>
    </w:rPr>
  </w:style>
  <w:style w:type="paragraph" w:customStyle="1" w:styleId="126">
    <w:name w:val="报告表正文"/>
    <w:basedOn w:val="1"/>
    <w:qFormat/>
    <w:uiPriority w:val="0"/>
    <w:pPr>
      <w:spacing w:line="360" w:lineRule="auto"/>
      <w:ind w:firstLine="720" w:firstLineChars="200"/>
    </w:pPr>
  </w:style>
  <w:style w:type="paragraph" w:customStyle="1" w:styleId="127">
    <w:name w:val="正 文"/>
    <w:qFormat/>
    <w:uiPriority w:val="0"/>
    <w:pPr>
      <w:widowControl w:val="0"/>
      <w:spacing w:line="360" w:lineRule="auto"/>
      <w:ind w:firstLine="200" w:firstLineChars="200"/>
      <w:jc w:val="both"/>
    </w:pPr>
    <w:rPr>
      <w:rFonts w:ascii="Times New Roman" w:hAnsi="Times New Roman" w:eastAsia="宋体" w:cs="Times New Roman"/>
      <w:b/>
      <w:snapToGrid w:val="0"/>
      <w:kern w:val="24"/>
      <w:sz w:val="24"/>
      <w:szCs w:val="21"/>
      <w:lang w:val="en-US" w:eastAsia="zh-CN" w:bidi="ar-SA"/>
    </w:rPr>
  </w:style>
  <w:style w:type="paragraph" w:customStyle="1" w:styleId="128">
    <w:name w:val="样式 四号 首行缩进:  2 字符"/>
    <w:basedOn w:val="1"/>
    <w:qFormat/>
    <w:uiPriority w:val="0"/>
    <w:pPr>
      <w:spacing w:line="480" w:lineRule="atLeast"/>
      <w:ind w:firstLine="200" w:firstLineChars="200"/>
    </w:pPr>
  </w:style>
  <w:style w:type="paragraph" w:customStyle="1" w:styleId="129">
    <w:name w:val="表1表2"/>
    <w:basedOn w:val="1"/>
    <w:qFormat/>
    <w:uiPriority w:val="0"/>
    <w:pPr>
      <w:autoSpaceDE w:val="0"/>
      <w:autoSpaceDN w:val="0"/>
      <w:adjustRightInd w:val="0"/>
      <w:jc w:val="center"/>
      <w:textAlignment w:val="center"/>
    </w:pPr>
    <w:rPr>
      <w:rFonts w:eastAsia="仿宋体"/>
      <w:kern w:val="0"/>
      <w:szCs w:val="20"/>
    </w:rPr>
  </w:style>
  <w:style w:type="paragraph" w:customStyle="1" w:styleId="130">
    <w:name w:val="表头"/>
    <w:basedOn w:val="1"/>
    <w:qFormat/>
    <w:uiPriority w:val="0"/>
    <w:pPr>
      <w:jc w:val="center"/>
    </w:pPr>
    <w:rPr>
      <w:color w:val="FF0000"/>
      <w:spacing w:val="14"/>
      <w:szCs w:val="21"/>
    </w:rPr>
  </w:style>
  <w:style w:type="paragraph" w:customStyle="1" w:styleId="131">
    <w:name w:val="表格2"/>
    <w:basedOn w:val="120"/>
    <w:next w:val="1"/>
    <w:qFormat/>
    <w:uiPriority w:val="0"/>
    <w:rPr>
      <w:position w:val="-28"/>
      <w:sz w:val="21"/>
    </w:rPr>
  </w:style>
  <w:style w:type="character" w:customStyle="1" w:styleId="132">
    <w:name w:val="keynote_percent_02"/>
    <w:qFormat/>
    <w:uiPriority w:val="0"/>
    <w:rPr>
      <w:color w:val="FFFFFF"/>
      <w:sz w:val="16"/>
      <w:szCs w:val="16"/>
      <w:shd w:val="clear" w:color="auto" w:fill="72C01D"/>
    </w:rPr>
  </w:style>
  <w:style w:type="character" w:customStyle="1" w:styleId="133">
    <w:name w:val="txt1"/>
    <w:qFormat/>
    <w:uiPriority w:val="0"/>
    <w:rPr>
      <w:color w:val="4083A9"/>
    </w:rPr>
  </w:style>
  <w:style w:type="character" w:customStyle="1" w:styleId="134">
    <w:name w:val="Char Char5"/>
    <w:qFormat/>
    <w:uiPriority w:val="0"/>
    <w:rPr>
      <w:rFonts w:ascii="宋体" w:eastAsia="宋体" w:cs="Arial Unicode MS"/>
      <w:kern w:val="2"/>
      <w:sz w:val="24"/>
      <w:szCs w:val="24"/>
      <w:lang w:val="en-US" w:eastAsia="zh-CN" w:bidi="ar-SA"/>
    </w:rPr>
  </w:style>
  <w:style w:type="character" w:customStyle="1" w:styleId="135">
    <w:name w:val="TTT标题 Char"/>
    <w:link w:val="136"/>
    <w:qFormat/>
    <w:uiPriority w:val="0"/>
    <w:rPr>
      <w:rFonts w:cs="宋体"/>
      <w:b/>
      <w:bCs/>
      <w:color w:val="000000"/>
      <w:sz w:val="24"/>
    </w:rPr>
  </w:style>
  <w:style w:type="paragraph" w:customStyle="1" w:styleId="136">
    <w:name w:val="TTT标题"/>
    <w:basedOn w:val="1"/>
    <w:next w:val="1"/>
    <w:link w:val="135"/>
    <w:qFormat/>
    <w:uiPriority w:val="0"/>
    <w:pPr>
      <w:spacing w:line="360" w:lineRule="auto"/>
      <w:ind w:firstLine="200" w:firstLineChars="200"/>
    </w:pPr>
    <w:rPr>
      <w:rFonts w:cs="宋体"/>
      <w:b/>
      <w:bCs/>
      <w:color w:val="000000"/>
      <w:kern w:val="0"/>
      <w:szCs w:val="20"/>
    </w:rPr>
  </w:style>
  <w:style w:type="character" w:customStyle="1" w:styleId="137">
    <w:name w:val="Char Char2"/>
    <w:qFormat/>
    <w:uiPriority w:val="0"/>
    <w:rPr>
      <w:rFonts w:eastAsia="宋体"/>
      <w:kern w:val="2"/>
      <w:sz w:val="24"/>
      <w:lang w:val="en-US" w:eastAsia="zh-CN" w:bidi="ar-SA"/>
    </w:rPr>
  </w:style>
  <w:style w:type="character" w:customStyle="1" w:styleId="138">
    <w:name w:val="正文首行缩进 Char2"/>
    <w:qFormat/>
    <w:uiPriority w:val="0"/>
    <w:rPr>
      <w:kern w:val="2"/>
      <w:sz w:val="21"/>
      <w:szCs w:val="24"/>
    </w:rPr>
  </w:style>
  <w:style w:type="character" w:customStyle="1" w:styleId="139">
    <w:name w:val="正文文本 (13)_"/>
    <w:link w:val="140"/>
    <w:qFormat/>
    <w:uiPriority w:val="0"/>
    <w:rPr>
      <w:rFonts w:ascii="MingLiU" w:hAnsi="MingLiU" w:eastAsia="MingLiU"/>
      <w:spacing w:val="10"/>
      <w:sz w:val="26"/>
      <w:szCs w:val="26"/>
      <w:shd w:val="clear" w:color="auto" w:fill="FFFFFF"/>
    </w:rPr>
  </w:style>
  <w:style w:type="paragraph" w:customStyle="1" w:styleId="140">
    <w:name w:val="正文文本 (13)"/>
    <w:basedOn w:val="1"/>
    <w:link w:val="139"/>
    <w:qFormat/>
    <w:uiPriority w:val="0"/>
    <w:pPr>
      <w:shd w:val="clear" w:color="auto" w:fill="FFFFFF"/>
      <w:spacing w:after="360" w:line="0" w:lineRule="atLeast"/>
      <w:ind w:hanging="2040"/>
      <w:jc w:val="left"/>
    </w:pPr>
    <w:rPr>
      <w:rFonts w:ascii="MingLiU" w:hAnsi="MingLiU" w:eastAsia="MingLiU"/>
      <w:spacing w:val="10"/>
      <w:kern w:val="0"/>
      <w:sz w:val="26"/>
      <w:szCs w:val="26"/>
      <w:shd w:val="clear" w:color="auto" w:fill="FFFFFF"/>
    </w:rPr>
  </w:style>
  <w:style w:type="character" w:customStyle="1" w:styleId="141">
    <w:name w:val="active5"/>
    <w:qFormat/>
    <w:uiPriority w:val="0"/>
    <w:rPr>
      <w:color w:val="15A6E7"/>
    </w:rPr>
  </w:style>
  <w:style w:type="character" w:customStyle="1" w:styleId="142">
    <w:name w:val="fontstrikethrough"/>
    <w:qFormat/>
    <w:uiPriority w:val="0"/>
    <w:rPr>
      <w:strike/>
    </w:rPr>
  </w:style>
  <w:style w:type="character" w:customStyle="1" w:styleId="143">
    <w:name w:val="表格1 Char1"/>
    <w:qFormat/>
    <w:uiPriority w:val="0"/>
    <w:rPr>
      <w:rFonts w:ascii="仿宋体" w:eastAsia="宋体"/>
      <w:color w:val="000000"/>
      <w:sz w:val="21"/>
      <w:lang w:val="en-US" w:eastAsia="zh-CN"/>
    </w:rPr>
  </w:style>
  <w:style w:type="character" w:customStyle="1" w:styleId="144">
    <w:name w:val="标题 2 Char"/>
    <w:qFormat/>
    <w:uiPriority w:val="0"/>
    <w:rPr>
      <w:rFonts w:ascii="Times New Roman" w:hAnsi="Times New Roman" w:eastAsia="宋体"/>
      <w:b/>
      <w:kern w:val="2"/>
      <w:sz w:val="28"/>
      <w:szCs w:val="24"/>
      <w:lang w:val="en-US" w:eastAsia="zh-CN" w:bidi="ar-SA"/>
    </w:rPr>
  </w:style>
  <w:style w:type="character" w:customStyle="1" w:styleId="145">
    <w:name w:val="页脚 Char"/>
    <w:qFormat/>
    <w:uiPriority w:val="99"/>
    <w:rPr>
      <w:kern w:val="2"/>
      <w:sz w:val="18"/>
      <w:szCs w:val="18"/>
    </w:rPr>
  </w:style>
  <w:style w:type="character" w:customStyle="1" w:styleId="146">
    <w:name w:val="样式 宋体 小四"/>
    <w:qFormat/>
    <w:uiPriority w:val="0"/>
    <w:rPr>
      <w:rFonts w:ascii="Times New Roman" w:hAnsi="Times New Roman" w:eastAsia="宋体"/>
      <w:kern w:val="0"/>
      <w:sz w:val="24"/>
    </w:rPr>
  </w:style>
  <w:style w:type="character" w:customStyle="1" w:styleId="147">
    <w:name w:val="even Char1"/>
    <w:qFormat/>
    <w:uiPriority w:val="0"/>
    <w:rPr>
      <w:rFonts w:eastAsia="宋体"/>
      <w:kern w:val="2"/>
      <w:sz w:val="18"/>
      <w:lang w:val="en-US" w:eastAsia="zh-CN" w:bidi="ar-SA"/>
    </w:rPr>
  </w:style>
  <w:style w:type="character" w:customStyle="1" w:styleId="148">
    <w:name w:val="正文样式 Char"/>
    <w:qFormat/>
    <w:uiPriority w:val="0"/>
    <w:rPr>
      <w:rFonts w:eastAsia="宋体"/>
      <w:snapToGrid/>
      <w:sz w:val="24"/>
      <w:szCs w:val="24"/>
      <w:lang w:val="en-US" w:eastAsia="zh-CN" w:bidi="ar-SA"/>
    </w:rPr>
  </w:style>
  <w:style w:type="character" w:customStyle="1" w:styleId="149">
    <w:name w:val="页眉 Char"/>
    <w:qFormat/>
    <w:uiPriority w:val="0"/>
    <w:rPr>
      <w:rFonts w:eastAsia="宋体"/>
      <w:kern w:val="2"/>
      <w:sz w:val="18"/>
      <w:szCs w:val="18"/>
      <w:lang w:val="en-US" w:eastAsia="zh-CN" w:bidi="ar-SA"/>
    </w:rPr>
  </w:style>
  <w:style w:type="character" w:customStyle="1" w:styleId="150">
    <w:name w:val="ld-02"/>
    <w:qFormat/>
    <w:uiPriority w:val="0"/>
    <w:rPr>
      <w:b/>
    </w:rPr>
  </w:style>
  <w:style w:type="character" w:customStyle="1" w:styleId="151">
    <w:name w:val="current5"/>
    <w:qFormat/>
    <w:uiPriority w:val="0"/>
    <w:rPr>
      <w:color w:val="FFFFFF"/>
      <w:shd w:val="clear" w:color="auto" w:fill="15A6E7"/>
    </w:rPr>
  </w:style>
  <w:style w:type="character" w:customStyle="1" w:styleId="152">
    <w:name w:val="表文字 Char"/>
    <w:link w:val="153"/>
    <w:qFormat/>
    <w:uiPriority w:val="0"/>
    <w:rPr>
      <w:sz w:val="24"/>
    </w:rPr>
  </w:style>
  <w:style w:type="paragraph" w:customStyle="1" w:styleId="153">
    <w:name w:val="表文字"/>
    <w:basedOn w:val="1"/>
    <w:link w:val="152"/>
    <w:qFormat/>
    <w:uiPriority w:val="0"/>
    <w:pPr>
      <w:overflowPunct w:val="0"/>
      <w:autoSpaceDE w:val="0"/>
      <w:autoSpaceDN w:val="0"/>
      <w:adjustRightInd w:val="0"/>
      <w:spacing w:line="240" w:lineRule="atLeast"/>
      <w:jc w:val="center"/>
      <w:textAlignment w:val="baseline"/>
    </w:pPr>
    <w:rPr>
      <w:kern w:val="0"/>
      <w:szCs w:val="20"/>
    </w:rPr>
  </w:style>
  <w:style w:type="character" w:customStyle="1" w:styleId="154">
    <w:name w:val="t_tag"/>
    <w:qFormat/>
    <w:uiPriority w:val="0"/>
  </w:style>
  <w:style w:type="character" w:customStyle="1" w:styleId="155">
    <w:name w:val="hover63"/>
    <w:qFormat/>
    <w:uiPriority w:val="0"/>
    <w:rPr>
      <w:color w:val="15A6E7"/>
    </w:rPr>
  </w:style>
  <w:style w:type="character" w:customStyle="1" w:styleId="156">
    <w:name w:val="time"/>
    <w:qFormat/>
    <w:uiPriority w:val="0"/>
    <w:rPr>
      <w:color w:val="999999"/>
      <w:sz w:val="14"/>
      <w:szCs w:val="14"/>
    </w:rPr>
  </w:style>
  <w:style w:type="character" w:customStyle="1" w:styleId="157">
    <w:name w:val="缩进 Char"/>
    <w:link w:val="158"/>
    <w:qFormat/>
    <w:uiPriority w:val="0"/>
    <w:rPr>
      <w:rFonts w:ascii="宋体" w:hAnsi="宋体"/>
      <w:sz w:val="24"/>
      <w:szCs w:val="24"/>
    </w:rPr>
  </w:style>
  <w:style w:type="paragraph" w:customStyle="1" w:styleId="158">
    <w:name w:val="缩进"/>
    <w:basedOn w:val="1"/>
    <w:link w:val="157"/>
    <w:qFormat/>
    <w:uiPriority w:val="0"/>
    <w:pPr>
      <w:tabs>
        <w:tab w:val="left" w:pos="-52"/>
      </w:tabs>
      <w:spacing w:line="400" w:lineRule="atLeast"/>
      <w:ind w:right="-4" w:firstLine="425"/>
    </w:pPr>
    <w:rPr>
      <w:rFonts w:ascii="宋体" w:hAnsi="宋体"/>
      <w:kern w:val="0"/>
    </w:rPr>
  </w:style>
  <w:style w:type="character" w:customStyle="1" w:styleId="159">
    <w:name w:val="keynote_percent_01"/>
    <w:qFormat/>
    <w:uiPriority w:val="0"/>
    <w:rPr>
      <w:color w:val="FFFFFF"/>
      <w:sz w:val="16"/>
      <w:szCs w:val="16"/>
      <w:shd w:val="clear" w:color="auto" w:fill="5CA013"/>
    </w:rPr>
  </w:style>
  <w:style w:type="character" w:customStyle="1" w:styleId="160">
    <w:name w:val="fontborder"/>
    <w:qFormat/>
    <w:uiPriority w:val="0"/>
    <w:rPr>
      <w:bdr w:val="single" w:color="000000" w:sz="4" w:space="0"/>
    </w:rPr>
  </w:style>
  <w:style w:type="character" w:customStyle="1" w:styleId="161">
    <w:name w:val="ld-01"/>
    <w:qFormat/>
    <w:uiPriority w:val="0"/>
  </w:style>
  <w:style w:type="character" w:customStyle="1" w:styleId="162">
    <w:name w:val="zhang正文 Char"/>
    <w:link w:val="163"/>
    <w:semiHidden/>
    <w:qFormat/>
    <w:uiPriority w:val="0"/>
    <w:rPr>
      <w:rFonts w:cs="宋体"/>
      <w:snapToGrid/>
      <w:sz w:val="24"/>
    </w:rPr>
  </w:style>
  <w:style w:type="paragraph" w:customStyle="1" w:styleId="163">
    <w:name w:val="zhang正文"/>
    <w:basedOn w:val="1"/>
    <w:link w:val="162"/>
    <w:semiHidden/>
    <w:qFormat/>
    <w:uiPriority w:val="0"/>
    <w:pPr>
      <w:widowControl/>
      <w:spacing w:line="360" w:lineRule="auto"/>
      <w:ind w:firstLine="480" w:firstLineChars="200"/>
    </w:pPr>
    <w:rPr>
      <w:rFonts w:cs="宋体"/>
      <w:snapToGrid w:val="0"/>
      <w:kern w:val="0"/>
      <w:szCs w:val="20"/>
    </w:rPr>
  </w:style>
  <w:style w:type="character" w:customStyle="1" w:styleId="164">
    <w:name w:val="Char Char8"/>
    <w:qFormat/>
    <w:uiPriority w:val="0"/>
    <w:rPr>
      <w:kern w:val="2"/>
      <w:sz w:val="21"/>
      <w:szCs w:val="24"/>
    </w:rPr>
  </w:style>
  <w:style w:type="character" w:customStyle="1" w:styleId="165">
    <w:name w:val="哈哈正文 Char"/>
    <w:link w:val="166"/>
    <w:qFormat/>
    <w:uiPriority w:val="0"/>
    <w:rPr>
      <w:rFonts w:ascii="宋体" w:hAnsi="宋体"/>
      <w:sz w:val="24"/>
      <w:szCs w:val="24"/>
    </w:rPr>
  </w:style>
  <w:style w:type="paragraph" w:customStyle="1" w:styleId="166">
    <w:name w:val="哈哈正文"/>
    <w:basedOn w:val="1"/>
    <w:link w:val="165"/>
    <w:qFormat/>
    <w:uiPriority w:val="0"/>
    <w:pPr>
      <w:tabs>
        <w:tab w:val="left" w:pos="480"/>
      </w:tabs>
      <w:spacing w:line="360" w:lineRule="auto"/>
      <w:ind w:firstLine="200" w:firstLineChars="200"/>
    </w:pPr>
    <w:rPr>
      <w:rFonts w:ascii="宋体" w:hAnsi="宋体"/>
      <w:kern w:val="0"/>
    </w:rPr>
  </w:style>
  <w:style w:type="character" w:customStyle="1" w:styleId="167">
    <w:name w:val="表格、图表名称 Char"/>
    <w:link w:val="168"/>
    <w:qFormat/>
    <w:uiPriority w:val="0"/>
    <w:rPr>
      <w:b/>
      <w:sz w:val="24"/>
    </w:rPr>
  </w:style>
  <w:style w:type="paragraph" w:customStyle="1" w:styleId="168">
    <w:name w:val="表格、图表名称"/>
    <w:basedOn w:val="1"/>
    <w:link w:val="167"/>
    <w:qFormat/>
    <w:uiPriority w:val="0"/>
    <w:pPr>
      <w:spacing w:line="360" w:lineRule="auto"/>
      <w:jc w:val="center"/>
    </w:pPr>
    <w:rPr>
      <w:b/>
      <w:kern w:val="0"/>
      <w:szCs w:val="20"/>
    </w:rPr>
  </w:style>
  <w:style w:type="character" w:customStyle="1" w:styleId="169">
    <w:name w:val="unnamed31"/>
    <w:qFormat/>
    <w:uiPriority w:val="0"/>
    <w:rPr>
      <w:spacing w:val="360"/>
      <w:sz w:val="18"/>
      <w:szCs w:val="18"/>
    </w:rPr>
  </w:style>
  <w:style w:type="character" w:customStyle="1" w:styleId="170">
    <w:name w:val="正文4 Char"/>
    <w:link w:val="171"/>
    <w:qFormat/>
    <w:uiPriority w:val="0"/>
    <w:rPr>
      <w:rFonts w:cs="宋体"/>
      <w:sz w:val="24"/>
    </w:rPr>
  </w:style>
  <w:style w:type="paragraph" w:customStyle="1" w:styleId="171">
    <w:name w:val="正文4"/>
    <w:basedOn w:val="1"/>
    <w:link w:val="170"/>
    <w:qFormat/>
    <w:uiPriority w:val="0"/>
    <w:pPr>
      <w:tabs>
        <w:tab w:val="left" w:pos="480"/>
      </w:tabs>
      <w:spacing w:line="360" w:lineRule="auto"/>
      <w:ind w:firstLine="200" w:firstLineChars="200"/>
    </w:pPr>
    <w:rPr>
      <w:rFonts w:cs="宋体"/>
      <w:kern w:val="0"/>
      <w:szCs w:val="20"/>
    </w:rPr>
  </w:style>
  <w:style w:type="character" w:customStyle="1" w:styleId="172">
    <w:name w:val="样式1 Char"/>
    <w:link w:val="173"/>
    <w:qFormat/>
    <w:uiPriority w:val="0"/>
    <w:rPr>
      <w:snapToGrid/>
      <w:color w:val="000000"/>
      <w:sz w:val="24"/>
      <w:szCs w:val="24"/>
    </w:rPr>
  </w:style>
  <w:style w:type="paragraph" w:customStyle="1" w:styleId="173">
    <w:name w:val="样式1"/>
    <w:basedOn w:val="1"/>
    <w:link w:val="172"/>
    <w:qFormat/>
    <w:uiPriority w:val="0"/>
    <w:pPr>
      <w:jc w:val="center"/>
    </w:pPr>
    <w:rPr>
      <w:snapToGrid w:val="0"/>
      <w:color w:val="000000"/>
      <w:kern w:val="0"/>
    </w:rPr>
  </w:style>
  <w:style w:type="character" w:customStyle="1" w:styleId="174">
    <w:name w:val="批注框文本 字符1"/>
    <w:qFormat/>
    <w:uiPriority w:val="0"/>
    <w:rPr>
      <w:sz w:val="18"/>
      <w:szCs w:val="18"/>
    </w:rPr>
  </w:style>
  <w:style w:type="character" w:customStyle="1" w:styleId="175">
    <w:name w:val="apple-style-span"/>
    <w:qFormat/>
    <w:uiPriority w:val="0"/>
  </w:style>
  <w:style w:type="character" w:customStyle="1" w:styleId="176">
    <w:name w:val="keynote_percent_04"/>
    <w:qFormat/>
    <w:uiPriority w:val="0"/>
    <w:rPr>
      <w:color w:val="FFFFFF"/>
      <w:sz w:val="16"/>
      <w:szCs w:val="16"/>
      <w:shd w:val="clear" w:color="auto" w:fill="B9DF8F"/>
    </w:rPr>
  </w:style>
  <w:style w:type="character" w:customStyle="1" w:styleId="177">
    <w:name w:val="content_text2"/>
    <w:qFormat/>
    <w:uiPriority w:val="0"/>
    <w:rPr>
      <w:spacing w:val="375"/>
      <w:sz w:val="21"/>
      <w:szCs w:val="21"/>
    </w:rPr>
  </w:style>
  <w:style w:type="character" w:customStyle="1" w:styleId="178">
    <w:name w:val="keynote_percent_03"/>
    <w:qFormat/>
    <w:uiPriority w:val="0"/>
    <w:rPr>
      <w:color w:val="FFFFFF"/>
      <w:sz w:val="16"/>
      <w:szCs w:val="16"/>
      <w:shd w:val="clear" w:color="auto" w:fill="9ED264"/>
    </w:rPr>
  </w:style>
  <w:style w:type="character" w:customStyle="1" w:styleId="179">
    <w:name w:val="表格 32 Char"/>
    <w:link w:val="180"/>
    <w:qFormat/>
    <w:uiPriority w:val="0"/>
    <w:rPr>
      <w:rFonts w:ascii="宋体" w:hAnsi="Impact"/>
      <w:kern w:val="24"/>
      <w:sz w:val="24"/>
    </w:rPr>
  </w:style>
  <w:style w:type="paragraph" w:customStyle="1" w:styleId="180">
    <w:name w:val="表格 32"/>
    <w:basedOn w:val="1"/>
    <w:link w:val="179"/>
    <w:qFormat/>
    <w:uiPriority w:val="0"/>
    <w:pPr>
      <w:autoSpaceDE w:val="0"/>
      <w:autoSpaceDN w:val="0"/>
      <w:adjustRightInd w:val="0"/>
      <w:jc w:val="center"/>
      <w:textAlignment w:val="baseline"/>
    </w:pPr>
    <w:rPr>
      <w:rFonts w:ascii="宋体" w:hAnsi="Impact"/>
      <w:kern w:val="24"/>
      <w:szCs w:val="20"/>
    </w:rPr>
  </w:style>
  <w:style w:type="character" w:customStyle="1" w:styleId="181">
    <w:name w:val="hj-easyread-speakerprocesser-position-action-icon"/>
    <w:qFormat/>
    <w:uiPriority w:val="0"/>
  </w:style>
  <w:style w:type="character" w:customStyle="1" w:styleId="182">
    <w:name w:val="style91"/>
    <w:qFormat/>
    <w:uiPriority w:val="0"/>
    <w:rPr>
      <w:sz w:val="21"/>
      <w:szCs w:val="21"/>
    </w:rPr>
  </w:style>
  <w:style w:type="character" w:customStyle="1" w:styleId="183">
    <w:name w:val="text11"/>
    <w:qFormat/>
    <w:uiPriority w:val="0"/>
  </w:style>
  <w:style w:type="character" w:customStyle="1" w:styleId="184">
    <w:name w:val="注释标题 字符"/>
    <w:qFormat/>
    <w:uiPriority w:val="99"/>
    <w:rPr>
      <w:kern w:val="2"/>
      <w:sz w:val="21"/>
      <w:szCs w:val="24"/>
    </w:rPr>
  </w:style>
  <w:style w:type="paragraph" w:customStyle="1" w:styleId="185">
    <w:name w:val="前言"/>
    <w:basedOn w:val="1"/>
    <w:qFormat/>
    <w:uiPriority w:val="0"/>
    <w:pPr>
      <w:pageBreakBefore/>
      <w:autoSpaceDE w:val="0"/>
      <w:autoSpaceDN w:val="0"/>
      <w:adjustRightInd w:val="0"/>
      <w:jc w:val="center"/>
      <w:textAlignment w:val="baseline"/>
    </w:pPr>
    <w:rPr>
      <w:rFonts w:ascii="黑体" w:hAnsi="Impact" w:eastAsia="黑体"/>
      <w:kern w:val="24"/>
      <w:sz w:val="32"/>
      <w:szCs w:val="20"/>
    </w:rPr>
  </w:style>
  <w:style w:type="paragraph" w:customStyle="1" w:styleId="186">
    <w:name w:val="默认段落字体 Para Char Char Char Char Char Char Char Char Char Char"/>
    <w:basedOn w:val="1"/>
    <w:qFormat/>
    <w:uiPriority w:val="0"/>
    <w:pPr>
      <w:adjustRightInd w:val="0"/>
      <w:spacing w:line="360" w:lineRule="auto"/>
    </w:pPr>
    <w:rPr>
      <w:kern w:val="0"/>
      <w:szCs w:val="20"/>
    </w:rPr>
  </w:style>
  <w:style w:type="paragraph" w:customStyle="1" w:styleId="187">
    <w:name w:val="样式 表格 32 + 首行缩进:  2 字符"/>
    <w:basedOn w:val="180"/>
    <w:qFormat/>
    <w:uiPriority w:val="0"/>
    <w:pPr>
      <w:spacing w:line="0" w:lineRule="atLeast"/>
    </w:pPr>
    <w:rPr>
      <w:rFonts w:ascii="Times New Roman" w:hAnsi="Times New Roman"/>
      <w:kern w:val="0"/>
      <w:sz w:val="21"/>
      <w:szCs w:val="21"/>
    </w:rPr>
  </w:style>
  <w:style w:type="paragraph" w:customStyle="1" w:styleId="188">
    <w:name w:val="Char1 Char Char1 Char"/>
    <w:basedOn w:val="1"/>
    <w:qFormat/>
    <w:uiPriority w:val="0"/>
    <w:rPr>
      <w:szCs w:val="21"/>
    </w:rPr>
  </w:style>
  <w:style w:type="paragraph" w:customStyle="1" w:styleId="189">
    <w:name w:val="表文1"/>
    <w:basedOn w:val="1"/>
    <w:qFormat/>
    <w:uiPriority w:val="0"/>
    <w:pPr>
      <w:adjustRightInd w:val="0"/>
      <w:jc w:val="center"/>
      <w:textAlignment w:val="baseline"/>
    </w:pPr>
    <w:rPr>
      <w:kern w:val="0"/>
    </w:rPr>
  </w:style>
  <w:style w:type="paragraph" w:customStyle="1" w:styleId="190">
    <w:name w:val="四号 1.5倍行距 宋体 Timenewrome"/>
    <w:basedOn w:val="1"/>
    <w:next w:val="1"/>
    <w:qFormat/>
    <w:uiPriority w:val="0"/>
    <w:rPr>
      <w:szCs w:val="21"/>
    </w:rPr>
  </w:style>
  <w:style w:type="paragraph" w:customStyle="1" w:styleId="191">
    <w:name w:val="Char Char Char Char Char Char"/>
    <w:basedOn w:val="1"/>
    <w:qFormat/>
    <w:uiPriority w:val="0"/>
  </w:style>
  <w:style w:type="paragraph" w:customStyle="1" w:styleId="192">
    <w:name w:val="Char"/>
    <w:basedOn w:val="1"/>
    <w:qFormat/>
    <w:uiPriority w:val="0"/>
    <w:rPr>
      <w:szCs w:val="21"/>
    </w:rPr>
  </w:style>
  <w:style w:type="paragraph" w:customStyle="1" w:styleId="193">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194">
    <w:name w:val="佛表"/>
    <w:basedOn w:val="34"/>
    <w:qFormat/>
    <w:uiPriority w:val="0"/>
    <w:pPr>
      <w:ind w:left="0" w:firstLine="0" w:firstLineChars="0"/>
      <w:jc w:val="center"/>
    </w:pPr>
    <w:rPr>
      <w:rFonts w:ascii="宋体" w:hAnsi="宋体" w:cs="Arial Unicode MS"/>
      <w:color w:val="000000"/>
      <w:kern w:val="0"/>
      <w:szCs w:val="21"/>
    </w:rPr>
  </w:style>
  <w:style w:type="paragraph" w:customStyle="1" w:styleId="195">
    <w:name w:val="Char Char Char"/>
    <w:basedOn w:val="1"/>
    <w:qFormat/>
    <w:uiPriority w:val="0"/>
  </w:style>
  <w:style w:type="paragraph" w:customStyle="1" w:styleId="196">
    <w:name w:val="表中文字"/>
    <w:qFormat/>
    <w:uiPriority w:val="0"/>
    <w:pPr>
      <w:spacing w:line="280" w:lineRule="exact"/>
      <w:ind w:left="-84" w:leftChars="-40" w:right="-84" w:rightChars="-40"/>
      <w:jc w:val="center"/>
    </w:pPr>
    <w:rPr>
      <w:rFonts w:ascii="Times New Roman" w:hAnsi="Times New Roman" w:eastAsia="宋体" w:cs="宋体"/>
      <w:sz w:val="21"/>
      <w:lang w:val="zh-CN" w:eastAsia="zh-CN" w:bidi="ar-SA"/>
    </w:rPr>
  </w:style>
  <w:style w:type="paragraph" w:customStyle="1" w:styleId="197">
    <w:name w:val="样式 标题 3 + 段后: 6 磅"/>
    <w:basedOn w:val="10"/>
    <w:qFormat/>
    <w:uiPriority w:val="0"/>
    <w:pPr>
      <w:spacing w:after="120"/>
    </w:pPr>
    <w:rPr>
      <w:rFonts w:cs="宋体"/>
      <w:sz w:val="24"/>
      <w:szCs w:val="20"/>
    </w:rPr>
  </w:style>
  <w:style w:type="paragraph" w:customStyle="1" w:styleId="198">
    <w:name w:val="正文 + 宋体"/>
    <w:basedOn w:val="1"/>
    <w:qFormat/>
    <w:uiPriority w:val="0"/>
    <w:pPr>
      <w:adjustRightInd w:val="0"/>
      <w:snapToGrid w:val="0"/>
      <w:spacing w:line="400" w:lineRule="exact"/>
      <w:ind w:firstLine="480" w:firstLineChars="200"/>
      <w:textAlignment w:val="baseline"/>
    </w:pPr>
    <w:rPr>
      <w:color w:val="000000"/>
    </w:rPr>
  </w:style>
  <w:style w:type="paragraph" w:customStyle="1" w:styleId="199">
    <w:name w:val="body"/>
    <w:basedOn w:val="1"/>
    <w:qFormat/>
    <w:uiPriority w:val="0"/>
    <w:pPr>
      <w:spacing w:line="360" w:lineRule="auto"/>
      <w:ind w:firstLine="480" w:firstLineChars="200"/>
    </w:pPr>
    <w:rPr>
      <w:rFonts w:ascii="宋体" w:eastAsia="仿宋_GB2312"/>
      <w:bCs/>
    </w:rPr>
  </w:style>
  <w:style w:type="paragraph" w:customStyle="1" w:styleId="200">
    <w:name w:val="Char Char Char Char Char Char Char Char Char Char2"/>
    <w:basedOn w:val="1"/>
    <w:qFormat/>
    <w:uiPriority w:val="0"/>
    <w:pPr>
      <w:spacing w:line="240" w:lineRule="exact"/>
      <w:ind w:firstLine="200" w:firstLineChars="200"/>
    </w:pPr>
    <w:rPr>
      <w:rFonts w:ascii="宋体" w:hAnsi="宋体" w:cs="宋体"/>
    </w:rPr>
  </w:style>
  <w:style w:type="paragraph" w:customStyle="1" w:styleId="201">
    <w:name w:val="表格名称"/>
    <w:basedOn w:val="1"/>
    <w:qFormat/>
    <w:uiPriority w:val="0"/>
    <w:pPr>
      <w:keepNext/>
      <w:keepLines/>
      <w:wordWrap w:val="0"/>
      <w:topLinePunct/>
      <w:autoSpaceDE w:val="0"/>
      <w:autoSpaceDN w:val="0"/>
      <w:adjustRightInd w:val="0"/>
      <w:snapToGrid w:val="0"/>
      <w:ind w:left="-17" w:leftChars="-9" w:firstLine="16" w:firstLineChars="8"/>
      <w:jc w:val="left"/>
    </w:pPr>
    <w:rPr>
      <w:rFonts w:cs="宋体"/>
      <w:b/>
      <w:spacing w:val="-8"/>
      <w:kern w:val="0"/>
      <w:szCs w:val="21"/>
    </w:rPr>
  </w:style>
  <w:style w:type="paragraph" w:customStyle="1" w:styleId="202">
    <w:name w:val="Char Char Char Char Char Char Char"/>
    <w:basedOn w:val="1"/>
    <w:qFormat/>
    <w:uiPriority w:val="0"/>
    <w:pPr>
      <w:keepNext/>
      <w:keepLines/>
      <w:spacing w:before="300" w:after="300" w:line="360" w:lineRule="auto"/>
      <w:jc w:val="center"/>
      <w:outlineLvl w:val="0"/>
    </w:pPr>
    <w:rPr>
      <w:b/>
      <w:kern w:val="44"/>
      <w:sz w:val="36"/>
      <w:szCs w:val="20"/>
    </w:rPr>
  </w:style>
  <w:style w:type="paragraph" w:customStyle="1" w:styleId="203">
    <w:name w:val="我的正文 Char"/>
    <w:basedOn w:val="1"/>
    <w:next w:val="1"/>
    <w:qFormat/>
    <w:uiPriority w:val="0"/>
    <w:pPr>
      <w:numPr>
        <w:ilvl w:val="0"/>
        <w:numId w:val="1"/>
      </w:numPr>
      <w:tabs>
        <w:tab w:val="left" w:pos="420"/>
      </w:tabs>
      <w:spacing w:line="520" w:lineRule="exact"/>
      <w:ind w:firstLine="540" w:firstLineChars="225"/>
    </w:pPr>
  </w:style>
  <w:style w:type="paragraph" w:customStyle="1" w:styleId="204">
    <w:name w:val="xl53"/>
    <w:basedOn w:val="1"/>
    <w:qFormat/>
    <w:uiPriority w:val="0"/>
    <w:pPr>
      <w:widowControl/>
      <w:pBdr>
        <w:left w:val="single" w:color="auto" w:sz="4" w:space="0"/>
        <w:bottom w:val="double" w:color="auto" w:sz="6" w:space="0"/>
      </w:pBdr>
      <w:spacing w:before="100" w:beforeAutospacing="1" w:after="100" w:afterAutospacing="1"/>
      <w:jc w:val="center"/>
      <w:textAlignment w:val="center"/>
    </w:pPr>
    <w:rPr>
      <w:rFonts w:hint="eastAsia" w:ascii="宋体" w:hAnsi="宋体"/>
      <w:kern w:val="0"/>
    </w:rPr>
  </w:style>
  <w:style w:type="paragraph" w:customStyle="1" w:styleId="205">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rPr>
  </w:style>
  <w:style w:type="paragraph" w:customStyle="1" w:styleId="206">
    <w:name w:val="佛山正文"/>
    <w:basedOn w:val="1"/>
    <w:qFormat/>
    <w:uiPriority w:val="0"/>
    <w:pPr>
      <w:snapToGrid w:val="0"/>
      <w:spacing w:line="360" w:lineRule="auto"/>
      <w:ind w:firstLine="480" w:firstLineChars="200"/>
    </w:pPr>
    <w:rPr>
      <w:color w:val="000000"/>
    </w:rPr>
  </w:style>
  <w:style w:type="paragraph" w:customStyle="1" w:styleId="207">
    <w:name w:val="表头样式"/>
    <w:basedOn w:val="1"/>
    <w:qFormat/>
    <w:uiPriority w:val="0"/>
    <w:pPr>
      <w:tabs>
        <w:tab w:val="left" w:pos="3060"/>
      </w:tabs>
      <w:spacing w:beforeLines="50" w:line="420" w:lineRule="exact"/>
      <w:jc w:val="center"/>
    </w:pPr>
    <w:rPr>
      <w:b/>
      <w:szCs w:val="20"/>
    </w:rPr>
  </w:style>
  <w:style w:type="paragraph" w:customStyle="1" w:styleId="208">
    <w:name w:val="样式3"/>
    <w:basedOn w:val="1"/>
    <w:qFormat/>
    <w:uiPriority w:val="0"/>
    <w:pPr>
      <w:spacing w:line="360" w:lineRule="auto"/>
      <w:ind w:firstLine="720" w:firstLineChars="200"/>
    </w:pPr>
  </w:style>
  <w:style w:type="paragraph" w:customStyle="1" w:styleId="209">
    <w:name w:val="Char1 Char Char Char"/>
    <w:basedOn w:val="1"/>
    <w:qFormat/>
    <w:uiPriority w:val="0"/>
    <w:pPr>
      <w:spacing w:line="360" w:lineRule="auto"/>
      <w:ind w:firstLine="200" w:firstLineChars="200"/>
    </w:pPr>
    <w:rPr>
      <w:rFonts w:ascii="宋体" w:hAnsi="宋体" w:cs="宋体"/>
    </w:rPr>
  </w:style>
  <w:style w:type="paragraph" w:customStyle="1" w:styleId="210">
    <w:name w:val="表文"/>
    <w:basedOn w:val="1"/>
    <w:qFormat/>
    <w:uiPriority w:val="0"/>
    <w:pPr>
      <w:tabs>
        <w:tab w:val="left" w:pos="1021"/>
      </w:tabs>
      <w:jc w:val="center"/>
    </w:pPr>
    <w:rPr>
      <w:kern w:val="0"/>
      <w:szCs w:val="21"/>
    </w:rPr>
  </w:style>
  <w:style w:type="paragraph" w:customStyle="1" w:styleId="211">
    <w:name w:val="Char Char Char Char Char Char2 Char"/>
    <w:basedOn w:val="1"/>
    <w:qFormat/>
    <w:uiPriority w:val="0"/>
    <w:pPr>
      <w:spacing w:line="360" w:lineRule="auto"/>
      <w:ind w:firstLine="200" w:firstLineChars="200"/>
    </w:pPr>
    <w:rPr>
      <w:rFonts w:ascii="宋体" w:hAnsi="宋体" w:cs="宋体"/>
    </w:rPr>
  </w:style>
  <w:style w:type="paragraph" w:customStyle="1" w:styleId="212">
    <w:name w:val="msonormal msonormal"/>
    <w:basedOn w:val="1"/>
    <w:qFormat/>
    <w:uiPriority w:val="0"/>
    <w:pPr>
      <w:widowControl/>
      <w:spacing w:before="100" w:beforeAutospacing="1" w:after="100" w:afterAutospacing="1"/>
      <w:jc w:val="left"/>
    </w:pPr>
    <w:rPr>
      <w:rFonts w:ascii="宋体" w:hAnsi="宋体" w:cs="宋体"/>
      <w:kern w:val="0"/>
    </w:rPr>
  </w:style>
  <w:style w:type="paragraph" w:customStyle="1" w:styleId="213">
    <w:name w:val="列出段落1"/>
    <w:basedOn w:val="1"/>
    <w:qFormat/>
    <w:uiPriority w:val="0"/>
    <w:pPr>
      <w:ind w:firstLine="420" w:firstLineChars="200"/>
    </w:pPr>
    <w:rPr>
      <w:rFonts w:ascii="Calibri" w:hAnsi="Calibri" w:cs="黑体"/>
      <w:szCs w:val="22"/>
    </w:rPr>
  </w:style>
  <w:style w:type="paragraph" w:customStyle="1" w:styleId="214">
    <w:name w:val="Char Char Char Char Char Char Char Char Char Char Char Char1 Char"/>
    <w:basedOn w:val="1"/>
    <w:qFormat/>
    <w:uiPriority w:val="0"/>
    <w:pPr>
      <w:spacing w:line="360" w:lineRule="auto"/>
      <w:ind w:firstLine="200" w:firstLineChars="200"/>
    </w:pPr>
    <w:rPr>
      <w:szCs w:val="20"/>
    </w:rPr>
  </w:style>
  <w:style w:type="paragraph" w:customStyle="1" w:styleId="215">
    <w:name w:val="Char Char Char Char Char Char Char Char Char Char1"/>
    <w:basedOn w:val="1"/>
    <w:qFormat/>
    <w:uiPriority w:val="0"/>
    <w:pPr>
      <w:adjustRightInd w:val="0"/>
      <w:spacing w:line="360" w:lineRule="auto"/>
    </w:pPr>
    <w:rPr>
      <w:kern w:val="0"/>
      <w:szCs w:val="20"/>
    </w:rPr>
  </w:style>
  <w:style w:type="paragraph" w:customStyle="1" w:styleId="216">
    <w:name w:val="默认段落字体 Para Char Char"/>
    <w:basedOn w:val="1"/>
    <w:qFormat/>
    <w:uiPriority w:val="0"/>
    <w:pPr>
      <w:spacing w:line="240" w:lineRule="atLeast"/>
      <w:ind w:left="420" w:firstLine="420"/>
    </w:pPr>
    <w:rPr>
      <w:szCs w:val="20"/>
    </w:rPr>
  </w:style>
  <w:style w:type="paragraph" w:customStyle="1" w:styleId="217">
    <w:name w:val="样式 标题 1 + 首行缩进:  0.05 厘米"/>
    <w:basedOn w:val="8"/>
    <w:qFormat/>
    <w:uiPriority w:val="0"/>
    <w:pPr>
      <w:keepLines/>
      <w:overflowPunct/>
      <w:snapToGrid/>
      <w:spacing w:before="340" w:after="330" w:line="578" w:lineRule="auto"/>
      <w:ind w:left="0" w:firstLine="28"/>
      <w:jc w:val="center"/>
    </w:pPr>
    <w:rPr>
      <w:rFonts w:eastAsia="宋体" w:cs="宋体"/>
      <w:color w:val="auto"/>
      <w:sz w:val="44"/>
      <w:szCs w:val="20"/>
    </w:rPr>
  </w:style>
  <w:style w:type="paragraph" w:customStyle="1" w:styleId="218">
    <w:name w:val="样式2"/>
    <w:basedOn w:val="16"/>
    <w:qFormat/>
    <w:uiPriority w:val="0"/>
    <w:pPr>
      <w:snapToGrid w:val="0"/>
      <w:spacing w:line="300" w:lineRule="auto"/>
      <w:ind w:firstLine="480" w:firstLineChars="200"/>
    </w:pPr>
    <w:rPr>
      <w:rFonts w:ascii="宋体" w:hAnsi="宋体"/>
      <w:snapToGrid w:val="0"/>
      <w:color w:val="000000"/>
      <w:sz w:val="24"/>
      <w:szCs w:val="21"/>
    </w:rPr>
  </w:style>
  <w:style w:type="paragraph" w:customStyle="1" w:styleId="219">
    <w:name w:val="样式 小四 首行缩进:  1.11 厘米 行距: 1.5 倍行距"/>
    <w:basedOn w:val="1"/>
    <w:qFormat/>
    <w:uiPriority w:val="0"/>
    <w:pPr>
      <w:spacing w:line="360" w:lineRule="auto"/>
      <w:ind w:firstLine="632"/>
    </w:pPr>
    <w:rPr>
      <w:rFonts w:cs="宋体"/>
      <w:szCs w:val="20"/>
    </w:rPr>
  </w:style>
  <w:style w:type="paragraph" w:customStyle="1" w:styleId="220">
    <w:name w:val="表文2"/>
    <w:basedOn w:val="1"/>
    <w:qFormat/>
    <w:uiPriority w:val="0"/>
    <w:pPr>
      <w:overflowPunct w:val="0"/>
      <w:autoSpaceDE w:val="0"/>
      <w:autoSpaceDN w:val="0"/>
      <w:adjustRightInd w:val="0"/>
      <w:spacing w:line="240" w:lineRule="atLeast"/>
      <w:jc w:val="center"/>
      <w:textAlignment w:val="baseline"/>
    </w:pPr>
    <w:rPr>
      <w:kern w:val="0"/>
      <w:lang w:val="sq-AL"/>
    </w:rPr>
  </w:style>
  <w:style w:type="paragraph" w:customStyle="1" w:styleId="221">
    <w:name w:val="TT表格文字"/>
    <w:basedOn w:val="1"/>
    <w:qFormat/>
    <w:uiPriority w:val="0"/>
    <w:pPr>
      <w:autoSpaceDE w:val="0"/>
      <w:autoSpaceDN w:val="0"/>
      <w:adjustRightInd w:val="0"/>
      <w:jc w:val="center"/>
    </w:pPr>
    <w:rPr>
      <w:color w:val="000000"/>
      <w:szCs w:val="21"/>
    </w:rPr>
  </w:style>
  <w:style w:type="paragraph" w:customStyle="1" w:styleId="222">
    <w:name w:val="Char Char Char1 Char Char Char Char Char Char Char Char Char Char Char Char Char Char Char Char Char Char Char"/>
    <w:basedOn w:val="1"/>
    <w:qFormat/>
    <w:uiPriority w:val="0"/>
    <w:pPr>
      <w:tabs>
        <w:tab w:val="left" w:pos="360"/>
      </w:tabs>
      <w:spacing w:line="360" w:lineRule="auto"/>
      <w:ind w:firstLine="482"/>
    </w:pPr>
    <w:rPr>
      <w:rFonts w:ascii="Tahoma" w:hAnsi="Tahoma" w:eastAsia="黑体"/>
      <w:szCs w:val="21"/>
    </w:rPr>
  </w:style>
  <w:style w:type="paragraph" w:customStyle="1" w:styleId="223">
    <w:name w:val="3 Char"/>
    <w:basedOn w:val="1"/>
    <w:qFormat/>
    <w:uiPriority w:val="0"/>
    <w:rPr>
      <w:szCs w:val="21"/>
    </w:rPr>
  </w:style>
  <w:style w:type="paragraph" w:customStyle="1" w:styleId="224">
    <w:name w:val="样式 表格名称"/>
    <w:basedOn w:val="201"/>
    <w:qFormat/>
    <w:uiPriority w:val="0"/>
    <w:pPr>
      <w:ind w:left="0" w:leftChars="0" w:firstLine="0" w:firstLineChars="0"/>
      <w:jc w:val="center"/>
    </w:pPr>
    <w:rPr>
      <w:bCs/>
      <w:szCs w:val="20"/>
    </w:rPr>
  </w:style>
  <w:style w:type="paragraph" w:customStyle="1" w:styleId="225">
    <w:name w:val="样式 正文文字缩进 2 + (符号) 宋体 小四 首行缩进:  2 字符"/>
    <w:basedOn w:val="1"/>
    <w:qFormat/>
    <w:uiPriority w:val="0"/>
    <w:pPr>
      <w:adjustRightInd w:val="0"/>
      <w:snapToGrid w:val="0"/>
      <w:spacing w:line="360" w:lineRule="auto"/>
      <w:ind w:firstLine="480" w:firstLineChars="200"/>
    </w:pPr>
    <w:rPr>
      <w:rFonts w:ascii="宋体" w:hAnsi="宋体" w:cs="宋体"/>
    </w:rPr>
  </w:style>
  <w:style w:type="paragraph" w:customStyle="1" w:styleId="226">
    <w:name w:val="样式 正 文 + 首行缩进:  2 字符"/>
    <w:basedOn w:val="127"/>
    <w:qFormat/>
    <w:uiPriority w:val="0"/>
    <w:pPr>
      <w:ind w:firstLine="512"/>
    </w:pPr>
    <w:rPr>
      <w:rFonts w:cs="宋体"/>
      <w:szCs w:val="20"/>
    </w:rPr>
  </w:style>
  <w:style w:type="character" w:customStyle="1" w:styleId="227">
    <w:name w:val="魏秀珍  报告正文1 Char Char"/>
    <w:link w:val="228"/>
    <w:qFormat/>
    <w:uiPriority w:val="0"/>
    <w:rPr>
      <w:rFonts w:ascii="宋体"/>
      <w:sz w:val="24"/>
    </w:rPr>
  </w:style>
  <w:style w:type="paragraph" w:customStyle="1" w:styleId="228">
    <w:name w:val="魏秀珍  报告正文1"/>
    <w:basedOn w:val="1"/>
    <w:link w:val="227"/>
    <w:qFormat/>
    <w:uiPriority w:val="0"/>
    <w:pPr>
      <w:adjustRightInd w:val="0"/>
      <w:snapToGrid w:val="0"/>
      <w:spacing w:line="360" w:lineRule="auto"/>
      <w:ind w:firstLine="200" w:firstLineChars="200"/>
    </w:pPr>
    <w:rPr>
      <w:rFonts w:ascii="宋体"/>
      <w:kern w:val="0"/>
      <w:szCs w:val="20"/>
    </w:rPr>
  </w:style>
  <w:style w:type="paragraph" w:customStyle="1" w:styleId="229">
    <w:name w:val="_Style 5"/>
    <w:basedOn w:val="1"/>
    <w:qFormat/>
    <w:uiPriority w:val="0"/>
  </w:style>
  <w:style w:type="paragraph" w:customStyle="1" w:styleId="230">
    <w:name w:val="cb正文"/>
    <w:basedOn w:val="1"/>
    <w:qFormat/>
    <w:uiPriority w:val="0"/>
    <w:pPr>
      <w:adjustRightInd w:val="0"/>
      <w:snapToGrid w:val="0"/>
      <w:spacing w:line="500" w:lineRule="exact"/>
    </w:pPr>
    <w:rPr>
      <w:snapToGrid w:val="0"/>
      <w:kern w:val="0"/>
      <w:sz w:val="28"/>
      <w:szCs w:val="20"/>
    </w:rPr>
  </w:style>
  <w:style w:type="paragraph" w:customStyle="1" w:styleId="231">
    <w:name w:val="a1"/>
    <w:basedOn w:val="1"/>
    <w:qFormat/>
    <w:uiPriority w:val="0"/>
    <w:pPr>
      <w:spacing w:line="480" w:lineRule="exact"/>
      <w:ind w:firstLine="480" w:firstLineChars="200"/>
    </w:pPr>
    <w:rPr>
      <w:kern w:val="0"/>
    </w:rPr>
  </w:style>
  <w:style w:type="paragraph" w:customStyle="1" w:styleId="232">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233">
    <w:name w:val="Char2"/>
    <w:basedOn w:val="1"/>
    <w:qFormat/>
    <w:uiPriority w:val="0"/>
    <w:pPr>
      <w:widowControl/>
      <w:jc w:val="left"/>
    </w:pPr>
    <w:rPr>
      <w:kern w:val="0"/>
      <w:sz w:val="20"/>
      <w:szCs w:val="20"/>
    </w:rPr>
  </w:style>
  <w:style w:type="character" w:customStyle="1" w:styleId="234">
    <w:name w:val="正文001 Char Char"/>
    <w:link w:val="235"/>
    <w:qFormat/>
    <w:uiPriority w:val="0"/>
    <w:rPr>
      <w:sz w:val="24"/>
    </w:rPr>
  </w:style>
  <w:style w:type="paragraph" w:customStyle="1" w:styleId="235">
    <w:name w:val="正文001"/>
    <w:basedOn w:val="1"/>
    <w:link w:val="234"/>
    <w:qFormat/>
    <w:uiPriority w:val="0"/>
    <w:pPr>
      <w:spacing w:before="60" w:line="420" w:lineRule="exact"/>
      <w:ind w:firstLine="482"/>
    </w:pPr>
    <w:rPr>
      <w:kern w:val="0"/>
      <w:szCs w:val="20"/>
    </w:rPr>
  </w:style>
  <w:style w:type="paragraph" w:customStyle="1" w:styleId="236">
    <w:name w:val="三级"/>
    <w:basedOn w:val="1"/>
    <w:qFormat/>
    <w:uiPriority w:val="0"/>
    <w:pPr>
      <w:spacing w:line="360" w:lineRule="auto"/>
      <w:jc w:val="left"/>
      <w:outlineLvl w:val="2"/>
    </w:pPr>
    <w:rPr>
      <w:b/>
      <w:kern w:val="0"/>
      <w:sz w:val="28"/>
      <w:szCs w:val="21"/>
    </w:rPr>
  </w:style>
  <w:style w:type="character" w:customStyle="1" w:styleId="237">
    <w:name w:val="纯文本 Char"/>
    <w:qFormat/>
    <w:uiPriority w:val="0"/>
    <w:rPr>
      <w:rFonts w:ascii="宋体" w:hAnsi="Courier New" w:eastAsia="宋体"/>
      <w:kern w:val="2"/>
      <w:sz w:val="21"/>
      <w:lang w:val="en-US" w:eastAsia="zh-CN" w:bidi="ar-SA"/>
    </w:rPr>
  </w:style>
  <w:style w:type="paragraph" w:customStyle="1" w:styleId="238">
    <w:name w:val="xl37"/>
    <w:basedOn w:val="1"/>
    <w:qFormat/>
    <w:uiPriority w:val="0"/>
    <w:pPr>
      <w:widowControl/>
      <w:spacing w:before="100" w:beforeAutospacing="1" w:after="100" w:afterAutospacing="1"/>
      <w:jc w:val="center"/>
    </w:pPr>
    <w:rPr>
      <w:rFonts w:ascii="宋体" w:hAnsi="宋体" w:eastAsia="仿宋_GB2312"/>
      <w:kern w:val="0"/>
    </w:rPr>
  </w:style>
  <w:style w:type="paragraph" w:customStyle="1" w:styleId="239">
    <w:name w:val="环评正文"/>
    <w:basedOn w:val="1"/>
    <w:qFormat/>
    <w:uiPriority w:val="0"/>
    <w:pPr>
      <w:spacing w:beforeLines="30"/>
      <w:ind w:firstLine="480" w:firstLineChars="200"/>
    </w:pPr>
    <w:rPr>
      <w:rFonts w:ascii="Tahoma" w:hAnsi="Tahoma" w:cs="Tahoma"/>
      <w:kern w:val="0"/>
      <w:szCs w:val="20"/>
    </w:rPr>
  </w:style>
  <w:style w:type="paragraph" w:customStyle="1" w:styleId="240">
    <w:name w:val="内表头"/>
    <w:basedOn w:val="1"/>
    <w:qFormat/>
    <w:uiPriority w:val="0"/>
    <w:pPr>
      <w:adjustRightInd w:val="0"/>
      <w:snapToGrid w:val="0"/>
      <w:jc w:val="center"/>
    </w:pPr>
    <w:rPr>
      <w:rFonts w:eastAsia="黑体" w:cs="Arial"/>
      <w:sz w:val="20"/>
    </w:rPr>
  </w:style>
  <w:style w:type="paragraph" w:customStyle="1" w:styleId="241">
    <w:name w:val="1文章"/>
    <w:basedOn w:val="1"/>
    <w:qFormat/>
    <w:uiPriority w:val="0"/>
    <w:pPr>
      <w:snapToGrid w:val="0"/>
      <w:spacing w:line="360" w:lineRule="auto"/>
      <w:ind w:firstLine="573"/>
    </w:pPr>
    <w:rPr>
      <w:rFonts w:ascii="宋体" w:eastAsia="仿宋_GB2312"/>
      <w:kern w:val="0"/>
      <w:sz w:val="28"/>
      <w:szCs w:val="20"/>
    </w:rPr>
  </w:style>
  <w:style w:type="character" w:customStyle="1" w:styleId="242">
    <w:name w:val="标题 3 字符1"/>
    <w:qFormat/>
    <w:uiPriority w:val="0"/>
    <w:rPr>
      <w:rFonts w:ascii="Times New Roman" w:hAnsi="Times New Roman" w:eastAsia="宋体" w:cs="Times New Roman"/>
      <w:b/>
      <w:bCs/>
      <w:sz w:val="32"/>
      <w:szCs w:val="32"/>
    </w:rPr>
  </w:style>
  <w:style w:type="character" w:customStyle="1" w:styleId="243">
    <w:name w:val="报告书正文 Char"/>
    <w:link w:val="244"/>
    <w:qFormat/>
    <w:uiPriority w:val="0"/>
    <w:rPr>
      <w:sz w:val="24"/>
    </w:rPr>
  </w:style>
  <w:style w:type="paragraph" w:customStyle="1" w:styleId="244">
    <w:name w:val="报告书正文"/>
    <w:basedOn w:val="1"/>
    <w:link w:val="243"/>
    <w:qFormat/>
    <w:uiPriority w:val="0"/>
    <w:pPr>
      <w:spacing w:line="300" w:lineRule="auto"/>
      <w:ind w:firstLine="200" w:firstLineChars="200"/>
    </w:pPr>
    <w:rPr>
      <w:kern w:val="0"/>
      <w:szCs w:val="20"/>
    </w:rPr>
  </w:style>
  <w:style w:type="character" w:customStyle="1" w:styleId="245">
    <w:name w:val="表头2 Char"/>
    <w:link w:val="246"/>
    <w:qFormat/>
    <w:uiPriority w:val="0"/>
    <w:rPr>
      <w:b/>
    </w:rPr>
  </w:style>
  <w:style w:type="paragraph" w:customStyle="1" w:styleId="246">
    <w:name w:val="表头2"/>
    <w:basedOn w:val="1"/>
    <w:link w:val="245"/>
    <w:qFormat/>
    <w:uiPriority w:val="0"/>
    <w:pPr>
      <w:spacing w:line="360" w:lineRule="auto"/>
      <w:ind w:firstLine="200" w:firstLineChars="200"/>
      <w:jc w:val="center"/>
    </w:pPr>
    <w:rPr>
      <w:b/>
      <w:kern w:val="0"/>
      <w:sz w:val="20"/>
      <w:szCs w:val="20"/>
    </w:rPr>
  </w:style>
  <w:style w:type="paragraph" w:customStyle="1" w:styleId="247">
    <w:name w:val="Char1"/>
    <w:basedOn w:val="1"/>
    <w:qFormat/>
    <w:uiPriority w:val="0"/>
    <w:pPr>
      <w:keepNext/>
      <w:keepLines/>
      <w:tabs>
        <w:tab w:val="left" w:pos="2160"/>
      </w:tabs>
      <w:adjustRightInd w:val="0"/>
      <w:snapToGrid w:val="0"/>
      <w:spacing w:before="120" w:after="120" w:line="360" w:lineRule="auto"/>
      <w:ind w:left="2160" w:hanging="420"/>
      <w:outlineLvl w:val="3"/>
    </w:pPr>
    <w:rPr>
      <w:rFonts w:ascii="Calibri" w:hAnsi="Calibri"/>
    </w:rPr>
  </w:style>
  <w:style w:type="character" w:customStyle="1" w:styleId="248">
    <w:name w:val="content1"/>
    <w:qFormat/>
    <w:uiPriority w:val="0"/>
    <w:rPr>
      <w:color w:val="000000"/>
      <w:sz w:val="20"/>
      <w:szCs w:val="20"/>
    </w:rPr>
  </w:style>
  <w:style w:type="paragraph" w:customStyle="1" w:styleId="249">
    <w:name w:val="正文01"/>
    <w:basedOn w:val="1"/>
    <w:qFormat/>
    <w:uiPriority w:val="99"/>
    <w:pPr>
      <w:spacing w:line="360" w:lineRule="auto"/>
      <w:ind w:firstLine="200" w:firstLineChars="200"/>
    </w:pPr>
    <w:rPr>
      <w:sz w:val="28"/>
      <w:szCs w:val="28"/>
    </w:rPr>
  </w:style>
  <w:style w:type="paragraph" w:customStyle="1" w:styleId="250">
    <w:name w:val="表格题注"/>
    <w:qFormat/>
    <w:uiPriority w:val="99"/>
    <w:pPr>
      <w:jc w:val="center"/>
    </w:pPr>
    <w:rPr>
      <w:rFonts w:ascii="Times New Roman" w:hAnsi="Times New Roman" w:eastAsia="宋体" w:cs="Times New Roman"/>
      <w:b/>
      <w:bCs/>
      <w:sz w:val="21"/>
      <w:szCs w:val="21"/>
      <w:lang w:val="en-US" w:eastAsia="zh-CN" w:bidi="ar-SA"/>
    </w:rPr>
  </w:style>
  <w:style w:type="paragraph" w:customStyle="1" w:styleId="251">
    <w:name w:val="表头LB"/>
    <w:basedOn w:val="1"/>
    <w:qFormat/>
    <w:uiPriority w:val="99"/>
    <w:pPr>
      <w:spacing w:line="360" w:lineRule="auto"/>
      <w:jc w:val="center"/>
    </w:pPr>
    <w:rPr>
      <w:rFonts w:ascii="宋体" w:hAnsi="宋体" w:cs="宋体"/>
      <w:b/>
      <w:bCs/>
    </w:rPr>
  </w:style>
  <w:style w:type="paragraph" w:customStyle="1" w:styleId="252">
    <w:name w:val="表格居中"/>
    <w:basedOn w:val="1"/>
    <w:qFormat/>
    <w:uiPriority w:val="99"/>
    <w:pPr>
      <w:spacing w:line="320" w:lineRule="exact"/>
      <w:jc w:val="center"/>
    </w:pPr>
    <w:rPr>
      <w:szCs w:val="21"/>
    </w:rPr>
  </w:style>
  <w:style w:type="paragraph" w:customStyle="1" w:styleId="253">
    <w:name w:val="表格内容"/>
    <w:basedOn w:val="16"/>
    <w:next w:val="254"/>
    <w:link w:val="255"/>
    <w:qFormat/>
    <w:uiPriority w:val="0"/>
    <w:pPr>
      <w:jc w:val="center"/>
    </w:pPr>
    <w:rPr>
      <w:szCs w:val="21"/>
    </w:rPr>
  </w:style>
  <w:style w:type="paragraph" w:customStyle="1" w:styleId="254">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255">
    <w:name w:val="表格内容 Char"/>
    <w:link w:val="253"/>
    <w:qFormat/>
    <w:uiPriority w:val="0"/>
    <w:rPr>
      <w:kern w:val="2"/>
      <w:sz w:val="21"/>
      <w:szCs w:val="21"/>
    </w:rPr>
  </w:style>
  <w:style w:type="paragraph" w:customStyle="1" w:styleId="256">
    <w:name w:val="表题"/>
    <w:basedOn w:val="1"/>
    <w:qFormat/>
    <w:uiPriority w:val="0"/>
    <w:pPr>
      <w:spacing w:before="62" w:beforeLines="20" w:after="62" w:afterLines="20"/>
      <w:jc w:val="center"/>
    </w:pPr>
    <w:rPr>
      <w:b/>
      <w:kern w:val="0"/>
      <w:szCs w:val="21"/>
    </w:rPr>
  </w:style>
  <w:style w:type="paragraph" w:customStyle="1" w:styleId="257">
    <w:name w:val="3"/>
    <w:basedOn w:val="1"/>
    <w:qFormat/>
    <w:uiPriority w:val="0"/>
    <w:pPr>
      <w:tabs>
        <w:tab w:val="left" w:pos="840"/>
      </w:tabs>
      <w:spacing w:line="360" w:lineRule="auto"/>
      <w:ind w:left="480"/>
      <w:outlineLvl w:val="1"/>
    </w:pPr>
    <w:rPr>
      <w:b/>
    </w:rPr>
  </w:style>
  <w:style w:type="character" w:customStyle="1" w:styleId="258">
    <w:name w:val="表标题 Char"/>
    <w:link w:val="259"/>
    <w:qFormat/>
    <w:uiPriority w:val="0"/>
    <w:rPr>
      <w:b/>
    </w:rPr>
  </w:style>
  <w:style w:type="paragraph" w:customStyle="1" w:styleId="259">
    <w:name w:val="表标题"/>
    <w:basedOn w:val="1"/>
    <w:link w:val="258"/>
    <w:qFormat/>
    <w:uiPriority w:val="0"/>
    <w:pPr>
      <w:jc w:val="center"/>
    </w:pPr>
    <w:rPr>
      <w:b/>
      <w:kern w:val="0"/>
      <w:sz w:val="20"/>
      <w:szCs w:val="20"/>
    </w:rPr>
  </w:style>
  <w:style w:type="paragraph" w:customStyle="1" w:styleId="260">
    <w:name w:val="标题二级"/>
    <w:basedOn w:val="1"/>
    <w:qFormat/>
    <w:uiPriority w:val="0"/>
    <w:pPr>
      <w:spacing w:line="360" w:lineRule="auto"/>
      <w:ind w:firstLine="720" w:firstLineChars="200"/>
      <w:jc w:val="left"/>
    </w:pPr>
    <w:rPr>
      <w:b/>
    </w:rPr>
  </w:style>
  <w:style w:type="paragraph" w:customStyle="1" w:styleId="261">
    <w:name w:val="333"/>
    <w:basedOn w:val="1"/>
    <w:qFormat/>
    <w:uiPriority w:val="0"/>
    <w:pPr>
      <w:numPr>
        <w:ilvl w:val="0"/>
        <w:numId w:val="3"/>
      </w:numPr>
      <w:spacing w:line="360" w:lineRule="auto"/>
    </w:pPr>
    <w:rPr>
      <w:b/>
    </w:rPr>
  </w:style>
  <w:style w:type="paragraph" w:customStyle="1" w:styleId="262">
    <w:name w:val="Char Char1 Char"/>
    <w:basedOn w:val="1"/>
    <w:qFormat/>
    <w:uiPriority w:val="0"/>
    <w:rPr>
      <w:rFonts w:eastAsia="Times New Roman"/>
      <w:kern w:val="0"/>
      <w:sz w:val="20"/>
      <w:szCs w:val="20"/>
    </w:rPr>
  </w:style>
  <w:style w:type="character" w:customStyle="1" w:styleId="263">
    <w:name w:val="正文首行缩进 Char"/>
    <w:qFormat/>
    <w:uiPriority w:val="0"/>
    <w:rPr>
      <w:kern w:val="2"/>
      <w:sz w:val="21"/>
      <w:szCs w:val="24"/>
    </w:rPr>
  </w:style>
  <w:style w:type="character" w:customStyle="1" w:styleId="264">
    <w:name w:val="报告正文 Char Char"/>
    <w:link w:val="265"/>
    <w:qFormat/>
    <w:uiPriority w:val="0"/>
    <w:rPr>
      <w:sz w:val="24"/>
    </w:rPr>
  </w:style>
  <w:style w:type="paragraph" w:customStyle="1" w:styleId="265">
    <w:name w:val="报告正文"/>
    <w:basedOn w:val="1"/>
    <w:link w:val="264"/>
    <w:qFormat/>
    <w:uiPriority w:val="0"/>
    <w:pPr>
      <w:spacing w:line="360" w:lineRule="auto"/>
      <w:ind w:firstLine="1040" w:firstLineChars="200"/>
    </w:pPr>
    <w:rPr>
      <w:kern w:val="0"/>
      <w:szCs w:val="20"/>
    </w:rPr>
  </w:style>
  <w:style w:type="character" w:customStyle="1" w:styleId="266">
    <w:name w:val="样式 样式 样式 样式 小四 左 首行缩进:  2 字符 + 首行缩进:  2 字符 Char + 右  0 字符1 + 首行缩...3 Char"/>
    <w:link w:val="267"/>
    <w:qFormat/>
    <w:uiPriority w:val="0"/>
    <w:rPr>
      <w:kern w:val="2"/>
      <w:sz w:val="24"/>
    </w:rPr>
  </w:style>
  <w:style w:type="paragraph" w:customStyle="1" w:styleId="267">
    <w:name w:val="样式 样式 样式 样式 小四 左 首行缩进:  2 字符 + 首行缩进:  2 字符 Char + 右  0 字符1 + 首行缩...3"/>
    <w:basedOn w:val="1"/>
    <w:link w:val="266"/>
    <w:qFormat/>
    <w:uiPriority w:val="0"/>
    <w:pPr>
      <w:adjustRightInd w:val="0"/>
      <w:spacing w:line="360" w:lineRule="auto"/>
      <w:ind w:firstLine="480" w:firstLineChars="200"/>
      <w:jc w:val="left"/>
      <w:textAlignment w:val="baseline"/>
    </w:pPr>
    <w:rPr>
      <w:szCs w:val="20"/>
    </w:rPr>
  </w:style>
  <w:style w:type="paragraph" w:customStyle="1" w:styleId="268">
    <w:name w:val="九晟正文"/>
    <w:basedOn w:val="1"/>
    <w:qFormat/>
    <w:uiPriority w:val="0"/>
    <w:pPr>
      <w:spacing w:line="360" w:lineRule="auto"/>
      <w:ind w:firstLine="480" w:firstLineChars="200"/>
      <w:jc w:val="left"/>
    </w:pPr>
  </w:style>
  <w:style w:type="paragraph" w:customStyle="1" w:styleId="269">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270">
    <w:name w:val="表格内格式"/>
    <w:basedOn w:val="253"/>
    <w:next w:val="271"/>
    <w:qFormat/>
    <w:uiPriority w:val="0"/>
    <w:pPr>
      <w:widowControl/>
      <w:spacing w:line="360" w:lineRule="exact"/>
    </w:pPr>
    <w:rPr>
      <w:kern w:val="0"/>
    </w:rPr>
  </w:style>
  <w:style w:type="paragraph" w:customStyle="1" w:styleId="271">
    <w:name w:val="（正文）"/>
    <w:basedOn w:val="27"/>
    <w:qFormat/>
    <w:uiPriority w:val="0"/>
    <w:pPr>
      <w:spacing w:line="360" w:lineRule="auto"/>
      <w:ind w:firstLine="480"/>
    </w:pPr>
    <w:rPr>
      <w:rFonts w:cs="Courier New"/>
      <w:sz w:val="24"/>
    </w:rPr>
  </w:style>
  <w:style w:type="paragraph" w:customStyle="1" w:styleId="272">
    <w:name w:val="表格正文"/>
    <w:basedOn w:val="1"/>
    <w:qFormat/>
    <w:uiPriority w:val="0"/>
    <w:pPr>
      <w:jc w:val="center"/>
    </w:pPr>
    <w:rPr>
      <w:sz w:val="21"/>
    </w:rPr>
  </w:style>
  <w:style w:type="paragraph" w:customStyle="1" w:styleId="273">
    <w:name w:val="A0正文"/>
    <w:basedOn w:val="1"/>
    <w:qFormat/>
    <w:uiPriority w:val="0"/>
    <w:pPr>
      <w:spacing w:line="360" w:lineRule="auto"/>
      <w:ind w:firstLine="200" w:firstLineChars="200"/>
    </w:pPr>
    <w:rPr>
      <w:rFonts w:cs="宋体"/>
      <w:szCs w:val="20"/>
      <w:lang w:val="zh-CN"/>
    </w:rPr>
  </w:style>
  <w:style w:type="paragraph" w:customStyle="1" w:styleId="274">
    <w:name w:val="表内容"/>
    <w:basedOn w:val="1"/>
    <w:next w:val="1"/>
    <w:qFormat/>
    <w:uiPriority w:val="1"/>
    <w:pPr>
      <w:spacing w:line="320" w:lineRule="exact"/>
      <w:jc w:val="center"/>
    </w:pPr>
    <w:rPr>
      <w:szCs w:val="20"/>
    </w:rPr>
  </w:style>
  <w:style w:type="paragraph" w:customStyle="1" w:styleId="275">
    <w:name w:val="正文首行缩进2个字"/>
    <w:basedOn w:val="1"/>
    <w:qFormat/>
    <w:uiPriority w:val="0"/>
    <w:pPr>
      <w:spacing w:line="360" w:lineRule="auto"/>
      <w:ind w:firstLine="200" w:firstLineChars="200"/>
    </w:pPr>
    <w:rPr>
      <w:spacing w:val="3"/>
    </w:rPr>
  </w:style>
  <w:style w:type="paragraph" w:customStyle="1" w:styleId="276">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277">
    <w:name w:val="WPSOffice手动目录 1"/>
    <w:qFormat/>
    <w:uiPriority w:val="0"/>
    <w:pPr>
      <w:ind w:leftChars="0"/>
    </w:pPr>
    <w:rPr>
      <w:rFonts w:ascii="Times New Roman" w:hAnsi="Times New Roman" w:eastAsia="宋体" w:cs="Times New Roman"/>
      <w:sz w:val="20"/>
      <w:szCs w:val="20"/>
    </w:rPr>
  </w:style>
  <w:style w:type="paragraph" w:customStyle="1" w:styleId="278">
    <w:name w:val="表头-易恒"/>
    <w:basedOn w:val="279"/>
    <w:next w:val="279"/>
    <w:qFormat/>
    <w:uiPriority w:val="0"/>
    <w:pPr>
      <w:spacing w:before="50" w:beforeLines="50" w:line="240" w:lineRule="auto"/>
      <w:ind w:firstLine="0" w:firstLineChars="0"/>
      <w:jc w:val="center"/>
    </w:pPr>
    <w:rPr>
      <w:b/>
    </w:rPr>
  </w:style>
  <w:style w:type="paragraph" w:customStyle="1" w:styleId="279">
    <w:name w:val="正文-易恒"/>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80">
    <w:name w:val="表格-易恒1"/>
    <w:basedOn w:val="1"/>
    <w:qFormat/>
    <w:uiPriority w:val="0"/>
    <w:pPr>
      <w:jc w:val="center"/>
    </w:pPr>
    <w:rPr>
      <w:rFonts w:ascii="Times New Roman" w:hAnsi="Times New Roman" w:eastAsia="宋体"/>
      <w:szCs w:val="32"/>
    </w:rPr>
  </w:style>
  <w:style w:type="paragraph" w:customStyle="1" w:styleId="281">
    <w:name w:val="表内格式"/>
    <w:basedOn w:val="1"/>
    <w:qFormat/>
    <w:uiPriority w:val="0"/>
    <w:pPr>
      <w:spacing w:line="240" w:lineRule="auto"/>
      <w:ind w:firstLine="0" w:firstLineChars="0"/>
      <w:jc w:val="center"/>
    </w:pPr>
    <w:rPr>
      <w:sz w:val="18"/>
      <w:szCs w:val="20"/>
      <w:lang w:val="zh-CN"/>
    </w:rPr>
  </w:style>
  <w:style w:type="paragraph" w:customStyle="1" w:styleId="282">
    <w:name w:val="表格-易恒"/>
    <w:basedOn w:val="22"/>
    <w:qFormat/>
    <w:uiPriority w:val="1"/>
    <w:pPr>
      <w:spacing w:after="0" w:line="240" w:lineRule="auto"/>
      <w:ind w:firstLine="0" w:firstLineChars="0"/>
      <w:jc w:val="center"/>
    </w:pPr>
    <w:rPr>
      <w:sz w:val="21"/>
      <w:szCs w:val="21"/>
    </w:rPr>
  </w:style>
  <w:style w:type="character" w:customStyle="1" w:styleId="283">
    <w:name w:val="ggzbt011"/>
    <w:basedOn w:val="45"/>
    <w:qFormat/>
    <w:uiPriority w:val="0"/>
  </w:style>
  <w:style w:type="paragraph" w:customStyle="1" w:styleId="284">
    <w:name w:val="制表格"/>
    <w:basedOn w:val="1"/>
    <w:qFormat/>
    <w:uiPriority w:val="0"/>
    <w:pPr>
      <w:jc w:val="center"/>
    </w:pPr>
    <w:rPr>
      <w:rFonts w:ascii="Times New Roman" w:hAnsi="Times New Roman" w:eastAsia="宋体" w:cs="Times New Roman"/>
      <w:snapToGrid w:val="0"/>
      <w:kern w:val="0"/>
      <w:szCs w:val="28"/>
    </w:rPr>
  </w:style>
  <w:style w:type="paragraph" w:customStyle="1" w:styleId="285">
    <w:name w:val="样式 样式 样式 小四 首行缩进:  2.25 字符 + 首行缩进:  2.25 字符 + 首行缩进:  2 字符"/>
    <w:basedOn w:val="1"/>
    <w:qFormat/>
    <w:uiPriority w:val="0"/>
    <w:pPr>
      <w:spacing w:line="440" w:lineRule="exact"/>
      <w:ind w:firstLine="200" w:firstLineChars="200"/>
    </w:pPr>
    <w:rPr>
      <w:rFonts w:ascii="Times New Roman" w:hAnsi="Times New Roman" w:eastAsia="宋体" w:cs="Times New Roman"/>
      <w:sz w:val="24"/>
      <w:szCs w:val="24"/>
    </w:rPr>
  </w:style>
  <w:style w:type="paragraph" w:customStyle="1" w:styleId="286">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287">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288">
    <w:name w:val="表头样式1"/>
    <w:basedOn w:val="1"/>
    <w:qFormat/>
    <w:uiPriority w:val="0"/>
    <w:pPr>
      <w:adjustRightInd/>
      <w:snapToGrid/>
      <w:spacing w:after="80" w:line="480" w:lineRule="atLeast"/>
      <w:ind w:firstLine="0" w:firstLineChars="0"/>
      <w:jc w:val="center"/>
    </w:pPr>
    <w:rPr>
      <w:rFonts w:eastAsia="黑体"/>
      <w:b/>
      <w:szCs w:val="20"/>
    </w:rPr>
  </w:style>
  <w:style w:type="paragraph" w:customStyle="1" w:styleId="289">
    <w:name w:val="表内文字"/>
    <w:basedOn w:val="1"/>
    <w:next w:val="1"/>
    <w:qFormat/>
    <w:uiPriority w:val="0"/>
    <w:pPr>
      <w:widowControl/>
      <w:tabs>
        <w:tab w:val="left" w:pos="3345"/>
      </w:tabs>
      <w:adjustRightInd w:val="0"/>
      <w:snapToGrid w:val="0"/>
      <w:jc w:val="center"/>
    </w:pPr>
    <w:rPr>
      <w:iCs/>
      <w:kern w:val="0"/>
      <w:szCs w:val="18"/>
    </w:rPr>
  </w:style>
  <w:style w:type="paragraph" w:customStyle="1" w:styleId="290">
    <w:name w:val="正文文本首行缩进B"/>
    <w:basedOn w:val="22"/>
    <w:qFormat/>
    <w:locked/>
    <w:uiPriority w:val="0"/>
    <w:pPr>
      <w:widowControl w:val="0"/>
      <w:snapToGrid/>
      <w:spacing w:before="0" w:after="0" w:line="360" w:lineRule="auto"/>
      <w:ind w:right="0" w:firstLine="200" w:firstLineChars="200"/>
    </w:pPr>
    <w:rPr>
      <w:b/>
      <w:kern w:val="2"/>
      <w:sz w:val="21"/>
    </w:rPr>
  </w:style>
  <w:style w:type="paragraph" w:customStyle="1" w:styleId="291">
    <w:name w:val="表标题xw"/>
    <w:basedOn w:val="1"/>
    <w:qFormat/>
    <w:uiPriority w:val="0"/>
    <w:pPr>
      <w:spacing w:line="240" w:lineRule="auto"/>
      <w:jc w:val="center"/>
    </w:pPr>
    <w:rPr>
      <w:rFonts w:ascii="Times New Roman" w:hAnsi="Times New Roman" w:eastAsia="宋体"/>
      <w:b/>
    </w:rPr>
  </w:style>
  <w:style w:type="paragraph" w:customStyle="1" w:styleId="292">
    <w:name w:val="表字体xw"/>
    <w:basedOn w:val="1"/>
    <w:next w:val="1"/>
    <w:qFormat/>
    <w:uiPriority w:val="0"/>
    <w:pPr>
      <w:spacing w:line="240" w:lineRule="auto"/>
      <w:jc w:val="center"/>
    </w:pPr>
    <w:rPr>
      <w:rFonts w:ascii="Times New Roman" w:hAnsi="Times New Roman" w:eastAsia="宋体"/>
    </w:rPr>
  </w:style>
  <w:style w:type="paragraph" w:customStyle="1" w:styleId="293">
    <w:name w:val="5正文"/>
    <w:basedOn w:val="1"/>
    <w:qFormat/>
    <w:uiPriority w:val="0"/>
    <w:pPr>
      <w:snapToGrid w:val="0"/>
      <w:spacing w:line="360" w:lineRule="auto"/>
      <w:ind w:firstLine="200" w:firstLineChars="200"/>
    </w:pPr>
    <w:rPr>
      <w:sz w:val="24"/>
    </w:rPr>
  </w:style>
  <w:style w:type="paragraph" w:customStyle="1" w:styleId="294">
    <w:name w:val="正文1xw"/>
    <w:basedOn w:val="1"/>
    <w:next w:val="1"/>
    <w:qFormat/>
    <w:uiPriority w:val="0"/>
    <w:pPr>
      <w:spacing w:line="360" w:lineRule="auto"/>
      <w:ind w:firstLine="723" w:firstLineChars="200"/>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zY0OTEzNzgwNDg2IiwKCSJHcm91cElkIiA6ICI2OTI1Mjk0Nj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IiwKCSJWZXJzaW9uIiA6ICI4OCIKfQo="/>
    </extobj>
    <extobj name="ECB019B1-382A-4266-B25C-5B523AA43C14-2">
      <extobjdata type="ECB019B1-382A-4266-B25C-5B523AA43C14" data="ewoJIkZpbGVJZCIgOiAiMzY1MDU5MTU1Mjk3IiwKCSJHcm91cElkIiA6ICI2OTI1Mjk0Nj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IiwKCSJWZXJzaW9uIiA6ICIxN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85</Pages>
  <Words>20673</Words>
  <Characters>21553</Characters>
  <Lines>419</Lines>
  <Paragraphs>118</Paragraphs>
  <TotalTime>4</TotalTime>
  <ScaleCrop>false</ScaleCrop>
  <LinksUpToDate>false</LinksUpToDate>
  <CharactersWithSpaces>21677</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2021-12-06T18:49:00Z</dcterms:created>
  <dc:creator>lhj</dc:creator>
  <cp:lastModifiedBy>HUAWEI</cp:lastModifiedBy>
  <cp:lastPrinted>2025-05-07T00:35:00Z</cp:lastPrinted>
  <dcterms:modified xsi:type="dcterms:W3CDTF">2025-06-04T13:07:39Z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B7EF1AD2CAD84C89801D2061826C1768_13</vt:lpwstr>
  </property>
  <property fmtid="{D5CDD505-2E9C-101B-9397-08002B2CF9AE}" pid="4" name="KSOTemplateDocerSaveRecord">
    <vt:lpwstr>eyJoZGlkIjoiODM5NTFkZmY1NTZjZmNiODg1MGFlYjU1Y2M1MmY3MjMiLCJ1c2VySWQiOiI2MTMzNDY5MDcifQ==</vt:lpwstr>
  </property>
</Properties>
</file>