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shd w:val="clear" w:color="auto" w:fill="auto"/>
            <w:vAlign w:val="center"/>
          </w:tcPr>
          <w:p w14:paraId="4056B26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w:t>
            </w:r>
          </w:p>
        </w:tc>
        <w:tc>
          <w:tcPr>
            <w:tcW w:w="2039" w:type="dxa"/>
            <w:gridSpan w:val="2"/>
            <w:shd w:val="clear" w:color="auto" w:fill="auto"/>
            <w:vAlign w:val="center"/>
          </w:tcPr>
          <w:p w14:paraId="1D47B16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w:t>
            </w:r>
          </w:p>
        </w:tc>
        <w:tc>
          <w:tcPr>
            <w:tcW w:w="1983" w:type="dxa"/>
            <w:gridSpan w:val="2"/>
            <w:shd w:val="clear" w:color="auto" w:fill="auto"/>
            <w:vAlign w:val="center"/>
          </w:tcPr>
          <w:p w14:paraId="06F2846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97.44%</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4.2</w:t>
            </w:r>
          </w:p>
        </w:tc>
        <w:tc>
          <w:tcPr>
            <w:tcW w:w="2039" w:type="dxa"/>
            <w:gridSpan w:val="2"/>
            <w:shd w:val="clear" w:color="auto" w:fill="auto"/>
            <w:vAlign w:val="center"/>
          </w:tcPr>
          <w:p w14:paraId="1D6514E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w:t>
            </w:r>
          </w:p>
        </w:tc>
        <w:tc>
          <w:tcPr>
            <w:tcW w:w="1983" w:type="dxa"/>
            <w:gridSpan w:val="2"/>
            <w:shd w:val="clear" w:color="auto" w:fill="auto"/>
            <w:vAlign w:val="center"/>
          </w:tcPr>
          <w:p w14:paraId="7DFA64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0.75</w:t>
            </w:r>
          </w:p>
        </w:tc>
        <w:tc>
          <w:tcPr>
            <w:tcW w:w="2039" w:type="dxa"/>
            <w:gridSpan w:val="2"/>
            <w:shd w:val="clear" w:color="auto" w:fill="auto"/>
            <w:vAlign w:val="center"/>
          </w:tcPr>
          <w:p w14:paraId="7474BB6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71BD74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0.76</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shd w:val="clear" w:color="auto" w:fill="auto"/>
            <w:vAlign w:val="center"/>
          </w:tcPr>
          <w:p w14:paraId="79420B7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983" w:type="dxa"/>
            <w:gridSpan w:val="2"/>
            <w:shd w:val="clear" w:color="auto" w:fill="auto"/>
            <w:vAlign w:val="center"/>
          </w:tcPr>
          <w:p w14:paraId="0A16158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0.75</w:t>
            </w:r>
          </w:p>
        </w:tc>
        <w:tc>
          <w:tcPr>
            <w:tcW w:w="2039" w:type="dxa"/>
            <w:gridSpan w:val="2"/>
            <w:shd w:val="clear" w:color="auto" w:fill="auto"/>
            <w:vAlign w:val="center"/>
          </w:tcPr>
          <w:p w14:paraId="4D0A1ED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5A74074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0.76</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shd w:val="clear" w:color="auto" w:fill="auto"/>
            <w:vAlign w:val="center"/>
          </w:tcPr>
          <w:p w14:paraId="402D38B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983" w:type="dxa"/>
            <w:gridSpan w:val="2"/>
            <w:shd w:val="clear" w:color="auto" w:fill="auto"/>
            <w:vAlign w:val="center"/>
          </w:tcPr>
          <w:p w14:paraId="0229920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3.45</w:t>
            </w:r>
          </w:p>
        </w:tc>
        <w:tc>
          <w:tcPr>
            <w:tcW w:w="2039" w:type="dxa"/>
            <w:gridSpan w:val="2"/>
            <w:shd w:val="clear" w:color="auto" w:fill="auto"/>
            <w:vAlign w:val="center"/>
          </w:tcPr>
          <w:p w14:paraId="672289A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w:t>
            </w:r>
          </w:p>
        </w:tc>
        <w:tc>
          <w:tcPr>
            <w:tcW w:w="1983" w:type="dxa"/>
            <w:gridSpan w:val="2"/>
            <w:shd w:val="clear" w:color="auto" w:fill="auto"/>
            <w:vAlign w:val="center"/>
          </w:tcPr>
          <w:p w14:paraId="7985B4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2.51</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152.09</w:t>
            </w:r>
          </w:p>
        </w:tc>
        <w:tc>
          <w:tcPr>
            <w:tcW w:w="2039" w:type="dxa"/>
            <w:gridSpan w:val="2"/>
            <w:shd w:val="clear" w:color="auto" w:fill="auto"/>
            <w:vAlign w:val="center"/>
          </w:tcPr>
          <w:p w14:paraId="56A401C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7E496EB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134.37</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shd w:val="clear" w:color="auto" w:fill="auto"/>
            <w:vAlign w:val="center"/>
          </w:tcPr>
          <w:p w14:paraId="142DDA3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983" w:type="dxa"/>
            <w:gridSpan w:val="2"/>
            <w:shd w:val="clear" w:color="auto" w:fill="auto"/>
            <w:vAlign w:val="center"/>
          </w:tcPr>
          <w:p w14:paraId="2E8DC00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shd w:val="clear" w:color="auto" w:fill="auto"/>
            <w:vAlign w:val="center"/>
          </w:tcPr>
          <w:p w14:paraId="31C696E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983" w:type="dxa"/>
            <w:gridSpan w:val="2"/>
            <w:shd w:val="clear" w:color="auto" w:fill="auto"/>
            <w:vAlign w:val="center"/>
          </w:tcPr>
          <w:p w14:paraId="1F7D72B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152.09</w:t>
            </w:r>
          </w:p>
        </w:tc>
        <w:tc>
          <w:tcPr>
            <w:tcW w:w="2039" w:type="dxa"/>
            <w:gridSpan w:val="2"/>
            <w:shd w:val="clear" w:color="auto" w:fill="auto"/>
            <w:vAlign w:val="center"/>
          </w:tcPr>
          <w:p w14:paraId="18F75CD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4D19413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134.37</w:t>
            </w:r>
          </w:p>
        </w:tc>
      </w:tr>
      <w:tr w14:paraId="0EA4A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16084C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贤淑女、革命伴侣</w:t>
            </w:r>
          </w:p>
        </w:tc>
        <w:tc>
          <w:tcPr>
            <w:tcW w:w="2116" w:type="dxa"/>
            <w:gridSpan w:val="2"/>
            <w:shd w:val="clear" w:color="auto" w:fill="auto"/>
            <w:vAlign w:val="center"/>
          </w:tcPr>
          <w:p w14:paraId="46DB33B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2039" w:type="dxa"/>
            <w:gridSpan w:val="2"/>
            <w:shd w:val="clear" w:color="auto" w:fill="auto"/>
            <w:vAlign w:val="center"/>
          </w:tcPr>
          <w:p w14:paraId="4F742F7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399C34F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7CA4F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0C21386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花鼓戏制作专项资金</w:t>
            </w:r>
          </w:p>
        </w:tc>
        <w:tc>
          <w:tcPr>
            <w:tcW w:w="2116" w:type="dxa"/>
            <w:gridSpan w:val="2"/>
            <w:shd w:val="clear" w:color="auto" w:fill="auto"/>
            <w:vAlign w:val="center"/>
          </w:tcPr>
          <w:p w14:paraId="1026C80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77FFDE9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69626DB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84.37</w:t>
            </w:r>
          </w:p>
        </w:tc>
      </w:tr>
      <w:tr w14:paraId="1B5CE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1F9725D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周末惠民梨园剧场专项资金</w:t>
            </w:r>
          </w:p>
        </w:tc>
        <w:tc>
          <w:tcPr>
            <w:tcW w:w="2116" w:type="dxa"/>
            <w:gridSpan w:val="2"/>
            <w:shd w:val="clear" w:color="auto" w:fill="auto"/>
            <w:vAlign w:val="center"/>
          </w:tcPr>
          <w:p w14:paraId="32702BF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c>
          <w:tcPr>
            <w:tcW w:w="2039" w:type="dxa"/>
            <w:gridSpan w:val="2"/>
            <w:shd w:val="clear" w:color="auto" w:fill="auto"/>
            <w:vAlign w:val="center"/>
          </w:tcPr>
          <w:p w14:paraId="2B320D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78198E4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r>
      <w:tr w14:paraId="3A50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363DC7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饭碗</w:t>
            </w:r>
          </w:p>
        </w:tc>
        <w:tc>
          <w:tcPr>
            <w:tcW w:w="2116" w:type="dxa"/>
            <w:gridSpan w:val="2"/>
            <w:shd w:val="clear" w:color="auto" w:fill="auto"/>
            <w:vAlign w:val="center"/>
          </w:tcPr>
          <w:p w14:paraId="1817383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w:t>
            </w:r>
          </w:p>
        </w:tc>
        <w:tc>
          <w:tcPr>
            <w:tcW w:w="2039" w:type="dxa"/>
            <w:gridSpan w:val="2"/>
            <w:shd w:val="clear" w:color="auto" w:fill="auto"/>
            <w:vAlign w:val="center"/>
          </w:tcPr>
          <w:p w14:paraId="4209DA4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7E9B3BD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07AE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AB2C1C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惠民送戏下乡</w:t>
            </w:r>
          </w:p>
        </w:tc>
        <w:tc>
          <w:tcPr>
            <w:tcW w:w="2116" w:type="dxa"/>
            <w:gridSpan w:val="2"/>
            <w:shd w:val="clear" w:color="auto" w:fill="auto"/>
            <w:vAlign w:val="center"/>
          </w:tcPr>
          <w:p w14:paraId="011B967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29.09</w:t>
            </w:r>
          </w:p>
        </w:tc>
        <w:tc>
          <w:tcPr>
            <w:tcW w:w="2039" w:type="dxa"/>
            <w:gridSpan w:val="2"/>
            <w:shd w:val="clear" w:color="auto" w:fill="auto"/>
            <w:vAlign w:val="center"/>
          </w:tcPr>
          <w:p w14:paraId="471193E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2D10056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388F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4F901F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古树底下新风来</w:t>
            </w:r>
          </w:p>
        </w:tc>
        <w:tc>
          <w:tcPr>
            <w:tcW w:w="2116" w:type="dxa"/>
            <w:gridSpan w:val="2"/>
            <w:shd w:val="clear" w:color="auto" w:fill="auto"/>
            <w:vAlign w:val="center"/>
          </w:tcPr>
          <w:p w14:paraId="6746FB9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w:t>
            </w:r>
          </w:p>
        </w:tc>
        <w:tc>
          <w:tcPr>
            <w:tcW w:w="2039" w:type="dxa"/>
            <w:gridSpan w:val="2"/>
            <w:shd w:val="clear" w:color="auto" w:fill="auto"/>
            <w:vAlign w:val="center"/>
          </w:tcPr>
          <w:p w14:paraId="25460CB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4F0D048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24797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3B54598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明灯</w:t>
            </w:r>
          </w:p>
        </w:tc>
        <w:tc>
          <w:tcPr>
            <w:tcW w:w="2116" w:type="dxa"/>
            <w:gridSpan w:val="2"/>
            <w:shd w:val="clear" w:color="auto" w:fill="auto"/>
            <w:vAlign w:val="center"/>
          </w:tcPr>
          <w:p w14:paraId="1DCF5B8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44</w:t>
            </w:r>
          </w:p>
        </w:tc>
        <w:tc>
          <w:tcPr>
            <w:tcW w:w="2039" w:type="dxa"/>
            <w:gridSpan w:val="2"/>
            <w:shd w:val="clear" w:color="auto" w:fill="auto"/>
            <w:vAlign w:val="center"/>
          </w:tcPr>
          <w:p w14:paraId="7E2FADD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2930480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42.08</w:t>
            </w:r>
          </w:p>
        </w:tc>
        <w:tc>
          <w:tcPr>
            <w:tcW w:w="2039" w:type="dxa"/>
            <w:gridSpan w:val="2"/>
            <w:shd w:val="clear" w:color="auto" w:fill="auto"/>
            <w:vAlign w:val="center"/>
          </w:tcPr>
          <w:p w14:paraId="050E075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33.72</w:t>
            </w:r>
          </w:p>
        </w:tc>
        <w:tc>
          <w:tcPr>
            <w:tcW w:w="1983" w:type="dxa"/>
            <w:gridSpan w:val="2"/>
            <w:shd w:val="clear" w:color="auto" w:fill="auto"/>
            <w:vAlign w:val="center"/>
          </w:tcPr>
          <w:p w14:paraId="7357305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39.42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3.96</w:t>
            </w:r>
          </w:p>
        </w:tc>
        <w:tc>
          <w:tcPr>
            <w:tcW w:w="2039" w:type="dxa"/>
            <w:gridSpan w:val="2"/>
            <w:shd w:val="clear" w:color="auto" w:fill="auto"/>
            <w:vAlign w:val="center"/>
          </w:tcPr>
          <w:p w14:paraId="7BB02F1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5.78</w:t>
            </w:r>
          </w:p>
        </w:tc>
        <w:tc>
          <w:tcPr>
            <w:tcW w:w="1983" w:type="dxa"/>
            <w:gridSpan w:val="2"/>
            <w:shd w:val="clear" w:color="auto" w:fill="auto"/>
            <w:vAlign w:val="center"/>
          </w:tcPr>
          <w:p w14:paraId="087A354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6.06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10.48</w:t>
            </w:r>
          </w:p>
        </w:tc>
        <w:tc>
          <w:tcPr>
            <w:tcW w:w="2039" w:type="dxa"/>
            <w:gridSpan w:val="2"/>
            <w:shd w:val="clear" w:color="auto" w:fill="auto"/>
            <w:vAlign w:val="center"/>
          </w:tcPr>
          <w:p w14:paraId="31E21FE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11.22</w:t>
            </w:r>
          </w:p>
        </w:tc>
        <w:tc>
          <w:tcPr>
            <w:tcW w:w="1983" w:type="dxa"/>
            <w:gridSpan w:val="2"/>
            <w:shd w:val="clear" w:color="auto" w:fill="auto"/>
            <w:vAlign w:val="center"/>
          </w:tcPr>
          <w:p w14:paraId="4FD7453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8.15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w:t>
            </w:r>
          </w:p>
        </w:tc>
        <w:tc>
          <w:tcPr>
            <w:tcW w:w="2039" w:type="dxa"/>
            <w:gridSpan w:val="2"/>
            <w:shd w:val="clear" w:color="auto" w:fill="auto"/>
            <w:vAlign w:val="center"/>
          </w:tcPr>
          <w:p w14:paraId="467174B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w:t>
            </w:r>
          </w:p>
        </w:tc>
        <w:tc>
          <w:tcPr>
            <w:tcW w:w="1983" w:type="dxa"/>
            <w:gridSpan w:val="2"/>
            <w:shd w:val="clear" w:color="auto" w:fill="auto"/>
            <w:vAlign w:val="center"/>
          </w:tcPr>
          <w:p w14:paraId="550E4F9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0.93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120</w:t>
            </w:r>
          </w:p>
        </w:tc>
        <w:tc>
          <w:tcPr>
            <w:tcW w:w="2039" w:type="dxa"/>
            <w:gridSpan w:val="2"/>
            <w:shd w:val="clear" w:color="auto" w:fill="auto"/>
            <w:vAlign w:val="center"/>
          </w:tcPr>
          <w:p w14:paraId="18AD18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369.15</w:t>
            </w:r>
          </w:p>
        </w:tc>
        <w:tc>
          <w:tcPr>
            <w:tcW w:w="1983" w:type="dxa"/>
            <w:gridSpan w:val="2"/>
            <w:shd w:val="clear" w:color="auto" w:fill="auto"/>
            <w:vAlign w:val="center"/>
          </w:tcPr>
          <w:p w14:paraId="4363E71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53A21079">
            <w:pPr>
              <w:kinsoku w:val="0"/>
              <w:autoSpaceDE w:val="0"/>
              <w:autoSpaceDN w:val="0"/>
              <w:adjustRightInd w:val="0"/>
              <w:snapToGrid w:val="0"/>
              <w:ind w:firstLine="420"/>
              <w:jc w:val="center"/>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1.完善制度建设，从制度上控制不合理支出，达到节约的目的</w:t>
            </w:r>
          </w:p>
          <w:p w14:paraId="7AA4B832">
            <w:pPr>
              <w:kinsoku w:val="0"/>
              <w:autoSpaceDE w:val="0"/>
              <w:autoSpaceDN w:val="0"/>
              <w:adjustRightInd w:val="0"/>
              <w:snapToGrid w:val="0"/>
              <w:ind w:firstLine="420"/>
              <w:jc w:val="center"/>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2.加强财务管理，避免资源配置和利用的重复、无用、低效等浪费现象，合理分配基本支出经费，严格掌握预算经费的开支范围和标准，大力压缩维持性支出</w:t>
            </w:r>
          </w:p>
          <w:p w14:paraId="4A1E979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3.加强对专项资金项目的监督管理，确保专款专用，合理开支</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7FE9341F">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汨罗江畔端午习俗传承研究中心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hint="eastAsia" w:ascii="仿宋_GB2312" w:eastAsia="仿宋_GB2312"/>
                <w:kern w:val="0"/>
                <w:lang w:val="en-US" w:eastAsia="zh-CN"/>
              </w:rPr>
            </w:pPr>
            <w:r>
              <w:rPr>
                <w:rFonts w:hint="eastAsia" w:ascii="仿宋_GB2312" w:hAnsi="宋体" w:eastAsia="仿宋_GB2312" w:cs="宋体"/>
                <w:kern w:val="0"/>
              </w:rPr>
              <w:t>年度资金总额</w:t>
            </w:r>
          </w:p>
        </w:tc>
        <w:tc>
          <w:tcPr>
            <w:tcW w:w="1249" w:type="dxa"/>
            <w:vAlign w:val="center"/>
          </w:tcPr>
          <w:p w14:paraId="40867B6B">
            <w:pPr>
              <w:ind w:firstLine="420" w:firstLineChars="0"/>
              <w:jc w:val="both"/>
              <w:rPr>
                <w:rFonts w:hint="default" w:ascii="仿宋_GB2312" w:eastAsia="仿宋_GB2312"/>
                <w:kern w:val="0"/>
                <w:lang w:val="en-US" w:eastAsia="zh-CN"/>
              </w:rPr>
            </w:pPr>
            <w:r>
              <w:rPr>
                <w:rFonts w:hint="eastAsia" w:ascii="仿宋_GB2312" w:eastAsia="仿宋_GB2312"/>
                <w:lang w:eastAsia="zh-CN"/>
              </w:rPr>
              <w:t>380.63</w:t>
            </w:r>
          </w:p>
        </w:tc>
        <w:tc>
          <w:tcPr>
            <w:tcW w:w="1298" w:type="dxa"/>
            <w:vAlign w:val="center"/>
          </w:tcPr>
          <w:p w14:paraId="78350D28">
            <w:pPr>
              <w:ind w:firstLine="420" w:firstLineChars="0"/>
              <w:jc w:val="center"/>
              <w:rPr>
                <w:rFonts w:ascii="仿宋_GB2312" w:eastAsia="仿宋_GB2312"/>
                <w:kern w:val="0"/>
              </w:rPr>
            </w:pPr>
            <w:r>
              <w:rPr>
                <w:rFonts w:hint="eastAsia" w:ascii="仿宋_GB2312" w:eastAsia="仿宋_GB2312"/>
                <w:lang w:eastAsia="zh-CN"/>
              </w:rPr>
              <w:t>535.19</w:t>
            </w:r>
          </w:p>
        </w:tc>
        <w:tc>
          <w:tcPr>
            <w:tcW w:w="1269" w:type="dxa"/>
            <w:vAlign w:val="center"/>
          </w:tcPr>
          <w:p w14:paraId="5FDA3D24">
            <w:pPr>
              <w:ind w:firstLine="420" w:firstLineChars="0"/>
              <w:jc w:val="center"/>
              <w:rPr>
                <w:rFonts w:ascii="仿宋_GB2312" w:eastAsia="仿宋_GB2312"/>
                <w:kern w:val="0"/>
              </w:rPr>
            </w:pPr>
            <w:r>
              <w:rPr>
                <w:rFonts w:hint="eastAsia" w:ascii="仿宋_GB2312" w:eastAsia="仿宋_GB2312"/>
                <w:lang w:eastAsia="zh-CN"/>
              </w:rPr>
              <w:t>535.19</w:t>
            </w:r>
          </w:p>
        </w:tc>
        <w:tc>
          <w:tcPr>
            <w:tcW w:w="699" w:type="dxa"/>
            <w:vAlign w:val="center"/>
          </w:tcPr>
          <w:p w14:paraId="47D16717">
            <w:pPr>
              <w:jc w:val="center"/>
              <w:rPr>
                <w:rFonts w:ascii="仿宋_GB2312" w:eastAsia="仿宋_GB2312"/>
                <w:kern w:val="0"/>
              </w:rPr>
            </w:pPr>
            <w:r>
              <w:rPr>
                <w:rFonts w:hint="eastAsia" w:ascii="仿宋_GB2312" w:eastAsia="仿宋_GB2312"/>
              </w:rPr>
              <w:t>10</w:t>
            </w:r>
          </w:p>
        </w:tc>
        <w:tc>
          <w:tcPr>
            <w:tcW w:w="869" w:type="dxa"/>
            <w:vAlign w:val="center"/>
          </w:tcPr>
          <w:p w14:paraId="0424998F">
            <w:pPr>
              <w:ind w:firstLine="210" w:firstLineChars="100"/>
              <w:jc w:val="both"/>
              <w:rPr>
                <w:rFonts w:ascii="仿宋_GB2312" w:eastAsia="仿宋_GB2312"/>
                <w:kern w:val="0"/>
              </w:rPr>
            </w:pPr>
            <w:r>
              <w:rPr>
                <w:rFonts w:hint="eastAsia" w:ascii="仿宋_GB2312" w:eastAsia="仿宋_GB2312"/>
                <w:lang w:eastAsia="zh-CN"/>
              </w:rPr>
              <w:t>100%</w:t>
            </w:r>
          </w:p>
        </w:tc>
        <w:tc>
          <w:tcPr>
            <w:tcW w:w="1423" w:type="dxa"/>
            <w:vAlign w:val="center"/>
          </w:tcPr>
          <w:p w14:paraId="4BE68CE2">
            <w:pPr>
              <w:ind w:firstLine="420" w:firstLineChars="0"/>
              <w:jc w:val="center"/>
              <w:rPr>
                <w:rFonts w:ascii="仿宋_GB2312" w:eastAsia="仿宋_GB2312"/>
                <w:kern w:val="0"/>
              </w:rPr>
            </w:pPr>
            <w:r>
              <w:rPr>
                <w:rFonts w:hint="eastAsia" w:ascii="仿宋_GB2312" w:eastAsia="仿宋_GB2312"/>
                <w:lang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lang w:eastAsia="zh-CN"/>
              </w:rPr>
              <w:t>380.63</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w:t>
            </w:r>
            <w:r>
              <w:rPr>
                <w:rFonts w:hint="eastAsia" w:ascii="仿宋_GB2312" w:eastAsia="仿宋_GB2312"/>
                <w:lang w:eastAsia="zh-CN"/>
              </w:rPr>
              <w:t>400.82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r>
              <w:rPr>
                <w:rFonts w:hint="eastAsia" w:ascii="仿宋_GB2312" w:hAnsi="宋体" w:eastAsia="仿宋_GB2312" w:cs="宋体"/>
                <w:lang w:eastAsia="zh-CN"/>
              </w:rPr>
              <w:t>134.37</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186404DE">
            <w:pPr>
              <w:tabs>
                <w:tab w:val="left" w:pos="774"/>
              </w:tabs>
              <w:rPr>
                <w:rFonts w:ascii="仿宋_GB2312" w:eastAsia="仿宋_GB2312"/>
                <w:lang w:eastAsia="zh-CN"/>
              </w:rPr>
            </w:pPr>
            <w:r>
              <w:rPr>
                <w:rFonts w:hint="eastAsia" w:ascii="仿宋_GB2312" w:eastAsia="仿宋_GB2312"/>
                <w:lang w:eastAsia="zh-CN"/>
              </w:rPr>
              <w:t>1.挖掘、收集、整理、编排七十二本传承花鼓戏；</w:t>
            </w:r>
          </w:p>
          <w:p w14:paraId="47170CD9">
            <w:pPr>
              <w:tabs>
                <w:tab w:val="left" w:pos="774"/>
              </w:tabs>
              <w:rPr>
                <w:rFonts w:ascii="仿宋_GB2312" w:eastAsia="仿宋_GB2312"/>
                <w:lang w:eastAsia="zh-CN"/>
              </w:rPr>
            </w:pPr>
            <w:r>
              <w:rPr>
                <w:rFonts w:hint="eastAsia" w:ascii="仿宋_GB2312" w:eastAsia="仿宋_GB2312"/>
                <w:lang w:eastAsia="zh-CN"/>
              </w:rPr>
              <w:t>2.定期组织活动交流；</w:t>
            </w:r>
          </w:p>
          <w:p w14:paraId="63A36801">
            <w:pPr>
              <w:spacing w:line="240" w:lineRule="auto"/>
              <w:jc w:val="both"/>
              <w:rPr>
                <w:rFonts w:ascii="仿宋_GB2312" w:eastAsia="仿宋_GB2312"/>
                <w:kern w:val="0"/>
              </w:rPr>
            </w:pPr>
            <w:r>
              <w:rPr>
                <w:rFonts w:hint="eastAsia" w:ascii="仿宋_GB2312" w:eastAsia="仿宋_GB2312"/>
                <w:lang w:eastAsia="zh-CN"/>
              </w:rPr>
              <w:t>3.举办旅游演艺活动、惠民送戏下乡及送戏曲进校园等活动。</w:t>
            </w:r>
          </w:p>
        </w:tc>
        <w:tc>
          <w:tcPr>
            <w:tcW w:w="4260" w:type="dxa"/>
            <w:gridSpan w:val="4"/>
            <w:vAlign w:val="center"/>
          </w:tcPr>
          <w:p w14:paraId="156E0DC0">
            <w:pPr>
              <w:spacing w:line="240" w:lineRule="auto"/>
              <w:jc w:val="both"/>
              <w:rPr>
                <w:rFonts w:ascii="仿宋_GB2312" w:eastAsia="仿宋_GB2312"/>
                <w:kern w:val="0"/>
              </w:rPr>
            </w:pPr>
            <w:r>
              <w:rPr>
                <w:rFonts w:ascii="仿宋_GB2312" w:eastAsia="仿宋_GB2312"/>
                <w:lang w:eastAsia="zh-CN"/>
              </w:rPr>
              <w:t>复排精典剧目《贤淑女》《状元与乞丐》并下乡巡演</w:t>
            </w:r>
            <w:r>
              <w:rPr>
                <w:rFonts w:hint="eastAsia" w:ascii="仿宋_GB2312" w:eastAsia="仿宋_GB2312"/>
                <w:lang w:eastAsia="zh-CN"/>
              </w:rPr>
              <w:t>；完成95场惠民送戏下乡活动；配合局里中心工作：完成了湖南国际文化旅游大会暨纪念屈原逝世2300周年系列活动；精准扶贫小戏《解坨》申报中国戏剧家协会举办的全国优秀小戏小品展演活动；《家国有喜》，参加2023年国际护士节开幕式演出；新创戏曲表演唱《不要彩礼、要幸福》参加了市妇联举办的活动，并、申报参加全国妇联移风易俗的活动；成功复排《平民领袖》入选2023年全国春节云上舞台展演；小戏《明灯》参加第五届岳阳文化艺术节廉政专场演出及比赛获金奖。</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传统戏演出场次</w:t>
            </w:r>
          </w:p>
        </w:tc>
        <w:tc>
          <w:tcPr>
            <w:tcW w:w="1298" w:type="dxa"/>
            <w:shd w:val="clear" w:color="auto" w:fill="auto"/>
            <w:vAlign w:val="center"/>
          </w:tcPr>
          <w:p w14:paraId="2A374824">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≥84场</w:t>
            </w:r>
          </w:p>
        </w:tc>
        <w:tc>
          <w:tcPr>
            <w:tcW w:w="1269" w:type="dxa"/>
            <w:shd w:val="clear" w:color="auto" w:fill="auto"/>
            <w:vAlign w:val="center"/>
          </w:tcPr>
          <w:p w14:paraId="708D788A">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95场</w:t>
            </w:r>
          </w:p>
        </w:tc>
        <w:tc>
          <w:tcPr>
            <w:tcW w:w="699" w:type="dxa"/>
            <w:shd w:val="clear" w:color="auto" w:fill="auto"/>
            <w:vAlign w:val="center"/>
          </w:tcPr>
          <w:p w14:paraId="567F5E54">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869" w:type="dxa"/>
            <w:shd w:val="clear" w:color="auto" w:fill="auto"/>
            <w:vAlign w:val="center"/>
          </w:tcPr>
          <w:p w14:paraId="2717B7C4">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15CE1D7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346D111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4812C5E9">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4266548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jc w:val="both"/>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演出节目集思想性、艺术性、观赏性为一体，表现形式新颖，具有一定的创新性</w:t>
            </w:r>
          </w:p>
        </w:tc>
        <w:tc>
          <w:tcPr>
            <w:tcW w:w="1298" w:type="dxa"/>
            <w:shd w:val="clear" w:color="auto" w:fill="auto"/>
            <w:vAlign w:val="center"/>
          </w:tcPr>
          <w:p w14:paraId="1A5ADA3A">
            <w:pPr>
              <w:jc w:val="both"/>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打响艺术品牌</w:t>
            </w:r>
          </w:p>
        </w:tc>
        <w:tc>
          <w:tcPr>
            <w:tcW w:w="1269" w:type="dxa"/>
            <w:shd w:val="clear" w:color="auto" w:fill="auto"/>
            <w:vAlign w:val="center"/>
          </w:tcPr>
          <w:p w14:paraId="54075F0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100%</w:t>
            </w:r>
          </w:p>
        </w:tc>
        <w:tc>
          <w:tcPr>
            <w:tcW w:w="699" w:type="dxa"/>
            <w:shd w:val="clear" w:color="auto" w:fill="auto"/>
            <w:vAlign w:val="center"/>
          </w:tcPr>
          <w:p w14:paraId="5580FC82">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869" w:type="dxa"/>
            <w:shd w:val="clear" w:color="auto" w:fill="auto"/>
            <w:vAlign w:val="center"/>
          </w:tcPr>
          <w:p w14:paraId="0982B111">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33DF5A2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F080A0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155F4AED">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2A22618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按上级文化主管部门规定进行，年底全面完成目标任务</w:t>
            </w:r>
          </w:p>
        </w:tc>
        <w:tc>
          <w:tcPr>
            <w:tcW w:w="1298" w:type="dxa"/>
            <w:shd w:val="clear" w:color="auto" w:fill="auto"/>
            <w:vAlign w:val="center"/>
          </w:tcPr>
          <w:p w14:paraId="479FA5D5">
            <w:pPr>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2023年</w:t>
            </w:r>
            <w:r>
              <w:rPr>
                <w:rFonts w:hint="eastAsia" w:ascii="仿宋_GB2312" w:eastAsia="仿宋_GB2312"/>
                <w:lang w:val="en-US" w:eastAsia="zh-CN"/>
              </w:rPr>
              <w:t>底前</w:t>
            </w:r>
          </w:p>
        </w:tc>
        <w:tc>
          <w:tcPr>
            <w:tcW w:w="1269" w:type="dxa"/>
            <w:shd w:val="clear" w:color="auto" w:fill="auto"/>
            <w:vAlign w:val="center"/>
          </w:tcPr>
          <w:p w14:paraId="5C1B3402">
            <w:pPr>
              <w:jc w:val="both"/>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2023年全年</w:t>
            </w:r>
          </w:p>
        </w:tc>
        <w:tc>
          <w:tcPr>
            <w:tcW w:w="699" w:type="dxa"/>
            <w:shd w:val="clear" w:color="auto" w:fill="auto"/>
            <w:vAlign w:val="center"/>
          </w:tcPr>
          <w:p w14:paraId="4C56B99F">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869" w:type="dxa"/>
            <w:shd w:val="clear" w:color="auto" w:fill="auto"/>
            <w:vAlign w:val="center"/>
          </w:tcPr>
          <w:p w14:paraId="5DA34835">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center"/>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jc w:val="both"/>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按照经济发展规律推动文旅发展</w:t>
            </w:r>
          </w:p>
        </w:tc>
        <w:tc>
          <w:tcPr>
            <w:tcW w:w="1298" w:type="dxa"/>
            <w:shd w:val="clear" w:color="auto" w:fill="auto"/>
            <w:vAlign w:val="center"/>
          </w:tcPr>
          <w:p w14:paraId="078289F3">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有所提升</w:t>
            </w:r>
          </w:p>
        </w:tc>
        <w:tc>
          <w:tcPr>
            <w:tcW w:w="1269" w:type="dxa"/>
            <w:shd w:val="clear" w:color="auto" w:fill="auto"/>
            <w:vAlign w:val="center"/>
          </w:tcPr>
          <w:p w14:paraId="7A453B87">
            <w:pPr>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有所提升</w:t>
            </w:r>
          </w:p>
        </w:tc>
        <w:tc>
          <w:tcPr>
            <w:tcW w:w="699" w:type="dxa"/>
            <w:shd w:val="clear" w:color="auto" w:fill="auto"/>
            <w:vAlign w:val="center"/>
          </w:tcPr>
          <w:p w14:paraId="415A3F60">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869" w:type="dxa"/>
            <w:shd w:val="clear" w:color="auto" w:fill="auto"/>
            <w:vAlign w:val="center"/>
          </w:tcPr>
          <w:p w14:paraId="2AC58B95">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rPr>
            </w:pPr>
          </w:p>
        </w:tc>
        <w:tc>
          <w:tcPr>
            <w:tcW w:w="1298" w:type="dxa"/>
            <w:vAlign w:val="center"/>
          </w:tcPr>
          <w:p w14:paraId="54DB100B">
            <w:pPr>
              <w:spacing w:line="240" w:lineRule="auto"/>
              <w:ind w:firstLine="420"/>
              <w:jc w:val="center"/>
              <w:rPr>
                <w:rFonts w:ascii="仿宋_GB2312" w:eastAsia="仿宋_GB2312"/>
                <w:kern w:val="0"/>
              </w:rPr>
            </w:pPr>
          </w:p>
        </w:tc>
        <w:tc>
          <w:tcPr>
            <w:tcW w:w="1269" w:type="dxa"/>
            <w:vAlign w:val="center"/>
          </w:tcPr>
          <w:p w14:paraId="40D8D424">
            <w:pPr>
              <w:spacing w:line="240" w:lineRule="auto"/>
              <w:ind w:firstLine="420"/>
              <w:jc w:val="center"/>
              <w:rPr>
                <w:rFonts w:ascii="仿宋_GB2312" w:eastAsia="仿宋_GB2312"/>
                <w:kern w:val="0"/>
              </w:rPr>
            </w:pPr>
          </w:p>
        </w:tc>
        <w:tc>
          <w:tcPr>
            <w:tcW w:w="699" w:type="dxa"/>
            <w:vAlign w:val="center"/>
          </w:tcPr>
          <w:p w14:paraId="12404D44">
            <w:pPr>
              <w:spacing w:line="240" w:lineRule="auto"/>
              <w:ind w:firstLine="420"/>
              <w:jc w:val="center"/>
              <w:rPr>
                <w:rFonts w:ascii="仿宋_GB2312" w:eastAsia="仿宋_GB2312"/>
                <w:kern w:val="0"/>
              </w:rPr>
            </w:pPr>
          </w:p>
        </w:tc>
        <w:tc>
          <w:tcPr>
            <w:tcW w:w="869" w:type="dxa"/>
            <w:vAlign w:val="center"/>
          </w:tcPr>
          <w:p w14:paraId="6DE220A2">
            <w:pPr>
              <w:spacing w:line="240" w:lineRule="auto"/>
              <w:ind w:firstLine="420"/>
              <w:jc w:val="center"/>
              <w:rPr>
                <w:rFonts w:ascii="仿宋_GB2312" w:eastAsia="仿宋_GB2312"/>
                <w:kern w:val="0"/>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jc w:val="both"/>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提供人民群众精神食粮，提升文化素养</w:t>
            </w:r>
          </w:p>
        </w:tc>
        <w:tc>
          <w:tcPr>
            <w:tcW w:w="1298" w:type="dxa"/>
            <w:shd w:val="clear" w:color="auto" w:fill="auto"/>
            <w:vAlign w:val="center"/>
          </w:tcPr>
          <w:p w14:paraId="6E8C4873">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弘扬社会主义主流价值观，传播社会正能量，具有良好的思想性和教育意义</w:t>
            </w:r>
          </w:p>
        </w:tc>
        <w:tc>
          <w:tcPr>
            <w:tcW w:w="1269" w:type="dxa"/>
            <w:shd w:val="clear" w:color="auto" w:fill="auto"/>
            <w:vAlign w:val="center"/>
          </w:tcPr>
          <w:p w14:paraId="4886005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100%</w:t>
            </w:r>
          </w:p>
        </w:tc>
        <w:tc>
          <w:tcPr>
            <w:tcW w:w="699" w:type="dxa"/>
            <w:shd w:val="clear" w:color="auto" w:fill="auto"/>
            <w:vAlign w:val="center"/>
          </w:tcPr>
          <w:p w14:paraId="75FAE414">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869" w:type="dxa"/>
            <w:shd w:val="clear" w:color="auto" w:fill="auto"/>
            <w:vAlign w:val="center"/>
          </w:tcPr>
          <w:p w14:paraId="3309901E">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p>
        </w:tc>
        <w:tc>
          <w:tcPr>
            <w:tcW w:w="1298" w:type="dxa"/>
            <w:vAlign w:val="center"/>
          </w:tcPr>
          <w:p w14:paraId="610F1A26">
            <w:pPr>
              <w:spacing w:line="240" w:lineRule="auto"/>
              <w:ind w:firstLine="420"/>
              <w:jc w:val="center"/>
              <w:rPr>
                <w:rFonts w:ascii="仿宋_GB2312" w:eastAsia="仿宋_GB2312"/>
                <w:kern w:val="0"/>
              </w:rPr>
            </w:pPr>
          </w:p>
        </w:tc>
        <w:tc>
          <w:tcPr>
            <w:tcW w:w="1269" w:type="dxa"/>
            <w:vAlign w:val="center"/>
          </w:tcPr>
          <w:p w14:paraId="4AC02997">
            <w:pPr>
              <w:spacing w:line="240" w:lineRule="auto"/>
              <w:ind w:firstLine="420"/>
              <w:jc w:val="center"/>
              <w:rPr>
                <w:rFonts w:ascii="仿宋_GB2312" w:eastAsia="仿宋_GB2312"/>
                <w:kern w:val="0"/>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生态环境改善状况</w:t>
            </w:r>
          </w:p>
        </w:tc>
        <w:tc>
          <w:tcPr>
            <w:tcW w:w="1298" w:type="dxa"/>
            <w:shd w:val="clear" w:color="auto" w:fill="auto"/>
            <w:vAlign w:val="center"/>
          </w:tcPr>
          <w:p w14:paraId="45B96CBB">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有所改善</w:t>
            </w:r>
          </w:p>
        </w:tc>
        <w:tc>
          <w:tcPr>
            <w:tcW w:w="1269" w:type="dxa"/>
            <w:shd w:val="clear" w:color="auto" w:fill="auto"/>
            <w:vAlign w:val="center"/>
          </w:tcPr>
          <w:p w14:paraId="35C3564D">
            <w:pPr>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有所改善</w:t>
            </w:r>
          </w:p>
        </w:tc>
        <w:tc>
          <w:tcPr>
            <w:tcW w:w="699" w:type="dxa"/>
            <w:shd w:val="clear" w:color="auto" w:fill="auto"/>
            <w:vAlign w:val="center"/>
          </w:tcPr>
          <w:p w14:paraId="6A822248">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869" w:type="dxa"/>
            <w:shd w:val="clear" w:color="auto" w:fill="auto"/>
            <w:vAlign w:val="center"/>
          </w:tcPr>
          <w:p w14:paraId="73C931F8">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4</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jc w:val="both"/>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通过艺术活动的展演提高市民的文化素养</w:t>
            </w:r>
          </w:p>
        </w:tc>
        <w:tc>
          <w:tcPr>
            <w:tcW w:w="1298" w:type="dxa"/>
            <w:shd w:val="clear" w:color="auto" w:fill="auto"/>
            <w:vAlign w:val="center"/>
          </w:tcPr>
          <w:p w14:paraId="055B34ED">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持续</w:t>
            </w:r>
            <w:r>
              <w:rPr>
                <w:rFonts w:hint="eastAsia" w:ascii="仿宋_GB2312" w:eastAsia="仿宋_GB2312"/>
                <w:lang w:val="en-US" w:eastAsia="zh-CN"/>
              </w:rPr>
              <w:t>提升</w:t>
            </w:r>
          </w:p>
        </w:tc>
        <w:tc>
          <w:tcPr>
            <w:tcW w:w="1269" w:type="dxa"/>
            <w:shd w:val="clear" w:color="auto" w:fill="auto"/>
            <w:vAlign w:val="center"/>
          </w:tcPr>
          <w:p w14:paraId="46B41467">
            <w:pPr>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持续</w:t>
            </w:r>
            <w:r>
              <w:rPr>
                <w:rFonts w:hint="eastAsia" w:ascii="仿宋_GB2312" w:eastAsia="仿宋_GB2312"/>
                <w:lang w:val="en-US" w:eastAsia="zh-CN"/>
              </w:rPr>
              <w:t>提升</w:t>
            </w:r>
          </w:p>
        </w:tc>
        <w:tc>
          <w:tcPr>
            <w:tcW w:w="699" w:type="dxa"/>
            <w:shd w:val="clear" w:color="auto" w:fill="auto"/>
            <w:vAlign w:val="center"/>
          </w:tcPr>
          <w:p w14:paraId="447C4D99">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869" w:type="dxa"/>
            <w:shd w:val="clear" w:color="auto" w:fill="auto"/>
            <w:vAlign w:val="center"/>
          </w:tcPr>
          <w:p w14:paraId="71C7C72F">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满足群众对文化艺术的需求</w:t>
            </w:r>
          </w:p>
        </w:tc>
        <w:tc>
          <w:tcPr>
            <w:tcW w:w="1298" w:type="dxa"/>
            <w:shd w:val="clear" w:color="auto" w:fill="auto"/>
            <w:vAlign w:val="center"/>
          </w:tcPr>
          <w:p w14:paraId="6ABEB3E2">
            <w:pPr>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受益对象满意度</w:t>
            </w:r>
          </w:p>
        </w:tc>
        <w:tc>
          <w:tcPr>
            <w:tcW w:w="1269" w:type="dxa"/>
            <w:shd w:val="clear" w:color="auto" w:fill="auto"/>
            <w:vAlign w:val="center"/>
          </w:tcPr>
          <w:p w14:paraId="31B5B32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100</w:t>
            </w:r>
            <w:r>
              <w:rPr>
                <w:rFonts w:hint="eastAsia" w:ascii="仿宋_GB2312" w:eastAsia="仿宋_GB2312"/>
              </w:rPr>
              <w:t>%</w:t>
            </w:r>
          </w:p>
        </w:tc>
        <w:tc>
          <w:tcPr>
            <w:tcW w:w="699" w:type="dxa"/>
            <w:shd w:val="clear" w:color="auto" w:fill="auto"/>
            <w:vAlign w:val="center"/>
          </w:tcPr>
          <w:p w14:paraId="41D3F37B">
            <w:pPr>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869" w:type="dxa"/>
            <w:shd w:val="clear" w:color="auto" w:fill="auto"/>
            <w:vAlign w:val="center"/>
          </w:tcPr>
          <w:p w14:paraId="19FFC8CC">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vMerge w:val="restart"/>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年初预算数</w:t>
            </w:r>
            <w:r>
              <w:rPr>
                <w:rFonts w:hint="eastAsia" w:ascii="仿宋_GB2312" w:eastAsia="仿宋_GB2312"/>
                <w:lang w:eastAsia="zh-CN"/>
              </w:rPr>
              <w:t>380.63万元</w:t>
            </w:r>
          </w:p>
        </w:tc>
        <w:tc>
          <w:tcPr>
            <w:tcW w:w="1298" w:type="dxa"/>
            <w:shd w:val="clear" w:color="auto" w:fill="auto"/>
            <w:vAlign w:val="center"/>
          </w:tcPr>
          <w:p w14:paraId="15ECA8D3">
            <w:pPr>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535.19万元</w:t>
            </w:r>
          </w:p>
        </w:tc>
        <w:tc>
          <w:tcPr>
            <w:tcW w:w="1269" w:type="dxa"/>
            <w:shd w:val="clear" w:color="auto" w:fill="auto"/>
            <w:vAlign w:val="center"/>
          </w:tcPr>
          <w:p w14:paraId="3C328246">
            <w:pPr>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全年执行数535.19万元</w:t>
            </w:r>
          </w:p>
        </w:tc>
        <w:tc>
          <w:tcPr>
            <w:tcW w:w="699" w:type="dxa"/>
            <w:shd w:val="clear" w:color="auto" w:fill="auto"/>
            <w:vAlign w:val="center"/>
          </w:tcPr>
          <w:p w14:paraId="42BD2B94">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869" w:type="dxa"/>
            <w:shd w:val="clear" w:color="auto" w:fill="auto"/>
            <w:vAlign w:val="center"/>
          </w:tcPr>
          <w:p w14:paraId="786F4305">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lang w:val="en-US" w:eastAsia="zh-CN"/>
              </w:rPr>
              <w:t>5</w:t>
            </w:r>
          </w:p>
        </w:tc>
        <w:tc>
          <w:tcPr>
            <w:tcW w:w="1423" w:type="dxa"/>
            <w:vAlign w:val="center"/>
          </w:tcPr>
          <w:p w14:paraId="0F79A5E1">
            <w:pPr>
              <w:spacing w:line="240" w:lineRule="auto"/>
              <w:ind w:firstLine="420"/>
              <w:jc w:val="center"/>
              <w:rPr>
                <w:rFonts w:ascii="仿宋_GB2312" w:eastAsia="仿宋_GB2312"/>
                <w:kern w:val="0"/>
              </w:rPr>
            </w:pPr>
          </w:p>
        </w:tc>
      </w:tr>
      <w:tr w14:paraId="0B9A2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6738C80">
            <w:pPr>
              <w:spacing w:line="240" w:lineRule="auto"/>
              <w:ind w:firstLine="420"/>
              <w:jc w:val="center"/>
              <w:rPr>
                <w:rFonts w:ascii="仿宋_GB2312" w:eastAsia="仿宋_GB2312"/>
                <w:kern w:val="0"/>
              </w:rPr>
            </w:pPr>
          </w:p>
        </w:tc>
        <w:tc>
          <w:tcPr>
            <w:tcW w:w="1069" w:type="dxa"/>
            <w:vMerge w:val="continue"/>
            <w:vAlign w:val="center"/>
          </w:tcPr>
          <w:p w14:paraId="28EAA273">
            <w:pPr>
              <w:spacing w:line="240" w:lineRule="auto"/>
              <w:jc w:val="center"/>
              <w:rPr>
                <w:rFonts w:hint="eastAsia" w:ascii="仿宋_GB2312" w:eastAsia="仿宋_GB2312"/>
                <w:kern w:val="0"/>
                <w:lang w:val="en-US" w:eastAsia="zh-CN"/>
              </w:rPr>
            </w:pPr>
          </w:p>
        </w:tc>
        <w:tc>
          <w:tcPr>
            <w:tcW w:w="1029" w:type="dxa"/>
            <w:vMerge w:val="continue"/>
            <w:vAlign w:val="center"/>
          </w:tcPr>
          <w:p w14:paraId="0FD658C7">
            <w:pPr>
              <w:spacing w:line="240" w:lineRule="auto"/>
              <w:jc w:val="center"/>
              <w:rPr>
                <w:rFonts w:hint="eastAsia" w:ascii="仿宋_GB2312" w:eastAsia="仿宋_GB2312"/>
                <w:kern w:val="0"/>
                <w:lang w:eastAsia="zh-CN"/>
              </w:rPr>
            </w:pPr>
          </w:p>
        </w:tc>
        <w:tc>
          <w:tcPr>
            <w:tcW w:w="1249" w:type="dxa"/>
            <w:shd w:val="clear" w:color="auto" w:fill="auto"/>
            <w:vAlign w:val="center"/>
          </w:tcPr>
          <w:p w14:paraId="0B207B4D">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执法成本</w:t>
            </w:r>
          </w:p>
        </w:tc>
        <w:tc>
          <w:tcPr>
            <w:tcW w:w="1298" w:type="dxa"/>
            <w:shd w:val="clear" w:color="auto" w:fill="auto"/>
            <w:vAlign w:val="center"/>
          </w:tcPr>
          <w:p w14:paraId="640F213D">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w:t>
            </w:r>
          </w:p>
        </w:tc>
        <w:tc>
          <w:tcPr>
            <w:tcW w:w="1269" w:type="dxa"/>
            <w:shd w:val="clear" w:color="auto" w:fill="auto"/>
            <w:vAlign w:val="center"/>
          </w:tcPr>
          <w:p w14:paraId="40079C77">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w:t>
            </w:r>
          </w:p>
        </w:tc>
        <w:tc>
          <w:tcPr>
            <w:tcW w:w="699" w:type="dxa"/>
            <w:shd w:val="clear" w:color="auto" w:fill="auto"/>
            <w:vAlign w:val="center"/>
          </w:tcPr>
          <w:p w14:paraId="77C406E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869" w:type="dxa"/>
            <w:shd w:val="clear" w:color="auto" w:fill="auto"/>
            <w:vAlign w:val="center"/>
          </w:tcPr>
          <w:p w14:paraId="1F9F71F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423" w:type="dxa"/>
            <w:vAlign w:val="center"/>
          </w:tcPr>
          <w:p w14:paraId="3F89E478">
            <w:pPr>
              <w:spacing w:line="240" w:lineRule="auto"/>
              <w:ind w:firstLine="420"/>
              <w:jc w:val="center"/>
              <w:rPr>
                <w:rFonts w:ascii="仿宋_GB2312" w:eastAsia="仿宋_GB2312"/>
                <w:kern w:val="0"/>
              </w:rPr>
            </w:pPr>
          </w:p>
        </w:tc>
      </w:tr>
      <w:tr w14:paraId="0BE06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textDirection w:val="tbRlV"/>
            <w:vAlign w:val="center"/>
          </w:tcPr>
          <w:p w14:paraId="6FD7A542">
            <w:pPr>
              <w:spacing w:line="240" w:lineRule="auto"/>
              <w:ind w:firstLine="420"/>
              <w:jc w:val="center"/>
              <w:rPr>
                <w:rFonts w:ascii="仿宋_GB2312" w:eastAsia="仿宋_GB2312"/>
                <w:kern w:val="0"/>
              </w:rPr>
            </w:pPr>
          </w:p>
        </w:tc>
        <w:tc>
          <w:tcPr>
            <w:tcW w:w="1069" w:type="dxa"/>
            <w:vMerge w:val="continue"/>
            <w:vAlign w:val="center"/>
          </w:tcPr>
          <w:p w14:paraId="2A73B0CA">
            <w:pPr>
              <w:spacing w:line="240" w:lineRule="auto"/>
              <w:jc w:val="center"/>
              <w:rPr>
                <w:rFonts w:hint="eastAsia" w:ascii="仿宋_GB2312" w:eastAsia="仿宋_GB2312"/>
                <w:kern w:val="0"/>
                <w:lang w:val="en-US" w:eastAsia="zh-CN"/>
              </w:rPr>
            </w:pPr>
          </w:p>
        </w:tc>
        <w:tc>
          <w:tcPr>
            <w:tcW w:w="1029" w:type="dxa"/>
            <w:vMerge w:val="continue"/>
            <w:vAlign w:val="center"/>
          </w:tcPr>
          <w:p w14:paraId="33A392AA">
            <w:pPr>
              <w:spacing w:line="240" w:lineRule="auto"/>
              <w:jc w:val="center"/>
              <w:rPr>
                <w:rFonts w:hint="eastAsia" w:ascii="仿宋_GB2312" w:eastAsia="仿宋_GB2312"/>
                <w:kern w:val="0"/>
                <w:lang w:eastAsia="zh-CN"/>
              </w:rPr>
            </w:pPr>
          </w:p>
        </w:tc>
        <w:tc>
          <w:tcPr>
            <w:tcW w:w="1249" w:type="dxa"/>
            <w:shd w:val="clear" w:color="auto" w:fill="auto"/>
            <w:vAlign w:val="center"/>
          </w:tcPr>
          <w:p w14:paraId="63FFAAA0">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统计成本</w:t>
            </w:r>
          </w:p>
        </w:tc>
        <w:tc>
          <w:tcPr>
            <w:tcW w:w="1298" w:type="dxa"/>
            <w:shd w:val="clear" w:color="auto" w:fill="auto"/>
            <w:vAlign w:val="center"/>
          </w:tcPr>
          <w:p w14:paraId="790D030E">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w:t>
            </w:r>
          </w:p>
        </w:tc>
        <w:tc>
          <w:tcPr>
            <w:tcW w:w="1269" w:type="dxa"/>
            <w:shd w:val="clear" w:color="auto" w:fill="auto"/>
            <w:vAlign w:val="center"/>
          </w:tcPr>
          <w:p w14:paraId="507D520D">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w:t>
            </w:r>
          </w:p>
        </w:tc>
        <w:tc>
          <w:tcPr>
            <w:tcW w:w="699" w:type="dxa"/>
            <w:shd w:val="clear" w:color="auto" w:fill="auto"/>
            <w:vAlign w:val="center"/>
          </w:tcPr>
          <w:p w14:paraId="78B9C28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69" w:type="dxa"/>
            <w:shd w:val="clear" w:color="auto" w:fill="auto"/>
            <w:vAlign w:val="center"/>
          </w:tcPr>
          <w:p w14:paraId="3996B12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423" w:type="dxa"/>
            <w:vAlign w:val="center"/>
          </w:tcPr>
          <w:p w14:paraId="2F680797">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restart"/>
            <w:textDirection w:val="tbRlV"/>
            <w:vAlign w:val="center"/>
          </w:tcPr>
          <w:p w14:paraId="384D7158">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w:t>
            </w:r>
          </w:p>
        </w:tc>
        <w:tc>
          <w:tcPr>
            <w:tcW w:w="1298" w:type="dxa"/>
            <w:shd w:val="clear" w:color="auto" w:fill="auto"/>
            <w:vAlign w:val="center"/>
          </w:tcPr>
          <w:p w14:paraId="09361E43">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w:t>
            </w:r>
          </w:p>
        </w:tc>
        <w:tc>
          <w:tcPr>
            <w:tcW w:w="1269" w:type="dxa"/>
            <w:shd w:val="clear" w:color="auto" w:fill="auto"/>
            <w:vAlign w:val="center"/>
          </w:tcPr>
          <w:p w14:paraId="32DCD303">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w:t>
            </w:r>
          </w:p>
        </w:tc>
        <w:tc>
          <w:tcPr>
            <w:tcW w:w="699" w:type="dxa"/>
            <w:shd w:val="clear" w:color="auto" w:fill="auto"/>
            <w:vAlign w:val="center"/>
          </w:tcPr>
          <w:p w14:paraId="765229A3">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869" w:type="dxa"/>
            <w:shd w:val="clear" w:color="auto" w:fill="auto"/>
            <w:vAlign w:val="center"/>
          </w:tcPr>
          <w:p w14:paraId="4012A71B">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w:t>
            </w:r>
          </w:p>
        </w:tc>
        <w:tc>
          <w:tcPr>
            <w:tcW w:w="1298" w:type="dxa"/>
            <w:shd w:val="clear" w:color="auto" w:fill="auto"/>
            <w:vAlign w:val="center"/>
          </w:tcPr>
          <w:p w14:paraId="789CDCB9">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w:t>
            </w:r>
          </w:p>
        </w:tc>
        <w:tc>
          <w:tcPr>
            <w:tcW w:w="1269" w:type="dxa"/>
            <w:shd w:val="clear" w:color="auto" w:fill="auto"/>
            <w:vAlign w:val="center"/>
          </w:tcPr>
          <w:p w14:paraId="4E354EE6">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无</w:t>
            </w:r>
          </w:p>
        </w:tc>
        <w:tc>
          <w:tcPr>
            <w:tcW w:w="699" w:type="dxa"/>
            <w:shd w:val="clear" w:color="auto" w:fill="auto"/>
            <w:vAlign w:val="center"/>
          </w:tcPr>
          <w:p w14:paraId="6C36DE67">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869" w:type="dxa"/>
            <w:shd w:val="clear" w:color="auto" w:fill="auto"/>
            <w:vAlign w:val="center"/>
          </w:tcPr>
          <w:p w14:paraId="6B31F2AB">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C98A1A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E70498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9859DA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36FCDB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A76A8B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周末惠民梨园剧场专项资金</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汨罗市文化旅游广电局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汨罗江畔端午习俗传承研究中心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E136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3D3AC3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86F5ED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jc w:val="both"/>
              <w:rPr>
                <w:rFonts w:ascii="仿宋_GB2312" w:hAnsi="宋体" w:eastAsia="仿宋_GB2312" w:cs="宋体"/>
                <w:kern w:val="0"/>
              </w:rPr>
            </w:pPr>
            <w:r>
              <w:rPr>
                <w:rFonts w:hint="eastAsia" w:ascii="仿宋_GB2312" w:hAnsi="宋体" w:eastAsia="仿宋_GB2312" w:cs="宋体"/>
                <w:kern w:val="0"/>
              </w:rPr>
              <w:t>2023年我中心排练厅拟在原有的基础上继续进行升级，添置灯光、音响等必备演艺设备，将其打造成“周末惠民梨园剧场”，为让广大“票友”在家门口就能享受花鼓戏艺术熏陶，感受文化带来的获得感。</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按时按量完成周末惠民梨园剧场的升级改造</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添置灯光96个、音响2套等必备演艺设备</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添置灯光96个、音响2套等必备演艺设备</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shd w:val="clear" w:color="auto" w:fill="auto"/>
            <w:vAlign w:val="center"/>
          </w:tcPr>
          <w:p w14:paraId="450DEC19">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shd w:val="clear" w:color="auto" w:fill="auto"/>
            <w:vAlign w:val="center"/>
          </w:tcPr>
          <w:p w14:paraId="5F7B7A4C">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keepNext w:val="0"/>
              <w:keepLines w:val="0"/>
              <w:widowControl/>
              <w:suppressLineNumbers w:val="0"/>
              <w:jc w:val="left"/>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仿宋" w:hAnsi="仿宋" w:eastAsia="仿宋" w:cs="仿宋"/>
              </w:rPr>
              <w:t>工程验收合格</w:t>
            </w:r>
          </w:p>
        </w:tc>
        <w:tc>
          <w:tcPr>
            <w:tcW w:w="1099" w:type="dxa"/>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DC861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rPr>
              <w:t>2023年12月底前完成</w:t>
            </w:r>
          </w:p>
        </w:tc>
        <w:tc>
          <w:tcPr>
            <w:tcW w:w="1099" w:type="dxa"/>
            <w:vAlign w:val="center"/>
          </w:tcPr>
          <w:p w14:paraId="015D039B">
            <w:pPr>
              <w:spacing w:line="240" w:lineRule="auto"/>
              <w:jc w:val="both"/>
              <w:rPr>
                <w:rFonts w:ascii="仿宋_GB2312" w:hAnsi="宋体" w:eastAsia="仿宋_GB2312" w:cs="宋体"/>
                <w:kern w:val="0"/>
              </w:rPr>
            </w:pPr>
            <w:r>
              <w:rPr>
                <w:rFonts w:hint="eastAsia" w:ascii="仿宋_GB2312" w:hAnsi="宋体" w:eastAsia="仿宋_GB2312" w:cs="宋体"/>
                <w:kern w:val="0"/>
              </w:rPr>
              <w:t>2023年全年</w:t>
            </w:r>
          </w:p>
        </w:tc>
        <w:tc>
          <w:tcPr>
            <w:tcW w:w="1099" w:type="dxa"/>
            <w:vAlign w:val="center"/>
          </w:tcPr>
          <w:p w14:paraId="5C21687F">
            <w:pPr>
              <w:spacing w:line="240" w:lineRule="auto"/>
              <w:jc w:val="both"/>
              <w:rPr>
                <w:rFonts w:ascii="仿宋_GB2312" w:hAnsi="宋体" w:eastAsia="仿宋_GB2312" w:cs="宋体"/>
                <w:kern w:val="0"/>
              </w:rPr>
            </w:pPr>
            <w:r>
              <w:rPr>
                <w:rFonts w:hint="eastAsia" w:ascii="仿宋_GB2312" w:hAnsi="宋体" w:eastAsia="仿宋_GB2312" w:cs="宋体"/>
                <w:kern w:val="0"/>
              </w:rPr>
              <w:t>2023年全年</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rPr>
              <w:t>推动文旅发展</w:t>
            </w:r>
          </w:p>
        </w:tc>
        <w:tc>
          <w:tcPr>
            <w:tcW w:w="1099" w:type="dxa"/>
            <w:vAlign w:val="center"/>
          </w:tcPr>
          <w:p w14:paraId="53928C31">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6D883DDF">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rPr>
              <w:t>提供人民群众文化精神食粮</w:t>
            </w:r>
          </w:p>
        </w:tc>
        <w:tc>
          <w:tcPr>
            <w:tcW w:w="1099" w:type="dxa"/>
            <w:vAlign w:val="center"/>
          </w:tcPr>
          <w:p w14:paraId="01875392">
            <w:pPr>
              <w:spacing w:line="240" w:lineRule="auto"/>
              <w:jc w:val="both"/>
              <w:rPr>
                <w:rFonts w:ascii="仿宋_GB2312" w:hAnsi="宋体" w:eastAsia="仿宋_GB2312" w:cs="宋体"/>
                <w:kern w:val="0"/>
              </w:rPr>
            </w:pPr>
            <w:r>
              <w:rPr>
                <w:rFonts w:hint="eastAsia" w:ascii="仿宋_GB2312" w:hAnsi="宋体" w:eastAsia="仿宋_GB2312" w:cs="宋体"/>
                <w:kern w:val="0"/>
              </w:rPr>
              <w:t>张扬社会主义注流价值观，传播社会正能量 ，具有良好的思想性和教育意义</w:t>
            </w:r>
          </w:p>
        </w:tc>
        <w:tc>
          <w:tcPr>
            <w:tcW w:w="1099" w:type="dxa"/>
            <w:vAlign w:val="center"/>
          </w:tcPr>
          <w:p w14:paraId="4101F8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14:paraId="286C2197">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14:paraId="4CA75DEB">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14:paraId="491BA9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BF7EB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ascii="仿宋_GB2312" w:hAnsi="宋体" w:eastAsia="仿宋_GB2312" w:cs="宋体"/>
                <w:kern w:val="0"/>
              </w:rPr>
            </w:pPr>
            <w:r>
              <w:rPr>
                <w:rFonts w:hint="eastAsia" w:ascii="仿宋_GB2312" w:hAnsi="宋体" w:eastAsia="仿宋_GB2312" w:cs="宋体"/>
                <w:kern w:val="0"/>
              </w:rPr>
              <w:t>通过艺术展演提高市民文化素养</w:t>
            </w:r>
          </w:p>
        </w:tc>
        <w:tc>
          <w:tcPr>
            <w:tcW w:w="1099" w:type="dxa"/>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14:paraId="49A57C7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44D5C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ascii="仿宋_GB2312" w:hAnsi="宋体" w:eastAsia="仿宋_GB2312" w:cs="宋体"/>
                <w:kern w:val="0"/>
              </w:rPr>
            </w:pPr>
            <w:r>
              <w:rPr>
                <w:rFonts w:hint="eastAsia" w:ascii="仿宋_GB2312" w:hAnsi="宋体" w:eastAsia="仿宋_GB2312" w:cs="宋体"/>
                <w:kern w:val="0"/>
              </w:rPr>
              <w:t>受益群体对维修改造工程的满意度</w:t>
            </w:r>
          </w:p>
        </w:tc>
        <w:tc>
          <w:tcPr>
            <w:tcW w:w="1099" w:type="dxa"/>
            <w:vAlign w:val="center"/>
          </w:tcPr>
          <w:p w14:paraId="10DB725A">
            <w:pPr>
              <w:spacing w:line="240" w:lineRule="auto"/>
              <w:jc w:val="both"/>
              <w:rPr>
                <w:rFonts w:ascii="仿宋_GB2312" w:hAnsi="宋体" w:eastAsia="仿宋_GB2312" w:cs="宋体"/>
                <w:kern w:val="0"/>
              </w:rPr>
            </w:pPr>
            <w:r>
              <w:rPr>
                <w:rFonts w:hint="eastAsia" w:ascii="仿宋_GB2312" w:hAnsi="宋体" w:eastAsia="仿宋_GB2312" w:cs="宋体"/>
                <w:kern w:val="0"/>
              </w:rPr>
              <w:t>做到社会和服务对象满意</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ascii="仿宋_GB2312" w:hAnsi="宋体" w:eastAsia="仿宋_GB2312" w:cs="宋体"/>
                <w:kern w:val="0"/>
              </w:rPr>
            </w:pPr>
            <w:r>
              <w:rPr>
                <w:rFonts w:hint="eastAsia" w:ascii="仿宋_GB2312" w:hAnsi="宋体" w:eastAsia="仿宋_GB2312" w:cs="宋体"/>
                <w:kern w:val="0"/>
              </w:rPr>
              <w:t>预算数50万元</w:t>
            </w:r>
          </w:p>
        </w:tc>
        <w:tc>
          <w:tcPr>
            <w:tcW w:w="1099" w:type="dxa"/>
            <w:vAlign w:val="center"/>
          </w:tcPr>
          <w:p w14:paraId="7D8FEFD1">
            <w:pPr>
              <w:spacing w:line="240" w:lineRule="auto"/>
              <w:jc w:val="both"/>
              <w:rPr>
                <w:rFonts w:ascii="仿宋_GB2312" w:hAnsi="宋体" w:eastAsia="仿宋_GB2312" w:cs="宋体"/>
                <w:kern w:val="0"/>
              </w:rPr>
            </w:pPr>
            <w:r>
              <w:rPr>
                <w:rFonts w:hint="eastAsia" w:ascii="仿宋_GB2312" w:hAnsi="宋体" w:eastAsia="仿宋_GB2312" w:cs="宋体"/>
                <w:kern w:val="0"/>
              </w:rPr>
              <w:t>全年执行数50万元</w:t>
            </w:r>
          </w:p>
        </w:tc>
        <w:tc>
          <w:tcPr>
            <w:tcW w:w="1099" w:type="dxa"/>
            <w:vAlign w:val="center"/>
          </w:tcPr>
          <w:p w14:paraId="729BFD57">
            <w:pPr>
              <w:spacing w:line="240" w:lineRule="auto"/>
              <w:jc w:val="both"/>
              <w:rPr>
                <w:rFonts w:ascii="仿宋_GB2312" w:hAnsi="宋体" w:eastAsia="仿宋_GB2312" w:cs="宋体"/>
                <w:kern w:val="0"/>
              </w:rPr>
            </w:pPr>
            <w:r>
              <w:rPr>
                <w:rFonts w:hint="eastAsia" w:ascii="仿宋_GB2312" w:hAnsi="宋体" w:eastAsia="仿宋_GB2312" w:cs="宋体"/>
                <w:kern w:val="0"/>
              </w:rPr>
              <w:t>全年执行数50万元</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005FDF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B5F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1F679A5">
            <w:pPr>
              <w:spacing w:line="240" w:lineRule="auto"/>
              <w:ind w:firstLine="420"/>
              <w:jc w:val="center"/>
              <w:rPr>
                <w:rFonts w:ascii="仿宋_GB2312" w:hAnsi="宋体" w:eastAsia="仿宋_GB2312" w:cs="宋体"/>
                <w:kern w:val="0"/>
              </w:rPr>
            </w:pPr>
          </w:p>
        </w:tc>
        <w:tc>
          <w:tcPr>
            <w:tcW w:w="1059" w:type="dxa"/>
            <w:vMerge w:val="continue"/>
            <w:vAlign w:val="center"/>
          </w:tcPr>
          <w:p w14:paraId="38C316AF">
            <w:pPr>
              <w:spacing w:line="240" w:lineRule="auto"/>
              <w:jc w:val="center"/>
              <w:rPr>
                <w:rFonts w:hint="eastAsia" w:ascii="仿宋_GB2312" w:eastAsia="仿宋_GB2312"/>
                <w:kern w:val="0"/>
                <w:lang w:val="en-US" w:eastAsia="zh-CN"/>
              </w:rPr>
            </w:pPr>
          </w:p>
        </w:tc>
        <w:tc>
          <w:tcPr>
            <w:tcW w:w="1218" w:type="dxa"/>
            <w:vMerge w:val="continue"/>
            <w:vAlign w:val="center"/>
          </w:tcPr>
          <w:p w14:paraId="4C4E154D">
            <w:pPr>
              <w:spacing w:line="240" w:lineRule="auto"/>
              <w:jc w:val="center"/>
              <w:rPr>
                <w:rFonts w:hint="eastAsia" w:ascii="仿宋_GB2312" w:eastAsia="仿宋_GB2312"/>
                <w:kern w:val="0"/>
                <w:lang w:eastAsia="zh-CN"/>
              </w:rPr>
            </w:pPr>
          </w:p>
        </w:tc>
        <w:tc>
          <w:tcPr>
            <w:tcW w:w="1020" w:type="dxa"/>
            <w:vAlign w:val="center"/>
          </w:tcPr>
          <w:p w14:paraId="6F6C8067">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执法成本</w:t>
            </w:r>
          </w:p>
        </w:tc>
        <w:tc>
          <w:tcPr>
            <w:tcW w:w="1099" w:type="dxa"/>
            <w:vAlign w:val="center"/>
          </w:tcPr>
          <w:p w14:paraId="7246CCDC">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1092586A">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1134BB4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731813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201D7EB7">
            <w:pPr>
              <w:spacing w:line="240" w:lineRule="auto"/>
              <w:ind w:firstLine="420"/>
              <w:jc w:val="center"/>
              <w:rPr>
                <w:rFonts w:ascii="仿宋_GB2312" w:hAnsi="宋体" w:eastAsia="仿宋_GB2312" w:cs="宋体"/>
                <w:kern w:val="0"/>
              </w:rPr>
            </w:pPr>
          </w:p>
        </w:tc>
      </w:tr>
      <w:tr w14:paraId="50924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1B7D381">
            <w:pPr>
              <w:spacing w:line="240" w:lineRule="auto"/>
              <w:ind w:firstLine="420"/>
              <w:jc w:val="center"/>
              <w:rPr>
                <w:rFonts w:ascii="仿宋_GB2312" w:hAnsi="宋体" w:eastAsia="仿宋_GB2312" w:cs="宋体"/>
                <w:kern w:val="0"/>
              </w:rPr>
            </w:pPr>
          </w:p>
        </w:tc>
        <w:tc>
          <w:tcPr>
            <w:tcW w:w="1059" w:type="dxa"/>
            <w:vMerge w:val="continue"/>
            <w:vAlign w:val="center"/>
          </w:tcPr>
          <w:p w14:paraId="3ECDCD3F">
            <w:pPr>
              <w:spacing w:line="240" w:lineRule="auto"/>
              <w:jc w:val="center"/>
              <w:rPr>
                <w:rFonts w:hint="eastAsia" w:ascii="仿宋_GB2312" w:eastAsia="仿宋_GB2312"/>
                <w:kern w:val="0"/>
                <w:lang w:val="en-US" w:eastAsia="zh-CN"/>
              </w:rPr>
            </w:pPr>
          </w:p>
        </w:tc>
        <w:tc>
          <w:tcPr>
            <w:tcW w:w="1218" w:type="dxa"/>
            <w:vMerge w:val="continue"/>
            <w:vAlign w:val="center"/>
          </w:tcPr>
          <w:p w14:paraId="45FA98E1">
            <w:pPr>
              <w:spacing w:line="240" w:lineRule="auto"/>
              <w:jc w:val="center"/>
              <w:rPr>
                <w:rFonts w:hint="eastAsia" w:ascii="仿宋_GB2312" w:eastAsia="仿宋_GB2312"/>
                <w:kern w:val="0"/>
                <w:lang w:eastAsia="zh-CN"/>
              </w:rPr>
            </w:pPr>
          </w:p>
        </w:tc>
        <w:tc>
          <w:tcPr>
            <w:tcW w:w="1020" w:type="dxa"/>
            <w:vAlign w:val="center"/>
          </w:tcPr>
          <w:p w14:paraId="0C53DB83">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统计成本</w:t>
            </w:r>
          </w:p>
        </w:tc>
        <w:tc>
          <w:tcPr>
            <w:tcW w:w="1099" w:type="dxa"/>
            <w:vAlign w:val="center"/>
          </w:tcPr>
          <w:p w14:paraId="013218D9">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16DF289B">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1D4FF1B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153384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33115506">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D2066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515A67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无</w:t>
            </w:r>
          </w:p>
        </w:tc>
        <w:tc>
          <w:tcPr>
            <w:tcW w:w="1099" w:type="dxa"/>
            <w:vAlign w:val="center"/>
          </w:tcPr>
          <w:p w14:paraId="79BCBE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无</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14:paraId="52AC4F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无</w:t>
            </w:r>
          </w:p>
        </w:tc>
        <w:tc>
          <w:tcPr>
            <w:tcW w:w="1099" w:type="dxa"/>
            <w:vAlign w:val="center"/>
          </w:tcPr>
          <w:p w14:paraId="0867B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无</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6A27644">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909A085">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609FEB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284390E">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C14B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A738EC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BB8BB2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花鼓戏制作专项资金</w:t>
            </w:r>
          </w:p>
        </w:tc>
      </w:tr>
      <w:tr w14:paraId="67BDC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3A4F8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14:paraId="44975B3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汨罗市文化旅游广电局</w:t>
            </w:r>
          </w:p>
        </w:tc>
        <w:tc>
          <w:tcPr>
            <w:tcW w:w="1099" w:type="dxa"/>
            <w:vAlign w:val="center"/>
          </w:tcPr>
          <w:p w14:paraId="0ABBE6D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FE443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34D5B58">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汨罗江畔端午习俗传承研究中心</w:t>
            </w:r>
          </w:p>
        </w:tc>
      </w:tr>
      <w:tr w14:paraId="5377D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A414F9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88EC50E">
            <w:pPr>
              <w:spacing w:line="240" w:lineRule="auto"/>
              <w:ind w:firstLine="420"/>
              <w:jc w:val="center"/>
              <w:rPr>
                <w:rFonts w:ascii="仿宋_GB2312" w:hAnsi="宋体" w:eastAsia="仿宋_GB2312" w:cs="宋体"/>
                <w:kern w:val="0"/>
                <w:lang w:eastAsia="zh-CN"/>
              </w:rPr>
            </w:pPr>
          </w:p>
        </w:tc>
        <w:tc>
          <w:tcPr>
            <w:tcW w:w="1020" w:type="dxa"/>
            <w:vAlign w:val="center"/>
          </w:tcPr>
          <w:p w14:paraId="14603F1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455746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04F08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FABE2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D2A5D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5EDE6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E2E6C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4F6DE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5D6385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6F6B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4BC5B1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D376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E522B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BE75A3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84.37</w:t>
            </w:r>
          </w:p>
        </w:tc>
        <w:tc>
          <w:tcPr>
            <w:tcW w:w="1099" w:type="dxa"/>
            <w:vAlign w:val="center"/>
          </w:tcPr>
          <w:p w14:paraId="452B9DF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84.37</w:t>
            </w:r>
          </w:p>
        </w:tc>
        <w:tc>
          <w:tcPr>
            <w:tcW w:w="809" w:type="dxa"/>
            <w:vAlign w:val="center"/>
          </w:tcPr>
          <w:p w14:paraId="0F89E36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E3798A1">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383" w:type="dxa"/>
            <w:vAlign w:val="center"/>
          </w:tcPr>
          <w:p w14:paraId="664B2F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0146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2CAFAD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19F3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8F981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CDAE6D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84.37</w:t>
            </w:r>
          </w:p>
        </w:tc>
        <w:tc>
          <w:tcPr>
            <w:tcW w:w="1099" w:type="dxa"/>
            <w:vAlign w:val="center"/>
          </w:tcPr>
          <w:p w14:paraId="1CDE704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84.37</w:t>
            </w:r>
          </w:p>
        </w:tc>
        <w:tc>
          <w:tcPr>
            <w:tcW w:w="809" w:type="dxa"/>
            <w:vAlign w:val="center"/>
          </w:tcPr>
          <w:p w14:paraId="264EF202">
            <w:pPr>
              <w:spacing w:line="240" w:lineRule="auto"/>
              <w:ind w:firstLine="420"/>
              <w:jc w:val="center"/>
              <w:rPr>
                <w:rFonts w:ascii="仿宋_GB2312" w:hAnsi="宋体" w:eastAsia="仿宋_GB2312" w:cs="宋体"/>
                <w:kern w:val="0"/>
                <w:lang w:eastAsia="zh-CN"/>
              </w:rPr>
            </w:pPr>
          </w:p>
        </w:tc>
        <w:tc>
          <w:tcPr>
            <w:tcW w:w="849" w:type="dxa"/>
            <w:vAlign w:val="center"/>
          </w:tcPr>
          <w:p w14:paraId="167993CD">
            <w:pPr>
              <w:spacing w:line="240" w:lineRule="auto"/>
              <w:ind w:firstLine="420"/>
              <w:jc w:val="center"/>
              <w:rPr>
                <w:rFonts w:ascii="仿宋_GB2312" w:hAnsi="宋体" w:eastAsia="仿宋_GB2312" w:cs="宋体"/>
                <w:kern w:val="0"/>
                <w:lang w:eastAsia="zh-CN"/>
              </w:rPr>
            </w:pPr>
          </w:p>
        </w:tc>
        <w:tc>
          <w:tcPr>
            <w:tcW w:w="1383" w:type="dxa"/>
            <w:vAlign w:val="center"/>
          </w:tcPr>
          <w:p w14:paraId="557CA570">
            <w:pPr>
              <w:spacing w:line="240" w:lineRule="auto"/>
              <w:ind w:firstLine="420"/>
              <w:jc w:val="center"/>
              <w:rPr>
                <w:rFonts w:ascii="仿宋_GB2312" w:hAnsi="宋体" w:eastAsia="仿宋_GB2312" w:cs="宋体"/>
                <w:kern w:val="0"/>
                <w:lang w:eastAsia="zh-CN"/>
              </w:rPr>
            </w:pPr>
          </w:p>
        </w:tc>
      </w:tr>
      <w:tr w14:paraId="69E7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21D258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9D4835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2D63ED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71D327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A20B0A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778BED4C">
            <w:pPr>
              <w:spacing w:line="240" w:lineRule="auto"/>
              <w:ind w:firstLine="420"/>
              <w:jc w:val="center"/>
              <w:rPr>
                <w:rFonts w:ascii="仿宋_GB2312" w:hAnsi="宋体" w:eastAsia="仿宋_GB2312" w:cs="宋体"/>
                <w:kern w:val="0"/>
                <w:lang w:eastAsia="zh-CN"/>
              </w:rPr>
            </w:pPr>
          </w:p>
        </w:tc>
        <w:tc>
          <w:tcPr>
            <w:tcW w:w="849" w:type="dxa"/>
            <w:vAlign w:val="center"/>
          </w:tcPr>
          <w:p w14:paraId="76DE39C8">
            <w:pPr>
              <w:spacing w:line="240" w:lineRule="auto"/>
              <w:ind w:firstLine="420"/>
              <w:jc w:val="center"/>
              <w:rPr>
                <w:rFonts w:ascii="仿宋_GB2312" w:hAnsi="宋体" w:eastAsia="仿宋_GB2312" w:cs="宋体"/>
                <w:kern w:val="0"/>
                <w:lang w:eastAsia="zh-CN"/>
              </w:rPr>
            </w:pPr>
          </w:p>
        </w:tc>
        <w:tc>
          <w:tcPr>
            <w:tcW w:w="1383" w:type="dxa"/>
            <w:vAlign w:val="center"/>
          </w:tcPr>
          <w:p w14:paraId="16DCDD3E">
            <w:pPr>
              <w:spacing w:line="240" w:lineRule="auto"/>
              <w:ind w:firstLine="420"/>
              <w:jc w:val="center"/>
              <w:rPr>
                <w:rFonts w:ascii="仿宋_GB2312" w:hAnsi="宋体" w:eastAsia="仿宋_GB2312" w:cs="宋体"/>
                <w:kern w:val="0"/>
                <w:lang w:eastAsia="zh-CN"/>
              </w:rPr>
            </w:pPr>
          </w:p>
        </w:tc>
      </w:tr>
      <w:tr w14:paraId="2671D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D4FFED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D78376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C775C4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683756A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F47292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14891FF6">
            <w:pPr>
              <w:spacing w:line="240" w:lineRule="auto"/>
              <w:ind w:firstLine="420"/>
              <w:jc w:val="center"/>
              <w:rPr>
                <w:rFonts w:ascii="仿宋_GB2312" w:hAnsi="宋体" w:eastAsia="仿宋_GB2312" w:cs="宋体"/>
                <w:kern w:val="0"/>
              </w:rPr>
            </w:pPr>
          </w:p>
        </w:tc>
        <w:tc>
          <w:tcPr>
            <w:tcW w:w="849" w:type="dxa"/>
            <w:vAlign w:val="center"/>
          </w:tcPr>
          <w:p w14:paraId="48FC1091">
            <w:pPr>
              <w:spacing w:line="240" w:lineRule="auto"/>
              <w:ind w:firstLine="420"/>
              <w:jc w:val="center"/>
              <w:rPr>
                <w:rFonts w:ascii="仿宋_GB2312" w:hAnsi="宋体" w:eastAsia="仿宋_GB2312" w:cs="宋体"/>
                <w:kern w:val="0"/>
              </w:rPr>
            </w:pPr>
          </w:p>
        </w:tc>
        <w:tc>
          <w:tcPr>
            <w:tcW w:w="1383" w:type="dxa"/>
            <w:vAlign w:val="center"/>
          </w:tcPr>
          <w:p w14:paraId="2A4C33FF">
            <w:pPr>
              <w:spacing w:line="240" w:lineRule="auto"/>
              <w:ind w:firstLine="420"/>
              <w:jc w:val="center"/>
              <w:rPr>
                <w:rFonts w:ascii="仿宋_GB2312" w:hAnsi="宋体" w:eastAsia="仿宋_GB2312" w:cs="宋体"/>
                <w:kern w:val="0"/>
              </w:rPr>
            </w:pPr>
          </w:p>
        </w:tc>
      </w:tr>
      <w:tr w14:paraId="2D11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6F9F16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A55B4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8A07F0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2584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E60A4F7">
            <w:pPr>
              <w:spacing w:line="240" w:lineRule="auto"/>
              <w:ind w:firstLine="420"/>
              <w:jc w:val="center"/>
              <w:rPr>
                <w:rFonts w:ascii="仿宋_GB2312" w:hAnsi="宋体" w:eastAsia="仿宋_GB2312" w:cs="宋体"/>
                <w:kern w:val="0"/>
              </w:rPr>
            </w:pPr>
          </w:p>
        </w:tc>
        <w:tc>
          <w:tcPr>
            <w:tcW w:w="4396" w:type="dxa"/>
            <w:gridSpan w:val="4"/>
            <w:vAlign w:val="center"/>
          </w:tcPr>
          <w:p w14:paraId="09C1C01D">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1.挖掘、收集、整理、编排七十二本传承花鼓戏</w:t>
            </w:r>
          </w:p>
          <w:p w14:paraId="26E18085">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2.原创小戏《明灯》</w:t>
            </w:r>
          </w:p>
          <w:p w14:paraId="4C9A2227">
            <w:pPr>
              <w:spacing w:line="240" w:lineRule="auto"/>
              <w:jc w:val="both"/>
              <w:rPr>
                <w:rFonts w:ascii="仿宋_GB2312" w:hAnsi="宋体" w:eastAsia="仿宋_GB2312" w:cs="宋体"/>
                <w:kern w:val="0"/>
              </w:rPr>
            </w:pPr>
            <w:r>
              <w:rPr>
                <w:rFonts w:hint="eastAsia" w:ascii="仿宋_GB2312" w:hAnsi="宋体" w:eastAsia="仿宋_GB2312" w:cs="宋体"/>
                <w:kern w:val="0"/>
              </w:rPr>
              <w:t>3.复排大型现代花鼓戏《平民领袖》</w:t>
            </w:r>
          </w:p>
        </w:tc>
        <w:tc>
          <w:tcPr>
            <w:tcW w:w="4140" w:type="dxa"/>
            <w:gridSpan w:val="4"/>
            <w:vAlign w:val="center"/>
          </w:tcPr>
          <w:p w14:paraId="280D2786">
            <w:pPr>
              <w:spacing w:line="240" w:lineRule="auto"/>
              <w:jc w:val="both"/>
              <w:rPr>
                <w:rFonts w:ascii="仿宋_GB2312" w:hAnsi="宋体" w:eastAsia="仿宋_GB2312" w:cs="宋体"/>
                <w:kern w:val="0"/>
              </w:rPr>
            </w:pPr>
            <w:r>
              <w:rPr>
                <w:rFonts w:hint="eastAsia" w:ascii="仿宋_GB2312" w:hAnsi="宋体" w:eastAsia="仿宋_GB2312" w:cs="宋体"/>
                <w:kern w:val="0"/>
              </w:rPr>
              <w:t>复排精典剧目《贤淑女》《状元与乞丐》并下乡巡演；精准扶贫小戏《解坨》申报中国戏剧家协会举办的全国优秀小戏小品展演活动；《家国有喜》参加2023年国际护士节开幕式演出；新创戏曲表演唱《不要彩礼，要幸福》参加了市妇联移风易俗的活动；并申报参加全国妇联移风易俗活动；成功复排《平民领袖》入选2023年全国春节云上舞台展演；原创小戏《明灯》参加第五届岳阳文化艺术节廉政专场演出及比赛获金奖。</w:t>
            </w:r>
          </w:p>
        </w:tc>
      </w:tr>
      <w:tr w14:paraId="51D4D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BE11BBF">
            <w:pPr>
              <w:spacing w:line="240" w:lineRule="auto"/>
              <w:ind w:firstLine="420"/>
              <w:jc w:val="center"/>
              <w:rPr>
                <w:rFonts w:ascii="仿宋_GB2312" w:hAnsi="宋体" w:eastAsia="仿宋_GB2312" w:cs="宋体"/>
                <w:kern w:val="0"/>
              </w:rPr>
            </w:pPr>
          </w:p>
          <w:p w14:paraId="1CCF18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8F757E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781871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6CE776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B7C86C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18DE42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3CB136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DA20BE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E7C4D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9DCB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567069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20A853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197995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3AF4DB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BDD1828">
            <w:pPr>
              <w:spacing w:line="240" w:lineRule="auto"/>
              <w:jc w:val="both"/>
              <w:rPr>
                <w:rFonts w:ascii="仿宋_GB2312" w:hAnsi="宋体" w:eastAsia="仿宋_GB2312" w:cs="宋体"/>
                <w:kern w:val="0"/>
              </w:rPr>
            </w:pPr>
            <w:r>
              <w:rPr>
                <w:rFonts w:hint="eastAsia" w:ascii="仿宋_GB2312" w:hAnsi="宋体" w:eastAsia="仿宋_GB2312" w:cs="宋体"/>
                <w:kern w:val="0"/>
              </w:rPr>
              <w:t>传统戏演出场次</w:t>
            </w:r>
          </w:p>
        </w:tc>
        <w:tc>
          <w:tcPr>
            <w:tcW w:w="1099" w:type="dxa"/>
            <w:vAlign w:val="center"/>
          </w:tcPr>
          <w:p w14:paraId="6B80CF6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≥84场</w:t>
            </w:r>
          </w:p>
        </w:tc>
        <w:tc>
          <w:tcPr>
            <w:tcW w:w="1099" w:type="dxa"/>
            <w:vAlign w:val="center"/>
          </w:tcPr>
          <w:p w14:paraId="4CA65A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95场</w:t>
            </w:r>
          </w:p>
        </w:tc>
        <w:tc>
          <w:tcPr>
            <w:tcW w:w="809" w:type="dxa"/>
            <w:vAlign w:val="center"/>
          </w:tcPr>
          <w:p w14:paraId="5B75B79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A45EEA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4873D89">
            <w:pPr>
              <w:spacing w:line="240" w:lineRule="auto"/>
              <w:ind w:firstLine="420"/>
              <w:jc w:val="center"/>
              <w:rPr>
                <w:rFonts w:ascii="仿宋_GB2312" w:hAnsi="宋体" w:eastAsia="仿宋_GB2312" w:cs="宋体"/>
                <w:kern w:val="0"/>
              </w:rPr>
            </w:pPr>
          </w:p>
        </w:tc>
      </w:tr>
      <w:tr w14:paraId="1B05A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C8D6D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6EED8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7F35150">
            <w:pPr>
              <w:spacing w:line="240" w:lineRule="auto"/>
              <w:ind w:firstLine="420"/>
              <w:jc w:val="center"/>
              <w:rPr>
                <w:rFonts w:ascii="仿宋_GB2312" w:hAnsi="宋体" w:eastAsia="仿宋_GB2312" w:cs="宋体"/>
                <w:kern w:val="0"/>
              </w:rPr>
            </w:pPr>
          </w:p>
        </w:tc>
        <w:tc>
          <w:tcPr>
            <w:tcW w:w="1020" w:type="dxa"/>
            <w:vAlign w:val="center"/>
          </w:tcPr>
          <w:p w14:paraId="7D7F68E1">
            <w:pPr>
              <w:spacing w:line="240" w:lineRule="auto"/>
              <w:ind w:firstLine="420"/>
              <w:jc w:val="center"/>
              <w:rPr>
                <w:rFonts w:ascii="仿宋_GB2312" w:hAnsi="宋体" w:eastAsia="仿宋_GB2312" w:cs="宋体"/>
                <w:kern w:val="0"/>
              </w:rPr>
            </w:pPr>
          </w:p>
        </w:tc>
        <w:tc>
          <w:tcPr>
            <w:tcW w:w="1099" w:type="dxa"/>
            <w:vAlign w:val="center"/>
          </w:tcPr>
          <w:p w14:paraId="19E9688F">
            <w:pPr>
              <w:spacing w:line="240" w:lineRule="auto"/>
              <w:ind w:firstLine="420"/>
              <w:jc w:val="center"/>
              <w:rPr>
                <w:rFonts w:ascii="仿宋_GB2312" w:hAnsi="宋体" w:eastAsia="仿宋_GB2312" w:cs="宋体"/>
                <w:kern w:val="0"/>
              </w:rPr>
            </w:pPr>
          </w:p>
        </w:tc>
        <w:tc>
          <w:tcPr>
            <w:tcW w:w="1099" w:type="dxa"/>
            <w:vAlign w:val="center"/>
          </w:tcPr>
          <w:p w14:paraId="57457065">
            <w:pPr>
              <w:spacing w:line="240" w:lineRule="auto"/>
              <w:ind w:firstLine="420"/>
              <w:jc w:val="center"/>
              <w:rPr>
                <w:rFonts w:ascii="仿宋_GB2312" w:hAnsi="宋体" w:eastAsia="仿宋_GB2312" w:cs="宋体"/>
                <w:kern w:val="0"/>
              </w:rPr>
            </w:pPr>
          </w:p>
        </w:tc>
        <w:tc>
          <w:tcPr>
            <w:tcW w:w="809" w:type="dxa"/>
            <w:vAlign w:val="center"/>
          </w:tcPr>
          <w:p w14:paraId="4D78ABDC">
            <w:pPr>
              <w:spacing w:line="240" w:lineRule="auto"/>
              <w:ind w:firstLine="420"/>
              <w:jc w:val="center"/>
              <w:rPr>
                <w:rFonts w:ascii="仿宋_GB2312" w:hAnsi="宋体" w:eastAsia="仿宋_GB2312" w:cs="宋体"/>
                <w:kern w:val="0"/>
              </w:rPr>
            </w:pPr>
          </w:p>
        </w:tc>
        <w:tc>
          <w:tcPr>
            <w:tcW w:w="849" w:type="dxa"/>
            <w:vAlign w:val="center"/>
          </w:tcPr>
          <w:p w14:paraId="5DA28891">
            <w:pPr>
              <w:spacing w:line="240" w:lineRule="auto"/>
              <w:ind w:firstLine="420"/>
              <w:jc w:val="center"/>
              <w:rPr>
                <w:rFonts w:ascii="仿宋_GB2312" w:hAnsi="宋体" w:eastAsia="仿宋_GB2312" w:cs="宋体"/>
                <w:kern w:val="0"/>
              </w:rPr>
            </w:pPr>
          </w:p>
        </w:tc>
        <w:tc>
          <w:tcPr>
            <w:tcW w:w="1383" w:type="dxa"/>
            <w:vAlign w:val="center"/>
          </w:tcPr>
          <w:p w14:paraId="5553571E">
            <w:pPr>
              <w:spacing w:line="240" w:lineRule="auto"/>
              <w:ind w:firstLine="420"/>
              <w:jc w:val="center"/>
              <w:rPr>
                <w:rFonts w:ascii="仿宋_GB2312" w:hAnsi="宋体" w:eastAsia="仿宋_GB2312" w:cs="宋体"/>
                <w:kern w:val="0"/>
              </w:rPr>
            </w:pPr>
          </w:p>
        </w:tc>
      </w:tr>
      <w:tr w14:paraId="6136C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67DD72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336F78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574BB7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FB0F38E">
            <w:pPr>
              <w:spacing w:line="240" w:lineRule="auto"/>
              <w:jc w:val="both"/>
              <w:rPr>
                <w:rFonts w:ascii="仿宋_GB2312" w:hAnsi="宋体" w:eastAsia="仿宋_GB2312" w:cs="宋体"/>
                <w:kern w:val="0"/>
              </w:rPr>
            </w:pPr>
            <w:r>
              <w:rPr>
                <w:rFonts w:hint="eastAsia" w:ascii="仿宋_GB2312" w:hAnsi="宋体" w:eastAsia="仿宋_GB2312" w:cs="宋体"/>
                <w:kern w:val="0"/>
              </w:rPr>
              <w:t>演出节目集思想性、艺术性、观赏性为一体，表现形式新颖，具有一定的创新性</w:t>
            </w:r>
          </w:p>
        </w:tc>
        <w:tc>
          <w:tcPr>
            <w:tcW w:w="1099" w:type="dxa"/>
            <w:vAlign w:val="center"/>
          </w:tcPr>
          <w:p w14:paraId="39F5830F">
            <w:pPr>
              <w:spacing w:line="240" w:lineRule="auto"/>
              <w:jc w:val="both"/>
              <w:rPr>
                <w:rFonts w:ascii="仿宋_GB2312" w:hAnsi="宋体" w:eastAsia="仿宋_GB2312" w:cs="宋体"/>
                <w:kern w:val="0"/>
              </w:rPr>
            </w:pPr>
            <w:r>
              <w:rPr>
                <w:rFonts w:hint="eastAsia" w:ascii="仿宋_GB2312" w:hAnsi="宋体" w:eastAsia="仿宋_GB2312" w:cs="宋体"/>
                <w:kern w:val="0"/>
              </w:rPr>
              <w:t>打响艺术品牌</w:t>
            </w:r>
          </w:p>
        </w:tc>
        <w:tc>
          <w:tcPr>
            <w:tcW w:w="1099" w:type="dxa"/>
            <w:vAlign w:val="center"/>
          </w:tcPr>
          <w:p w14:paraId="2E8B992D">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5AC9A2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023D9B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6A54876">
            <w:pPr>
              <w:spacing w:line="240" w:lineRule="auto"/>
              <w:ind w:firstLine="420"/>
              <w:jc w:val="center"/>
              <w:rPr>
                <w:rFonts w:ascii="仿宋_GB2312" w:hAnsi="宋体" w:eastAsia="仿宋_GB2312" w:cs="宋体"/>
                <w:kern w:val="0"/>
              </w:rPr>
            </w:pPr>
          </w:p>
        </w:tc>
      </w:tr>
      <w:tr w14:paraId="2ED7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9A827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EE7E1C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04FCF78">
            <w:pPr>
              <w:spacing w:line="240" w:lineRule="auto"/>
              <w:ind w:firstLine="420"/>
              <w:jc w:val="center"/>
              <w:rPr>
                <w:rFonts w:ascii="仿宋_GB2312" w:hAnsi="宋体" w:eastAsia="仿宋_GB2312" w:cs="宋体"/>
                <w:kern w:val="0"/>
              </w:rPr>
            </w:pPr>
          </w:p>
        </w:tc>
        <w:tc>
          <w:tcPr>
            <w:tcW w:w="1020" w:type="dxa"/>
            <w:vAlign w:val="center"/>
          </w:tcPr>
          <w:p w14:paraId="08298BA7">
            <w:pPr>
              <w:spacing w:line="240" w:lineRule="auto"/>
              <w:ind w:firstLine="420"/>
              <w:jc w:val="center"/>
              <w:rPr>
                <w:rFonts w:ascii="仿宋_GB2312" w:hAnsi="宋体" w:eastAsia="仿宋_GB2312" w:cs="宋体"/>
                <w:kern w:val="0"/>
              </w:rPr>
            </w:pPr>
          </w:p>
        </w:tc>
        <w:tc>
          <w:tcPr>
            <w:tcW w:w="1099" w:type="dxa"/>
            <w:vAlign w:val="center"/>
          </w:tcPr>
          <w:p w14:paraId="1FAFD69D">
            <w:pPr>
              <w:spacing w:line="240" w:lineRule="auto"/>
              <w:ind w:firstLine="420"/>
              <w:jc w:val="center"/>
              <w:rPr>
                <w:rFonts w:ascii="仿宋_GB2312" w:hAnsi="宋体" w:eastAsia="仿宋_GB2312" w:cs="宋体"/>
                <w:kern w:val="0"/>
              </w:rPr>
            </w:pPr>
          </w:p>
        </w:tc>
        <w:tc>
          <w:tcPr>
            <w:tcW w:w="1099" w:type="dxa"/>
            <w:vAlign w:val="center"/>
          </w:tcPr>
          <w:p w14:paraId="74AA27F5">
            <w:pPr>
              <w:spacing w:line="240" w:lineRule="auto"/>
              <w:ind w:firstLine="420"/>
              <w:jc w:val="center"/>
              <w:rPr>
                <w:rFonts w:ascii="仿宋_GB2312" w:hAnsi="宋体" w:eastAsia="仿宋_GB2312" w:cs="宋体"/>
                <w:kern w:val="0"/>
              </w:rPr>
            </w:pPr>
          </w:p>
        </w:tc>
        <w:tc>
          <w:tcPr>
            <w:tcW w:w="809" w:type="dxa"/>
            <w:vAlign w:val="center"/>
          </w:tcPr>
          <w:p w14:paraId="7BE21999">
            <w:pPr>
              <w:spacing w:line="240" w:lineRule="auto"/>
              <w:ind w:firstLine="420"/>
              <w:jc w:val="center"/>
              <w:rPr>
                <w:rFonts w:ascii="仿宋_GB2312" w:hAnsi="宋体" w:eastAsia="仿宋_GB2312" w:cs="宋体"/>
                <w:kern w:val="0"/>
              </w:rPr>
            </w:pPr>
          </w:p>
        </w:tc>
        <w:tc>
          <w:tcPr>
            <w:tcW w:w="849" w:type="dxa"/>
            <w:vAlign w:val="center"/>
          </w:tcPr>
          <w:p w14:paraId="16D3E4EA">
            <w:pPr>
              <w:spacing w:line="240" w:lineRule="auto"/>
              <w:ind w:firstLine="420"/>
              <w:jc w:val="center"/>
              <w:rPr>
                <w:rFonts w:ascii="仿宋_GB2312" w:hAnsi="宋体" w:eastAsia="仿宋_GB2312" w:cs="宋体"/>
                <w:kern w:val="0"/>
              </w:rPr>
            </w:pPr>
          </w:p>
        </w:tc>
        <w:tc>
          <w:tcPr>
            <w:tcW w:w="1383" w:type="dxa"/>
            <w:vAlign w:val="center"/>
          </w:tcPr>
          <w:p w14:paraId="4A97D393">
            <w:pPr>
              <w:spacing w:line="240" w:lineRule="auto"/>
              <w:ind w:firstLine="420"/>
              <w:jc w:val="center"/>
              <w:rPr>
                <w:rFonts w:ascii="仿宋_GB2312" w:hAnsi="宋体" w:eastAsia="仿宋_GB2312" w:cs="宋体"/>
                <w:kern w:val="0"/>
              </w:rPr>
            </w:pPr>
          </w:p>
        </w:tc>
      </w:tr>
      <w:tr w14:paraId="2E272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451C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03045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E38929F">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CD641D0">
            <w:pPr>
              <w:spacing w:line="240" w:lineRule="auto"/>
              <w:jc w:val="both"/>
              <w:rPr>
                <w:rFonts w:ascii="仿宋_GB2312" w:hAnsi="宋体" w:eastAsia="仿宋_GB2312" w:cs="宋体"/>
                <w:kern w:val="0"/>
              </w:rPr>
            </w:pPr>
            <w:r>
              <w:rPr>
                <w:rFonts w:hint="eastAsia" w:ascii="仿宋_GB2312" w:hAnsi="宋体" w:eastAsia="仿宋_GB2312" w:cs="宋体"/>
                <w:kern w:val="0"/>
              </w:rPr>
              <w:t>按照上次文化主管部门规定进行，年底全面完成目标任务</w:t>
            </w:r>
          </w:p>
        </w:tc>
        <w:tc>
          <w:tcPr>
            <w:tcW w:w="1099" w:type="dxa"/>
            <w:vAlign w:val="center"/>
          </w:tcPr>
          <w:p w14:paraId="3FEBE6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2023年全年</w:t>
            </w:r>
          </w:p>
        </w:tc>
        <w:tc>
          <w:tcPr>
            <w:tcW w:w="1099" w:type="dxa"/>
            <w:vAlign w:val="center"/>
          </w:tcPr>
          <w:p w14:paraId="1A502AB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2023年全年</w:t>
            </w:r>
          </w:p>
        </w:tc>
        <w:tc>
          <w:tcPr>
            <w:tcW w:w="809" w:type="dxa"/>
            <w:vAlign w:val="center"/>
          </w:tcPr>
          <w:p w14:paraId="3B6CEA2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AAE2E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8350FE1">
            <w:pPr>
              <w:spacing w:line="240" w:lineRule="auto"/>
              <w:ind w:firstLine="420"/>
              <w:jc w:val="center"/>
              <w:rPr>
                <w:rFonts w:ascii="仿宋_GB2312" w:hAnsi="宋体" w:eastAsia="仿宋_GB2312" w:cs="宋体"/>
                <w:kern w:val="0"/>
              </w:rPr>
            </w:pPr>
          </w:p>
        </w:tc>
      </w:tr>
      <w:tr w14:paraId="00876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21E2E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96488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E138436">
            <w:pPr>
              <w:spacing w:line="240" w:lineRule="auto"/>
              <w:ind w:firstLine="420"/>
              <w:jc w:val="center"/>
              <w:rPr>
                <w:rFonts w:ascii="仿宋_GB2312" w:hAnsi="宋体" w:eastAsia="仿宋_GB2312" w:cs="宋体"/>
                <w:kern w:val="0"/>
              </w:rPr>
            </w:pPr>
          </w:p>
        </w:tc>
        <w:tc>
          <w:tcPr>
            <w:tcW w:w="1020" w:type="dxa"/>
            <w:vAlign w:val="center"/>
          </w:tcPr>
          <w:p w14:paraId="2B5B5069">
            <w:pPr>
              <w:spacing w:line="240" w:lineRule="auto"/>
              <w:ind w:firstLine="420"/>
              <w:jc w:val="center"/>
              <w:rPr>
                <w:rFonts w:ascii="仿宋_GB2312" w:hAnsi="宋体" w:eastAsia="仿宋_GB2312" w:cs="宋体"/>
                <w:kern w:val="0"/>
              </w:rPr>
            </w:pPr>
          </w:p>
        </w:tc>
        <w:tc>
          <w:tcPr>
            <w:tcW w:w="1099" w:type="dxa"/>
            <w:vAlign w:val="center"/>
          </w:tcPr>
          <w:p w14:paraId="1F741B08">
            <w:pPr>
              <w:spacing w:line="240" w:lineRule="auto"/>
              <w:ind w:firstLine="420"/>
              <w:jc w:val="center"/>
              <w:rPr>
                <w:rFonts w:ascii="仿宋_GB2312" w:hAnsi="宋体" w:eastAsia="仿宋_GB2312" w:cs="宋体"/>
                <w:kern w:val="0"/>
              </w:rPr>
            </w:pPr>
          </w:p>
        </w:tc>
        <w:tc>
          <w:tcPr>
            <w:tcW w:w="1099" w:type="dxa"/>
            <w:vAlign w:val="center"/>
          </w:tcPr>
          <w:p w14:paraId="5CE3014C">
            <w:pPr>
              <w:spacing w:line="240" w:lineRule="auto"/>
              <w:ind w:firstLine="420"/>
              <w:jc w:val="center"/>
              <w:rPr>
                <w:rFonts w:ascii="仿宋_GB2312" w:hAnsi="宋体" w:eastAsia="仿宋_GB2312" w:cs="宋体"/>
                <w:kern w:val="0"/>
              </w:rPr>
            </w:pPr>
          </w:p>
        </w:tc>
        <w:tc>
          <w:tcPr>
            <w:tcW w:w="809" w:type="dxa"/>
            <w:vAlign w:val="center"/>
          </w:tcPr>
          <w:p w14:paraId="1A0B3E2F">
            <w:pPr>
              <w:spacing w:line="240" w:lineRule="auto"/>
              <w:ind w:firstLine="420"/>
              <w:jc w:val="center"/>
              <w:rPr>
                <w:rFonts w:ascii="仿宋_GB2312" w:hAnsi="宋体" w:eastAsia="仿宋_GB2312" w:cs="宋体"/>
                <w:kern w:val="0"/>
              </w:rPr>
            </w:pPr>
          </w:p>
        </w:tc>
        <w:tc>
          <w:tcPr>
            <w:tcW w:w="849" w:type="dxa"/>
            <w:vAlign w:val="center"/>
          </w:tcPr>
          <w:p w14:paraId="3B2DB1D3">
            <w:pPr>
              <w:spacing w:line="240" w:lineRule="auto"/>
              <w:ind w:firstLine="420"/>
              <w:jc w:val="center"/>
              <w:rPr>
                <w:rFonts w:ascii="仿宋_GB2312" w:hAnsi="宋体" w:eastAsia="仿宋_GB2312" w:cs="宋体"/>
                <w:kern w:val="0"/>
              </w:rPr>
            </w:pPr>
          </w:p>
        </w:tc>
        <w:tc>
          <w:tcPr>
            <w:tcW w:w="1383" w:type="dxa"/>
            <w:vAlign w:val="center"/>
          </w:tcPr>
          <w:p w14:paraId="56C65FB1">
            <w:pPr>
              <w:spacing w:line="240" w:lineRule="auto"/>
              <w:ind w:firstLine="420"/>
              <w:jc w:val="center"/>
              <w:rPr>
                <w:rFonts w:ascii="仿宋_GB2312" w:hAnsi="宋体" w:eastAsia="仿宋_GB2312" w:cs="宋体"/>
                <w:kern w:val="0"/>
              </w:rPr>
            </w:pPr>
          </w:p>
        </w:tc>
      </w:tr>
      <w:tr w14:paraId="50E57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45BAD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2AD25F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02CD89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2C09BA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B24DC4B">
            <w:pPr>
              <w:spacing w:line="240" w:lineRule="auto"/>
              <w:jc w:val="both"/>
              <w:rPr>
                <w:rFonts w:ascii="仿宋_GB2312" w:hAnsi="宋体" w:eastAsia="仿宋_GB2312" w:cs="宋体"/>
                <w:kern w:val="0"/>
              </w:rPr>
            </w:pPr>
            <w:r>
              <w:rPr>
                <w:rFonts w:hint="eastAsia" w:ascii="仿宋_GB2312" w:hAnsi="宋体" w:eastAsia="仿宋_GB2312" w:cs="宋体"/>
                <w:kern w:val="0"/>
              </w:rPr>
              <w:t>按照经济发展规律推动文旅发展</w:t>
            </w:r>
          </w:p>
        </w:tc>
        <w:tc>
          <w:tcPr>
            <w:tcW w:w="1099" w:type="dxa"/>
            <w:vAlign w:val="center"/>
          </w:tcPr>
          <w:p w14:paraId="681DD88A">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7769C12A">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35BBF46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98753F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AAEECFC">
            <w:pPr>
              <w:spacing w:line="240" w:lineRule="auto"/>
              <w:ind w:firstLine="420"/>
              <w:jc w:val="center"/>
              <w:rPr>
                <w:rFonts w:ascii="仿宋_GB2312" w:hAnsi="宋体" w:eastAsia="仿宋_GB2312" w:cs="宋体"/>
                <w:kern w:val="0"/>
              </w:rPr>
            </w:pPr>
          </w:p>
        </w:tc>
      </w:tr>
      <w:tr w14:paraId="3BE06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3BD8D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31D14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EE637A">
            <w:pPr>
              <w:spacing w:line="240" w:lineRule="auto"/>
              <w:ind w:firstLine="420"/>
              <w:jc w:val="center"/>
              <w:rPr>
                <w:rFonts w:ascii="仿宋_GB2312" w:hAnsi="宋体" w:eastAsia="仿宋_GB2312" w:cs="宋体"/>
                <w:kern w:val="0"/>
              </w:rPr>
            </w:pPr>
          </w:p>
        </w:tc>
        <w:tc>
          <w:tcPr>
            <w:tcW w:w="1020" w:type="dxa"/>
            <w:vAlign w:val="center"/>
          </w:tcPr>
          <w:p w14:paraId="6D27402F">
            <w:pPr>
              <w:spacing w:line="240" w:lineRule="auto"/>
              <w:ind w:firstLine="420"/>
              <w:jc w:val="center"/>
              <w:rPr>
                <w:rFonts w:ascii="仿宋_GB2312" w:hAnsi="宋体" w:eastAsia="仿宋_GB2312" w:cs="宋体"/>
                <w:kern w:val="0"/>
              </w:rPr>
            </w:pPr>
          </w:p>
        </w:tc>
        <w:tc>
          <w:tcPr>
            <w:tcW w:w="1099" w:type="dxa"/>
            <w:vAlign w:val="center"/>
          </w:tcPr>
          <w:p w14:paraId="76FAD304">
            <w:pPr>
              <w:spacing w:line="240" w:lineRule="auto"/>
              <w:ind w:firstLine="420"/>
              <w:jc w:val="center"/>
              <w:rPr>
                <w:rFonts w:ascii="仿宋_GB2312" w:hAnsi="宋体" w:eastAsia="仿宋_GB2312" w:cs="宋体"/>
                <w:kern w:val="0"/>
              </w:rPr>
            </w:pPr>
          </w:p>
        </w:tc>
        <w:tc>
          <w:tcPr>
            <w:tcW w:w="1099" w:type="dxa"/>
            <w:vAlign w:val="center"/>
          </w:tcPr>
          <w:p w14:paraId="0DEAB733">
            <w:pPr>
              <w:spacing w:line="240" w:lineRule="auto"/>
              <w:ind w:firstLine="420"/>
              <w:jc w:val="center"/>
              <w:rPr>
                <w:rFonts w:ascii="仿宋_GB2312" w:hAnsi="宋体" w:eastAsia="仿宋_GB2312" w:cs="宋体"/>
                <w:kern w:val="0"/>
              </w:rPr>
            </w:pPr>
          </w:p>
        </w:tc>
        <w:tc>
          <w:tcPr>
            <w:tcW w:w="809" w:type="dxa"/>
            <w:vAlign w:val="center"/>
          </w:tcPr>
          <w:p w14:paraId="718A6CC8">
            <w:pPr>
              <w:spacing w:line="240" w:lineRule="auto"/>
              <w:ind w:firstLine="420"/>
              <w:jc w:val="center"/>
              <w:rPr>
                <w:rFonts w:ascii="仿宋_GB2312" w:hAnsi="宋体" w:eastAsia="仿宋_GB2312" w:cs="宋体"/>
                <w:kern w:val="0"/>
              </w:rPr>
            </w:pPr>
          </w:p>
        </w:tc>
        <w:tc>
          <w:tcPr>
            <w:tcW w:w="849" w:type="dxa"/>
            <w:vAlign w:val="center"/>
          </w:tcPr>
          <w:p w14:paraId="5028DFB1">
            <w:pPr>
              <w:spacing w:line="240" w:lineRule="auto"/>
              <w:ind w:firstLine="420"/>
              <w:jc w:val="center"/>
              <w:rPr>
                <w:rFonts w:ascii="仿宋_GB2312" w:hAnsi="宋体" w:eastAsia="仿宋_GB2312" w:cs="宋体"/>
                <w:kern w:val="0"/>
              </w:rPr>
            </w:pPr>
          </w:p>
        </w:tc>
        <w:tc>
          <w:tcPr>
            <w:tcW w:w="1383" w:type="dxa"/>
            <w:vAlign w:val="center"/>
          </w:tcPr>
          <w:p w14:paraId="2944B628">
            <w:pPr>
              <w:spacing w:line="240" w:lineRule="auto"/>
              <w:ind w:firstLine="420"/>
              <w:jc w:val="center"/>
              <w:rPr>
                <w:rFonts w:ascii="仿宋_GB2312" w:hAnsi="宋体" w:eastAsia="仿宋_GB2312" w:cs="宋体"/>
                <w:kern w:val="0"/>
              </w:rPr>
            </w:pPr>
          </w:p>
        </w:tc>
      </w:tr>
      <w:tr w14:paraId="6FE0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34879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0A81EC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05E5E17">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AD0D51F">
            <w:pPr>
              <w:spacing w:line="240" w:lineRule="auto"/>
              <w:jc w:val="both"/>
              <w:rPr>
                <w:rFonts w:ascii="仿宋_GB2312" w:hAnsi="宋体" w:eastAsia="仿宋_GB2312" w:cs="宋体"/>
                <w:kern w:val="0"/>
              </w:rPr>
            </w:pPr>
            <w:r>
              <w:rPr>
                <w:rFonts w:hint="eastAsia" w:ascii="仿宋_GB2312" w:hAnsi="宋体" w:eastAsia="仿宋_GB2312" w:cs="宋体"/>
                <w:kern w:val="0"/>
              </w:rPr>
              <w:t>提供人民群众精神食粮</w:t>
            </w:r>
          </w:p>
        </w:tc>
        <w:tc>
          <w:tcPr>
            <w:tcW w:w="1099" w:type="dxa"/>
            <w:vAlign w:val="center"/>
          </w:tcPr>
          <w:p w14:paraId="78AEB845">
            <w:pPr>
              <w:spacing w:line="240" w:lineRule="auto"/>
              <w:jc w:val="both"/>
              <w:rPr>
                <w:rFonts w:ascii="仿宋_GB2312" w:hAnsi="宋体" w:eastAsia="仿宋_GB2312" w:cs="宋体"/>
                <w:kern w:val="0"/>
              </w:rPr>
            </w:pPr>
            <w:r>
              <w:rPr>
                <w:rFonts w:hint="eastAsia" w:ascii="仿宋_GB2312" w:hAnsi="宋体" w:eastAsia="仿宋_GB2312" w:cs="宋体"/>
                <w:kern w:val="0"/>
              </w:rPr>
              <w:t>弘扬社会主义主流价值观，传播社会正能量，具有良好的思想性和教育意义</w:t>
            </w:r>
          </w:p>
        </w:tc>
        <w:tc>
          <w:tcPr>
            <w:tcW w:w="1099" w:type="dxa"/>
            <w:vAlign w:val="center"/>
          </w:tcPr>
          <w:p w14:paraId="58A0958A">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DCAB3A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EC15E5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E8C351C">
            <w:pPr>
              <w:spacing w:line="240" w:lineRule="auto"/>
              <w:ind w:firstLine="420"/>
              <w:jc w:val="center"/>
              <w:rPr>
                <w:rFonts w:ascii="仿宋_GB2312" w:hAnsi="宋体" w:eastAsia="仿宋_GB2312" w:cs="宋体"/>
                <w:kern w:val="0"/>
              </w:rPr>
            </w:pPr>
          </w:p>
        </w:tc>
      </w:tr>
      <w:tr w14:paraId="4FC1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80E75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59427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DC00CD4">
            <w:pPr>
              <w:spacing w:line="240" w:lineRule="auto"/>
              <w:ind w:firstLine="420"/>
              <w:jc w:val="center"/>
              <w:rPr>
                <w:rFonts w:ascii="仿宋_GB2312" w:hAnsi="宋体" w:eastAsia="仿宋_GB2312" w:cs="宋体"/>
                <w:kern w:val="0"/>
              </w:rPr>
            </w:pPr>
          </w:p>
        </w:tc>
        <w:tc>
          <w:tcPr>
            <w:tcW w:w="1020" w:type="dxa"/>
            <w:vAlign w:val="center"/>
          </w:tcPr>
          <w:p w14:paraId="286D8348">
            <w:pPr>
              <w:spacing w:line="240" w:lineRule="auto"/>
              <w:ind w:firstLine="420"/>
              <w:jc w:val="center"/>
              <w:rPr>
                <w:rFonts w:ascii="仿宋_GB2312" w:hAnsi="宋体" w:eastAsia="仿宋_GB2312" w:cs="宋体"/>
                <w:kern w:val="0"/>
              </w:rPr>
            </w:pPr>
          </w:p>
        </w:tc>
        <w:tc>
          <w:tcPr>
            <w:tcW w:w="1099" w:type="dxa"/>
            <w:vAlign w:val="center"/>
          </w:tcPr>
          <w:p w14:paraId="4EEE4EB4">
            <w:pPr>
              <w:spacing w:line="240" w:lineRule="auto"/>
              <w:ind w:firstLine="420"/>
              <w:jc w:val="center"/>
              <w:rPr>
                <w:rFonts w:ascii="仿宋_GB2312" w:hAnsi="宋体" w:eastAsia="仿宋_GB2312" w:cs="宋体"/>
                <w:kern w:val="0"/>
              </w:rPr>
            </w:pPr>
          </w:p>
        </w:tc>
        <w:tc>
          <w:tcPr>
            <w:tcW w:w="1099" w:type="dxa"/>
            <w:vAlign w:val="center"/>
          </w:tcPr>
          <w:p w14:paraId="177DFB9C">
            <w:pPr>
              <w:spacing w:line="240" w:lineRule="auto"/>
              <w:ind w:firstLine="420"/>
              <w:jc w:val="center"/>
              <w:rPr>
                <w:rFonts w:ascii="仿宋_GB2312" w:hAnsi="宋体" w:eastAsia="仿宋_GB2312" w:cs="宋体"/>
                <w:kern w:val="0"/>
              </w:rPr>
            </w:pPr>
          </w:p>
        </w:tc>
        <w:tc>
          <w:tcPr>
            <w:tcW w:w="809" w:type="dxa"/>
            <w:vAlign w:val="center"/>
          </w:tcPr>
          <w:p w14:paraId="78AA3C09">
            <w:pPr>
              <w:spacing w:line="240" w:lineRule="auto"/>
              <w:ind w:firstLine="420"/>
              <w:jc w:val="center"/>
              <w:rPr>
                <w:rFonts w:ascii="仿宋_GB2312" w:hAnsi="宋体" w:eastAsia="仿宋_GB2312" w:cs="宋体"/>
                <w:kern w:val="0"/>
              </w:rPr>
            </w:pPr>
          </w:p>
        </w:tc>
        <w:tc>
          <w:tcPr>
            <w:tcW w:w="849" w:type="dxa"/>
            <w:vAlign w:val="center"/>
          </w:tcPr>
          <w:p w14:paraId="0051A0EF">
            <w:pPr>
              <w:spacing w:line="240" w:lineRule="auto"/>
              <w:ind w:firstLine="420"/>
              <w:jc w:val="center"/>
              <w:rPr>
                <w:rFonts w:ascii="仿宋_GB2312" w:hAnsi="宋体" w:eastAsia="仿宋_GB2312" w:cs="宋体"/>
                <w:kern w:val="0"/>
              </w:rPr>
            </w:pPr>
          </w:p>
        </w:tc>
        <w:tc>
          <w:tcPr>
            <w:tcW w:w="1383" w:type="dxa"/>
            <w:vAlign w:val="center"/>
          </w:tcPr>
          <w:p w14:paraId="6FF4135B">
            <w:pPr>
              <w:spacing w:line="240" w:lineRule="auto"/>
              <w:ind w:firstLine="420"/>
              <w:jc w:val="center"/>
              <w:rPr>
                <w:rFonts w:ascii="仿宋_GB2312" w:hAnsi="宋体" w:eastAsia="仿宋_GB2312" w:cs="宋体"/>
                <w:kern w:val="0"/>
              </w:rPr>
            </w:pPr>
          </w:p>
        </w:tc>
      </w:tr>
      <w:tr w14:paraId="4B97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C41A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3D614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8B5D9E5">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A1FA2A9">
            <w:pPr>
              <w:spacing w:line="240" w:lineRule="auto"/>
              <w:jc w:val="both"/>
              <w:rPr>
                <w:rFonts w:ascii="仿宋_GB2312" w:hAnsi="宋体" w:eastAsia="仿宋_GB2312" w:cs="宋体"/>
                <w:kern w:val="0"/>
              </w:rPr>
            </w:pPr>
            <w:r>
              <w:rPr>
                <w:rFonts w:hint="eastAsia" w:ascii="仿宋_GB2312" w:hAnsi="宋体" w:eastAsia="仿宋_GB2312" w:cs="宋体"/>
                <w:kern w:val="0"/>
              </w:rPr>
              <w:t>满足人民群众对美好生活的需求</w:t>
            </w:r>
          </w:p>
        </w:tc>
        <w:tc>
          <w:tcPr>
            <w:tcW w:w="1099" w:type="dxa"/>
            <w:vAlign w:val="center"/>
          </w:tcPr>
          <w:p w14:paraId="339268B8">
            <w:pPr>
              <w:spacing w:line="240" w:lineRule="auto"/>
              <w:jc w:val="both"/>
              <w:rPr>
                <w:rFonts w:ascii="仿宋_GB2312" w:hAnsi="宋体" w:eastAsia="仿宋_GB2312" w:cs="宋体"/>
                <w:kern w:val="0"/>
              </w:rPr>
            </w:pPr>
            <w:r>
              <w:rPr>
                <w:rFonts w:hint="eastAsia" w:ascii="仿宋_GB2312" w:hAnsi="宋体" w:eastAsia="仿宋_GB2312" w:cs="宋体"/>
                <w:kern w:val="0"/>
              </w:rPr>
              <w:t>持续提升</w:t>
            </w:r>
          </w:p>
        </w:tc>
        <w:tc>
          <w:tcPr>
            <w:tcW w:w="1099" w:type="dxa"/>
            <w:vAlign w:val="center"/>
          </w:tcPr>
          <w:p w14:paraId="56DFA306">
            <w:pPr>
              <w:spacing w:line="240" w:lineRule="auto"/>
              <w:jc w:val="both"/>
              <w:rPr>
                <w:rFonts w:ascii="仿宋_GB2312" w:hAnsi="宋体" w:eastAsia="仿宋_GB2312" w:cs="宋体"/>
                <w:kern w:val="0"/>
              </w:rPr>
            </w:pPr>
            <w:r>
              <w:rPr>
                <w:rFonts w:hint="eastAsia" w:ascii="仿宋_GB2312" w:hAnsi="宋体" w:eastAsia="仿宋_GB2312" w:cs="宋体"/>
                <w:kern w:val="0"/>
              </w:rPr>
              <w:t>持续提升</w:t>
            </w:r>
          </w:p>
        </w:tc>
        <w:tc>
          <w:tcPr>
            <w:tcW w:w="809" w:type="dxa"/>
            <w:vAlign w:val="center"/>
          </w:tcPr>
          <w:p w14:paraId="457B90F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CCAD60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264F8FCC">
            <w:pPr>
              <w:spacing w:line="240" w:lineRule="auto"/>
              <w:ind w:firstLine="420"/>
              <w:jc w:val="center"/>
              <w:rPr>
                <w:rFonts w:ascii="仿宋_GB2312" w:hAnsi="宋体" w:eastAsia="仿宋_GB2312" w:cs="宋体"/>
                <w:kern w:val="0"/>
              </w:rPr>
            </w:pPr>
          </w:p>
        </w:tc>
      </w:tr>
      <w:tr w14:paraId="092A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DE19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D3503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4F30119">
            <w:pPr>
              <w:spacing w:line="240" w:lineRule="auto"/>
              <w:ind w:firstLine="420"/>
              <w:jc w:val="center"/>
              <w:rPr>
                <w:rFonts w:ascii="仿宋_GB2312" w:hAnsi="宋体" w:eastAsia="仿宋_GB2312" w:cs="宋体"/>
                <w:kern w:val="0"/>
              </w:rPr>
            </w:pPr>
          </w:p>
        </w:tc>
        <w:tc>
          <w:tcPr>
            <w:tcW w:w="1020" w:type="dxa"/>
            <w:vAlign w:val="center"/>
          </w:tcPr>
          <w:p w14:paraId="22AD8CE4">
            <w:pPr>
              <w:spacing w:line="240" w:lineRule="auto"/>
              <w:ind w:firstLine="420"/>
              <w:jc w:val="center"/>
              <w:rPr>
                <w:rFonts w:ascii="仿宋_GB2312" w:hAnsi="宋体" w:eastAsia="仿宋_GB2312" w:cs="宋体"/>
                <w:kern w:val="0"/>
              </w:rPr>
            </w:pPr>
          </w:p>
        </w:tc>
        <w:tc>
          <w:tcPr>
            <w:tcW w:w="1099" w:type="dxa"/>
            <w:vAlign w:val="center"/>
          </w:tcPr>
          <w:p w14:paraId="51587455">
            <w:pPr>
              <w:spacing w:line="240" w:lineRule="auto"/>
              <w:ind w:firstLine="420"/>
              <w:jc w:val="center"/>
              <w:rPr>
                <w:rFonts w:ascii="仿宋_GB2312" w:hAnsi="宋体" w:eastAsia="仿宋_GB2312" w:cs="宋体"/>
                <w:kern w:val="0"/>
              </w:rPr>
            </w:pPr>
          </w:p>
        </w:tc>
        <w:tc>
          <w:tcPr>
            <w:tcW w:w="1099" w:type="dxa"/>
            <w:vAlign w:val="center"/>
          </w:tcPr>
          <w:p w14:paraId="04C8557C">
            <w:pPr>
              <w:spacing w:line="240" w:lineRule="auto"/>
              <w:ind w:firstLine="420"/>
              <w:jc w:val="center"/>
              <w:rPr>
                <w:rFonts w:ascii="仿宋_GB2312" w:hAnsi="宋体" w:eastAsia="仿宋_GB2312" w:cs="宋体"/>
                <w:kern w:val="0"/>
              </w:rPr>
            </w:pPr>
          </w:p>
        </w:tc>
        <w:tc>
          <w:tcPr>
            <w:tcW w:w="809" w:type="dxa"/>
            <w:vAlign w:val="center"/>
          </w:tcPr>
          <w:p w14:paraId="280FBAA5">
            <w:pPr>
              <w:spacing w:line="240" w:lineRule="auto"/>
              <w:ind w:firstLine="420"/>
              <w:jc w:val="center"/>
              <w:rPr>
                <w:rFonts w:ascii="仿宋_GB2312" w:hAnsi="宋体" w:eastAsia="仿宋_GB2312" w:cs="宋体"/>
                <w:kern w:val="0"/>
              </w:rPr>
            </w:pPr>
          </w:p>
        </w:tc>
        <w:tc>
          <w:tcPr>
            <w:tcW w:w="849" w:type="dxa"/>
            <w:vAlign w:val="center"/>
          </w:tcPr>
          <w:p w14:paraId="5BA6FF0E">
            <w:pPr>
              <w:spacing w:line="240" w:lineRule="auto"/>
              <w:ind w:firstLine="420"/>
              <w:jc w:val="center"/>
              <w:rPr>
                <w:rFonts w:ascii="仿宋_GB2312" w:hAnsi="宋体" w:eastAsia="仿宋_GB2312" w:cs="宋体"/>
                <w:kern w:val="0"/>
              </w:rPr>
            </w:pPr>
          </w:p>
        </w:tc>
        <w:tc>
          <w:tcPr>
            <w:tcW w:w="1383" w:type="dxa"/>
            <w:vAlign w:val="center"/>
          </w:tcPr>
          <w:p w14:paraId="5245A82D">
            <w:pPr>
              <w:spacing w:line="240" w:lineRule="auto"/>
              <w:ind w:firstLine="420"/>
              <w:jc w:val="center"/>
              <w:rPr>
                <w:rFonts w:ascii="仿宋_GB2312" w:hAnsi="宋体" w:eastAsia="仿宋_GB2312" w:cs="宋体"/>
                <w:kern w:val="0"/>
              </w:rPr>
            </w:pPr>
          </w:p>
        </w:tc>
      </w:tr>
      <w:tr w14:paraId="158F8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35ABD5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4BA6B3">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E522D8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3028D86">
            <w:pPr>
              <w:spacing w:line="240" w:lineRule="auto"/>
              <w:jc w:val="both"/>
              <w:rPr>
                <w:rFonts w:ascii="仿宋_GB2312" w:hAnsi="宋体" w:eastAsia="仿宋_GB2312" w:cs="宋体"/>
                <w:kern w:val="0"/>
              </w:rPr>
            </w:pPr>
            <w:r>
              <w:rPr>
                <w:rFonts w:hint="eastAsia" w:ascii="仿宋_GB2312" w:hAnsi="宋体" w:eastAsia="仿宋_GB2312" w:cs="宋体"/>
                <w:kern w:val="0"/>
              </w:rPr>
              <w:t>通过艺术活动的展演提高市民的文化素养</w:t>
            </w:r>
          </w:p>
        </w:tc>
        <w:tc>
          <w:tcPr>
            <w:tcW w:w="1099" w:type="dxa"/>
            <w:vAlign w:val="center"/>
          </w:tcPr>
          <w:p w14:paraId="0E7FC8A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14:paraId="607D5A8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14:paraId="28B0A7E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0358BA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3C3A829">
            <w:pPr>
              <w:spacing w:line="240" w:lineRule="auto"/>
              <w:ind w:firstLine="420"/>
              <w:jc w:val="center"/>
              <w:rPr>
                <w:rFonts w:ascii="仿宋_GB2312" w:hAnsi="宋体" w:eastAsia="仿宋_GB2312" w:cs="宋体"/>
                <w:kern w:val="0"/>
              </w:rPr>
            </w:pPr>
          </w:p>
        </w:tc>
      </w:tr>
      <w:tr w14:paraId="60705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96F5E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4E0D43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BCC581B">
            <w:pPr>
              <w:spacing w:line="240" w:lineRule="auto"/>
              <w:ind w:firstLine="420"/>
              <w:jc w:val="center"/>
              <w:rPr>
                <w:rFonts w:ascii="仿宋_GB2312" w:hAnsi="宋体" w:eastAsia="仿宋_GB2312" w:cs="宋体"/>
                <w:kern w:val="0"/>
              </w:rPr>
            </w:pPr>
          </w:p>
        </w:tc>
        <w:tc>
          <w:tcPr>
            <w:tcW w:w="1020" w:type="dxa"/>
            <w:vAlign w:val="center"/>
          </w:tcPr>
          <w:p w14:paraId="0BFCDA4A">
            <w:pPr>
              <w:spacing w:line="240" w:lineRule="auto"/>
              <w:ind w:firstLine="420"/>
              <w:jc w:val="center"/>
              <w:rPr>
                <w:rFonts w:ascii="仿宋_GB2312" w:hAnsi="宋体" w:eastAsia="仿宋_GB2312" w:cs="宋体"/>
                <w:kern w:val="0"/>
              </w:rPr>
            </w:pPr>
          </w:p>
        </w:tc>
        <w:tc>
          <w:tcPr>
            <w:tcW w:w="1099" w:type="dxa"/>
            <w:vAlign w:val="center"/>
          </w:tcPr>
          <w:p w14:paraId="68A80240">
            <w:pPr>
              <w:spacing w:line="240" w:lineRule="auto"/>
              <w:ind w:firstLine="420"/>
              <w:jc w:val="center"/>
              <w:rPr>
                <w:rFonts w:ascii="仿宋_GB2312" w:hAnsi="宋体" w:eastAsia="仿宋_GB2312" w:cs="宋体"/>
                <w:kern w:val="0"/>
              </w:rPr>
            </w:pPr>
          </w:p>
        </w:tc>
        <w:tc>
          <w:tcPr>
            <w:tcW w:w="1099" w:type="dxa"/>
            <w:vAlign w:val="center"/>
          </w:tcPr>
          <w:p w14:paraId="57F5AE68">
            <w:pPr>
              <w:spacing w:line="240" w:lineRule="auto"/>
              <w:ind w:firstLine="420"/>
              <w:jc w:val="center"/>
              <w:rPr>
                <w:rFonts w:ascii="仿宋_GB2312" w:hAnsi="宋体" w:eastAsia="仿宋_GB2312" w:cs="宋体"/>
                <w:kern w:val="0"/>
              </w:rPr>
            </w:pPr>
          </w:p>
        </w:tc>
        <w:tc>
          <w:tcPr>
            <w:tcW w:w="809" w:type="dxa"/>
            <w:vAlign w:val="center"/>
          </w:tcPr>
          <w:p w14:paraId="2276BF5A">
            <w:pPr>
              <w:spacing w:line="240" w:lineRule="auto"/>
              <w:ind w:firstLine="420"/>
              <w:jc w:val="center"/>
              <w:rPr>
                <w:rFonts w:ascii="仿宋_GB2312" w:hAnsi="宋体" w:eastAsia="仿宋_GB2312" w:cs="宋体"/>
                <w:kern w:val="0"/>
              </w:rPr>
            </w:pPr>
          </w:p>
        </w:tc>
        <w:tc>
          <w:tcPr>
            <w:tcW w:w="849" w:type="dxa"/>
            <w:vAlign w:val="center"/>
          </w:tcPr>
          <w:p w14:paraId="6CB6D7EA">
            <w:pPr>
              <w:spacing w:line="240" w:lineRule="auto"/>
              <w:ind w:firstLine="420"/>
              <w:jc w:val="center"/>
              <w:rPr>
                <w:rFonts w:ascii="仿宋_GB2312" w:hAnsi="宋体" w:eastAsia="仿宋_GB2312" w:cs="宋体"/>
                <w:kern w:val="0"/>
              </w:rPr>
            </w:pPr>
          </w:p>
        </w:tc>
        <w:tc>
          <w:tcPr>
            <w:tcW w:w="1383" w:type="dxa"/>
            <w:vAlign w:val="center"/>
          </w:tcPr>
          <w:p w14:paraId="2D0F7E93">
            <w:pPr>
              <w:spacing w:line="240" w:lineRule="auto"/>
              <w:ind w:firstLine="420"/>
              <w:jc w:val="center"/>
              <w:rPr>
                <w:rFonts w:ascii="仿宋_GB2312" w:hAnsi="宋体" w:eastAsia="仿宋_GB2312" w:cs="宋体"/>
                <w:kern w:val="0"/>
              </w:rPr>
            </w:pPr>
          </w:p>
        </w:tc>
      </w:tr>
      <w:tr w14:paraId="31FF7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1D15AE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DA5EB5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58BA8D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FE8A26E">
            <w:pPr>
              <w:spacing w:line="240" w:lineRule="auto"/>
              <w:jc w:val="both"/>
              <w:rPr>
                <w:rFonts w:ascii="仿宋_GB2312" w:hAnsi="宋体" w:eastAsia="仿宋_GB2312" w:cs="宋体"/>
                <w:kern w:val="0"/>
              </w:rPr>
            </w:pPr>
            <w:r>
              <w:rPr>
                <w:rFonts w:hint="eastAsia" w:ascii="仿宋_GB2312" w:hAnsi="宋体" w:eastAsia="仿宋_GB2312" w:cs="宋体"/>
                <w:kern w:val="0"/>
              </w:rPr>
              <w:t>满足群众对文化艺术的需求</w:t>
            </w:r>
          </w:p>
        </w:tc>
        <w:tc>
          <w:tcPr>
            <w:tcW w:w="1099" w:type="dxa"/>
            <w:vAlign w:val="center"/>
          </w:tcPr>
          <w:p w14:paraId="0253158C">
            <w:pPr>
              <w:spacing w:line="240" w:lineRule="auto"/>
              <w:jc w:val="both"/>
              <w:rPr>
                <w:rFonts w:ascii="仿宋_GB2312" w:hAnsi="宋体" w:eastAsia="仿宋_GB2312" w:cs="宋体"/>
                <w:kern w:val="0"/>
              </w:rPr>
            </w:pPr>
            <w:r>
              <w:rPr>
                <w:rFonts w:hint="eastAsia" w:ascii="仿宋_GB2312" w:hAnsi="宋体" w:eastAsia="仿宋_GB2312" w:cs="宋体"/>
                <w:kern w:val="0"/>
              </w:rPr>
              <w:t>受益对象满意度</w:t>
            </w:r>
          </w:p>
        </w:tc>
        <w:tc>
          <w:tcPr>
            <w:tcW w:w="1099" w:type="dxa"/>
            <w:vAlign w:val="center"/>
          </w:tcPr>
          <w:p w14:paraId="57314332">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923687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8703BD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B06A319">
            <w:pPr>
              <w:spacing w:line="240" w:lineRule="auto"/>
              <w:ind w:firstLine="420"/>
              <w:jc w:val="center"/>
              <w:rPr>
                <w:rFonts w:ascii="仿宋_GB2312" w:hAnsi="宋体" w:eastAsia="仿宋_GB2312" w:cs="宋体"/>
                <w:kern w:val="0"/>
              </w:rPr>
            </w:pPr>
          </w:p>
        </w:tc>
      </w:tr>
      <w:tr w14:paraId="2E5C4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2FBE9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98EAA23">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7038AF7">
            <w:pPr>
              <w:spacing w:line="240" w:lineRule="auto"/>
              <w:ind w:firstLine="420"/>
              <w:jc w:val="center"/>
              <w:rPr>
                <w:rFonts w:ascii="仿宋_GB2312" w:hAnsi="宋体" w:eastAsia="仿宋_GB2312" w:cs="宋体"/>
                <w:kern w:val="0"/>
              </w:rPr>
            </w:pPr>
          </w:p>
        </w:tc>
        <w:tc>
          <w:tcPr>
            <w:tcW w:w="1020" w:type="dxa"/>
            <w:vAlign w:val="center"/>
          </w:tcPr>
          <w:p w14:paraId="7BF3C5FD">
            <w:pPr>
              <w:spacing w:line="240" w:lineRule="auto"/>
              <w:ind w:firstLine="420"/>
              <w:jc w:val="center"/>
              <w:rPr>
                <w:rFonts w:ascii="仿宋_GB2312" w:hAnsi="宋体" w:eastAsia="仿宋_GB2312" w:cs="宋体"/>
                <w:kern w:val="0"/>
              </w:rPr>
            </w:pPr>
          </w:p>
        </w:tc>
        <w:tc>
          <w:tcPr>
            <w:tcW w:w="1099" w:type="dxa"/>
            <w:vAlign w:val="center"/>
          </w:tcPr>
          <w:p w14:paraId="4EDA5E41">
            <w:pPr>
              <w:spacing w:line="240" w:lineRule="auto"/>
              <w:ind w:firstLine="420"/>
              <w:jc w:val="center"/>
              <w:rPr>
                <w:rFonts w:ascii="仿宋_GB2312" w:hAnsi="宋体" w:eastAsia="仿宋_GB2312" w:cs="宋体"/>
                <w:kern w:val="0"/>
              </w:rPr>
            </w:pPr>
          </w:p>
        </w:tc>
        <w:tc>
          <w:tcPr>
            <w:tcW w:w="1099" w:type="dxa"/>
            <w:vAlign w:val="center"/>
          </w:tcPr>
          <w:p w14:paraId="1FD0D2BB">
            <w:pPr>
              <w:spacing w:line="240" w:lineRule="auto"/>
              <w:ind w:firstLine="420"/>
              <w:jc w:val="center"/>
              <w:rPr>
                <w:rFonts w:ascii="仿宋_GB2312" w:hAnsi="宋体" w:eastAsia="仿宋_GB2312" w:cs="宋体"/>
                <w:kern w:val="0"/>
              </w:rPr>
            </w:pPr>
          </w:p>
        </w:tc>
        <w:tc>
          <w:tcPr>
            <w:tcW w:w="809" w:type="dxa"/>
            <w:vAlign w:val="center"/>
          </w:tcPr>
          <w:p w14:paraId="61EABFCC">
            <w:pPr>
              <w:spacing w:line="240" w:lineRule="auto"/>
              <w:ind w:firstLine="420"/>
              <w:jc w:val="center"/>
              <w:rPr>
                <w:rFonts w:ascii="仿宋_GB2312" w:hAnsi="宋体" w:eastAsia="仿宋_GB2312" w:cs="宋体"/>
                <w:kern w:val="0"/>
              </w:rPr>
            </w:pPr>
          </w:p>
        </w:tc>
        <w:tc>
          <w:tcPr>
            <w:tcW w:w="849" w:type="dxa"/>
            <w:vAlign w:val="center"/>
          </w:tcPr>
          <w:p w14:paraId="2005CC2B">
            <w:pPr>
              <w:spacing w:line="240" w:lineRule="auto"/>
              <w:ind w:firstLine="420"/>
              <w:jc w:val="center"/>
              <w:rPr>
                <w:rFonts w:ascii="仿宋_GB2312" w:hAnsi="宋体" w:eastAsia="仿宋_GB2312" w:cs="宋体"/>
                <w:kern w:val="0"/>
              </w:rPr>
            </w:pPr>
          </w:p>
        </w:tc>
        <w:tc>
          <w:tcPr>
            <w:tcW w:w="1383" w:type="dxa"/>
            <w:vAlign w:val="center"/>
          </w:tcPr>
          <w:p w14:paraId="38A615C0">
            <w:pPr>
              <w:spacing w:line="240" w:lineRule="auto"/>
              <w:ind w:firstLine="420"/>
              <w:jc w:val="center"/>
              <w:rPr>
                <w:rFonts w:ascii="仿宋_GB2312" w:hAnsi="宋体" w:eastAsia="仿宋_GB2312" w:cs="宋体"/>
                <w:kern w:val="0"/>
              </w:rPr>
            </w:pPr>
          </w:p>
        </w:tc>
      </w:tr>
      <w:tr w14:paraId="61245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22A55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703D10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B022E80">
            <w:pPr>
              <w:spacing w:line="240" w:lineRule="auto"/>
              <w:ind w:firstLine="420"/>
              <w:jc w:val="center"/>
              <w:rPr>
                <w:rFonts w:ascii="仿宋_GB2312" w:hAnsi="宋体" w:eastAsia="仿宋_GB2312" w:cs="宋体"/>
                <w:kern w:val="0"/>
              </w:rPr>
            </w:pPr>
          </w:p>
        </w:tc>
        <w:tc>
          <w:tcPr>
            <w:tcW w:w="1020" w:type="dxa"/>
            <w:vAlign w:val="center"/>
          </w:tcPr>
          <w:p w14:paraId="28B2A70B">
            <w:pPr>
              <w:spacing w:line="240" w:lineRule="auto"/>
              <w:ind w:firstLine="420"/>
              <w:jc w:val="center"/>
              <w:rPr>
                <w:rFonts w:ascii="仿宋_GB2312" w:hAnsi="宋体" w:eastAsia="仿宋_GB2312" w:cs="宋体"/>
                <w:kern w:val="0"/>
              </w:rPr>
            </w:pPr>
          </w:p>
        </w:tc>
        <w:tc>
          <w:tcPr>
            <w:tcW w:w="1099" w:type="dxa"/>
            <w:vAlign w:val="center"/>
          </w:tcPr>
          <w:p w14:paraId="24217154">
            <w:pPr>
              <w:spacing w:line="240" w:lineRule="auto"/>
              <w:ind w:firstLine="420"/>
              <w:jc w:val="center"/>
              <w:rPr>
                <w:rFonts w:ascii="仿宋_GB2312" w:hAnsi="宋体" w:eastAsia="仿宋_GB2312" w:cs="宋体"/>
                <w:kern w:val="0"/>
              </w:rPr>
            </w:pPr>
          </w:p>
        </w:tc>
        <w:tc>
          <w:tcPr>
            <w:tcW w:w="1099" w:type="dxa"/>
            <w:vAlign w:val="center"/>
          </w:tcPr>
          <w:p w14:paraId="784F20DC">
            <w:pPr>
              <w:spacing w:line="240" w:lineRule="auto"/>
              <w:ind w:firstLine="420"/>
              <w:jc w:val="center"/>
              <w:rPr>
                <w:rFonts w:ascii="仿宋_GB2312" w:hAnsi="宋体" w:eastAsia="仿宋_GB2312" w:cs="宋体"/>
                <w:kern w:val="0"/>
              </w:rPr>
            </w:pPr>
          </w:p>
        </w:tc>
        <w:tc>
          <w:tcPr>
            <w:tcW w:w="809" w:type="dxa"/>
            <w:vAlign w:val="center"/>
          </w:tcPr>
          <w:p w14:paraId="4A01FFF6">
            <w:pPr>
              <w:spacing w:line="240" w:lineRule="auto"/>
              <w:ind w:firstLine="420"/>
              <w:jc w:val="center"/>
              <w:rPr>
                <w:rFonts w:ascii="仿宋_GB2312" w:hAnsi="宋体" w:eastAsia="仿宋_GB2312" w:cs="宋体"/>
                <w:kern w:val="0"/>
              </w:rPr>
            </w:pPr>
          </w:p>
        </w:tc>
        <w:tc>
          <w:tcPr>
            <w:tcW w:w="849" w:type="dxa"/>
            <w:vAlign w:val="center"/>
          </w:tcPr>
          <w:p w14:paraId="2682CE76">
            <w:pPr>
              <w:spacing w:line="240" w:lineRule="auto"/>
              <w:ind w:firstLine="420"/>
              <w:jc w:val="center"/>
              <w:rPr>
                <w:rFonts w:ascii="仿宋_GB2312" w:hAnsi="宋体" w:eastAsia="仿宋_GB2312" w:cs="宋体"/>
                <w:kern w:val="0"/>
              </w:rPr>
            </w:pPr>
          </w:p>
        </w:tc>
        <w:tc>
          <w:tcPr>
            <w:tcW w:w="1383" w:type="dxa"/>
            <w:vAlign w:val="center"/>
          </w:tcPr>
          <w:p w14:paraId="416224C8">
            <w:pPr>
              <w:spacing w:line="240" w:lineRule="auto"/>
              <w:ind w:firstLine="420"/>
              <w:jc w:val="center"/>
              <w:rPr>
                <w:rFonts w:ascii="仿宋_GB2312" w:hAnsi="宋体" w:eastAsia="仿宋_GB2312" w:cs="宋体"/>
                <w:kern w:val="0"/>
              </w:rPr>
            </w:pPr>
          </w:p>
        </w:tc>
      </w:tr>
      <w:tr w14:paraId="44456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E2D8635">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71DFC6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C33D07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0C27A3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4C6E889">
            <w:pPr>
              <w:spacing w:line="240" w:lineRule="auto"/>
              <w:jc w:val="both"/>
              <w:rPr>
                <w:rFonts w:ascii="仿宋_GB2312" w:hAnsi="宋体" w:eastAsia="仿宋_GB2312" w:cs="宋体"/>
                <w:kern w:val="0"/>
              </w:rPr>
            </w:pPr>
            <w:r>
              <w:rPr>
                <w:rFonts w:hint="eastAsia" w:ascii="仿宋_GB2312" w:hAnsi="宋体" w:eastAsia="仿宋_GB2312" w:cs="宋体"/>
                <w:kern w:val="0"/>
              </w:rPr>
              <w:t>厉行节约降低成本</w:t>
            </w:r>
          </w:p>
        </w:tc>
        <w:tc>
          <w:tcPr>
            <w:tcW w:w="1099" w:type="dxa"/>
            <w:vAlign w:val="center"/>
          </w:tcPr>
          <w:p w14:paraId="4DB681F7">
            <w:pPr>
              <w:spacing w:line="240" w:lineRule="auto"/>
              <w:jc w:val="both"/>
              <w:rPr>
                <w:rFonts w:ascii="仿宋_GB2312" w:hAnsi="宋体" w:eastAsia="仿宋_GB2312" w:cs="宋体"/>
                <w:kern w:val="0"/>
              </w:rPr>
            </w:pPr>
            <w:r>
              <w:rPr>
                <w:rFonts w:hint="eastAsia" w:ascii="仿宋_GB2312" w:hAnsi="宋体" w:eastAsia="仿宋_GB2312" w:cs="宋体"/>
                <w:kern w:val="0"/>
              </w:rPr>
              <w:t>节约成本，控制在预算内</w:t>
            </w:r>
          </w:p>
        </w:tc>
        <w:tc>
          <w:tcPr>
            <w:tcW w:w="1099" w:type="dxa"/>
            <w:vAlign w:val="center"/>
          </w:tcPr>
          <w:p w14:paraId="3917AE70">
            <w:pPr>
              <w:spacing w:line="240" w:lineRule="auto"/>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AEDCED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23845F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0BC0897">
            <w:pPr>
              <w:spacing w:line="240" w:lineRule="auto"/>
              <w:ind w:firstLine="420"/>
              <w:jc w:val="center"/>
              <w:rPr>
                <w:rFonts w:ascii="仿宋_GB2312" w:hAnsi="宋体" w:eastAsia="仿宋_GB2312" w:cs="宋体"/>
                <w:kern w:val="0"/>
              </w:rPr>
            </w:pPr>
          </w:p>
        </w:tc>
      </w:tr>
      <w:tr w14:paraId="1C14F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6843D4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E8975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D556BC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7798FC23">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3638D9B8">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无负面影响 </w:t>
            </w:r>
          </w:p>
        </w:tc>
        <w:tc>
          <w:tcPr>
            <w:tcW w:w="1099" w:type="dxa"/>
            <w:vAlign w:val="center"/>
          </w:tcPr>
          <w:p w14:paraId="0A5E2652">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无负面影响 </w:t>
            </w:r>
          </w:p>
        </w:tc>
        <w:tc>
          <w:tcPr>
            <w:tcW w:w="809" w:type="dxa"/>
            <w:vAlign w:val="center"/>
          </w:tcPr>
          <w:p w14:paraId="733EA3A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301B3F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292838F">
            <w:pPr>
              <w:spacing w:line="240" w:lineRule="auto"/>
              <w:ind w:firstLine="420"/>
              <w:jc w:val="center"/>
              <w:rPr>
                <w:rFonts w:ascii="仿宋_GB2312" w:hAnsi="宋体" w:eastAsia="仿宋_GB2312" w:cs="宋体"/>
                <w:kern w:val="0"/>
              </w:rPr>
            </w:pPr>
          </w:p>
        </w:tc>
      </w:tr>
      <w:tr w14:paraId="73FB2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4FAAF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5C22B7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738DA6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2B850ED">
            <w:pPr>
              <w:spacing w:line="240" w:lineRule="auto"/>
              <w:jc w:val="both"/>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14:paraId="23217D5F">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无负面影响 </w:t>
            </w:r>
          </w:p>
        </w:tc>
        <w:tc>
          <w:tcPr>
            <w:tcW w:w="1099" w:type="dxa"/>
            <w:vAlign w:val="center"/>
          </w:tcPr>
          <w:p w14:paraId="2FF70900">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无负面影响 </w:t>
            </w:r>
          </w:p>
        </w:tc>
        <w:tc>
          <w:tcPr>
            <w:tcW w:w="809" w:type="dxa"/>
            <w:vAlign w:val="center"/>
          </w:tcPr>
          <w:p w14:paraId="06C6CA6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746253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CD655B8">
            <w:pPr>
              <w:spacing w:line="240" w:lineRule="auto"/>
              <w:ind w:firstLine="420"/>
              <w:jc w:val="center"/>
              <w:rPr>
                <w:rFonts w:ascii="仿宋_GB2312" w:hAnsi="宋体" w:eastAsia="仿宋_GB2312" w:cs="宋体"/>
                <w:kern w:val="0"/>
              </w:rPr>
            </w:pPr>
          </w:p>
        </w:tc>
      </w:tr>
      <w:tr w14:paraId="5221E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8866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72D2E96">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AC3F90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57CC67CF">
            <w:pPr>
              <w:spacing w:line="240" w:lineRule="auto"/>
              <w:ind w:firstLine="420"/>
              <w:jc w:val="center"/>
              <w:rPr>
                <w:rFonts w:ascii="仿宋_GB2312" w:hAnsi="宋体" w:eastAsia="仿宋_GB2312" w:cs="宋体"/>
                <w:kern w:val="0"/>
              </w:rPr>
            </w:pPr>
          </w:p>
        </w:tc>
      </w:tr>
    </w:tbl>
    <w:p w14:paraId="258D5D9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448F47E">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汨罗江畔端午习俗传承研究中心</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val="en-US" w:eastAsia="zh-CN"/>
        </w:rPr>
        <w:t>汨罗江畔端午习俗传承研究中心</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79D65B78">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（一）职能职责</w:t>
      </w:r>
    </w:p>
    <w:p w14:paraId="6C8496BB">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汨罗江畔端午习俗传承研究中心（又名汨罗市花鼓戏剧团）隶属汨罗市文化旅游广电局，全额编制事业单位。根据国家的有关法律法规和市委市政府的三定方案，负责传承民族文化，保护文化遗产。挖掘、收集、整理、编排汨罗江畔端午独特习俗艺术加工，呈现舞台，定期组织活动交流，举办旅游演艺活动。</w:t>
      </w:r>
    </w:p>
    <w:p w14:paraId="435FC68E">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（二）机构设置</w:t>
      </w:r>
    </w:p>
    <w:p w14:paraId="7F9FABC6">
      <w:pPr>
        <w:spacing w:line="600" w:lineRule="exact"/>
        <w:ind w:firstLine="640" w:firstLineChars="200"/>
        <w:jc w:val="both"/>
        <w:rPr>
          <w:rFonts w:hint="eastAsia" w:ascii="方正黑体_GBK" w:hAnsi="仿宋" w:eastAsia="方正黑体_GBK" w:cs="仿宋"/>
          <w:snapToGrid w:val="0"/>
          <w:color w:val="000000"/>
          <w:sz w:val="32"/>
          <w:szCs w:val="32"/>
          <w:lang w:val="en-US" w:eastAsia="zh-CN" w:bidi="ar-SA"/>
        </w:rPr>
      </w:pPr>
      <w:r>
        <w:rPr>
          <w:rFonts w:hint="eastAsia" w:ascii="Times New Roman" w:hAnsi="Times New Roman" w:eastAsia="仿宋_GB2312"/>
          <w:kern w:val="0"/>
          <w:sz w:val="32"/>
          <w:szCs w:val="32"/>
          <w:lang w:val="en-US" w:eastAsia="zh-CN"/>
        </w:rPr>
        <w:t>汨罗江畔端午习俗传承研究中心属全额编制的事业单位，隶属汨罗市文化旅游广电新闻出版局二级单位。会计属独立会计核算单位。共有人数61人，其中：在职人员34人，停薪留职1人，临时工5人。退休人员21人。</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175308AF">
      <w:pPr>
        <w:pStyle w:val="9"/>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2023年度年初预算为380.63万元，支出决算为535.19万元，</w:t>
      </w:r>
      <w:r>
        <w:rPr>
          <w:rFonts w:hint="eastAsia" w:ascii="Arial" w:hAnsi="Arial" w:eastAsia="仿宋_GB2312" w:cs="Arial"/>
          <w:snapToGrid w:val="0"/>
          <w:color w:val="000000"/>
          <w:kern w:val="0"/>
          <w:sz w:val="32"/>
          <w:szCs w:val="32"/>
          <w:lang w:val="en-US" w:eastAsia="zh-CN" w:bidi="ar-SA"/>
        </w:rPr>
        <w:t>完成年初预算的1</w:t>
      </w:r>
      <w:r>
        <w:rPr>
          <w:rFonts w:hint="eastAsia" w:eastAsia="仿宋_GB2312" w:cs="Arial"/>
          <w:snapToGrid w:val="0"/>
          <w:color w:val="000000"/>
          <w:kern w:val="0"/>
          <w:sz w:val="32"/>
          <w:szCs w:val="32"/>
          <w:lang w:val="en-US" w:eastAsia="zh-CN" w:bidi="ar-SA"/>
        </w:rPr>
        <w:t>41</w:t>
      </w:r>
      <w:r>
        <w:rPr>
          <w:rFonts w:hint="eastAsia" w:ascii="Arial" w:hAnsi="Arial" w:eastAsia="仿宋_GB2312" w:cs="Arial"/>
          <w:snapToGrid w:val="0"/>
          <w:color w:val="000000"/>
          <w:kern w:val="0"/>
          <w:sz w:val="32"/>
          <w:szCs w:val="32"/>
          <w:lang w:val="en-US" w:eastAsia="zh-CN" w:bidi="ar-SA"/>
        </w:rPr>
        <w:t>%，</w:t>
      </w:r>
      <w:r>
        <w:rPr>
          <w:rFonts w:hint="eastAsia" w:ascii="Times New Roman" w:hAnsi="Times New Roman" w:eastAsia="仿宋_GB2312"/>
          <w:kern w:val="0"/>
          <w:sz w:val="32"/>
          <w:szCs w:val="32"/>
          <w:lang w:val="en-US" w:eastAsia="zh-CN"/>
        </w:rPr>
        <w:t>其中：基本支出400.82万元，占74.89%；项目支出134.37万元，占25.11%，</w:t>
      </w:r>
      <w:r>
        <w:rPr>
          <w:rFonts w:hint="eastAsia" w:ascii="Arial" w:hAnsi="Arial" w:eastAsia="仿宋_GB2312" w:cs="Arial"/>
          <w:snapToGrid w:val="0"/>
          <w:color w:val="000000"/>
          <w:kern w:val="0"/>
          <w:sz w:val="32"/>
          <w:szCs w:val="32"/>
          <w:lang w:val="en-US" w:eastAsia="zh-CN" w:bidi="ar-SA"/>
        </w:rPr>
        <w:t>决算数大于年初预算数的主要原因是：财政根据政策及实际工作需要在年中追加的部分经费。</w:t>
      </w:r>
    </w:p>
    <w:p w14:paraId="00657FCB">
      <w:pPr>
        <w:pStyle w:val="9"/>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3ABA07A4">
      <w:pPr>
        <w:pStyle w:val="9"/>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年初预算为0万元，支出决算为134.37万元，其中花鼓戏制作专项资金8</w:t>
      </w:r>
      <w:r>
        <w:rPr>
          <w:rFonts w:hint="default" w:ascii="Times New Roman" w:hAnsi="Times New Roman" w:eastAsia="仿宋_GB2312"/>
          <w:kern w:val="0"/>
          <w:sz w:val="32"/>
          <w:szCs w:val="32"/>
          <w:lang w:eastAsia="zh-CN"/>
        </w:rPr>
        <w:t>4.37万元</w:t>
      </w:r>
      <w:r>
        <w:rPr>
          <w:rFonts w:hint="eastAsia" w:ascii="Times New Roman" w:hAnsi="Times New Roman" w:eastAsia="仿宋_GB2312"/>
          <w:kern w:val="0"/>
          <w:sz w:val="32"/>
          <w:szCs w:val="32"/>
          <w:lang w:val="en-US" w:eastAsia="zh-CN"/>
        </w:rPr>
        <w:t>，占项目总支出的62.79%</w:t>
      </w:r>
      <w:r>
        <w:rPr>
          <w:rFonts w:hint="default" w:ascii="Times New Roman" w:hAnsi="Times New Roman" w:eastAsia="仿宋_GB2312"/>
          <w:kern w:val="0"/>
          <w:sz w:val="32"/>
          <w:szCs w:val="32"/>
          <w:lang w:eastAsia="zh-CN"/>
        </w:rPr>
        <w:t>；周末惠民梨园剧场专项资金50万元</w:t>
      </w:r>
      <w:r>
        <w:rPr>
          <w:rFonts w:hint="eastAsia" w:ascii="Times New Roman" w:hAnsi="Times New Roman" w:eastAsia="仿宋_GB2312"/>
          <w:kern w:val="0"/>
          <w:sz w:val="32"/>
          <w:szCs w:val="32"/>
          <w:lang w:val="en-US" w:eastAsia="zh-CN"/>
        </w:rPr>
        <w:t>，占项目总支出的37.21%。决算数大于预算数的原因是中央及省级地方专项配套资金的下拨。</w:t>
      </w:r>
    </w:p>
    <w:p w14:paraId="516D3C5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4AA69457">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kern w:val="0"/>
          <w:sz w:val="32"/>
          <w:szCs w:val="32"/>
          <w:lang w:val="en-US" w:eastAsia="zh-CN"/>
        </w:rPr>
        <w:t>2023年度本单位无国有资本经营安排的支出</w:t>
      </w:r>
      <w:r>
        <w:rPr>
          <w:rFonts w:hint="eastAsia" w:ascii="Times New Roman" w:hAnsi="Times New Roman" w:eastAsia="仿宋_GB2312"/>
          <w:kern w:val="0"/>
          <w:sz w:val="32"/>
          <w:szCs w:val="32"/>
          <w:lang w:val="en-US" w:eastAsia="zh-CN"/>
        </w:rPr>
        <w:t>。</w:t>
      </w:r>
    </w:p>
    <w:p w14:paraId="2A755169">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071F55D5">
      <w:pPr>
        <w:pStyle w:val="9"/>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kern w:val="0"/>
          <w:sz w:val="32"/>
          <w:szCs w:val="32"/>
          <w:lang w:val="en-US" w:eastAsia="zh-CN"/>
        </w:rPr>
        <w:t>2023年度本单位无国有资本经营安排的支出</w:t>
      </w:r>
      <w:r>
        <w:rPr>
          <w:rFonts w:hint="eastAsia" w:ascii="Times New Roman" w:hAnsi="Times New Roman" w:eastAsia="仿宋_GB2312"/>
          <w:kern w:val="0"/>
          <w:sz w:val="32"/>
          <w:szCs w:val="32"/>
          <w:lang w:val="en-US" w:eastAsia="zh-CN"/>
        </w:rPr>
        <w:t>。</w:t>
      </w:r>
    </w:p>
    <w:p w14:paraId="07F1EBC0">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4D4EB154">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sz w:val="32"/>
          <w:szCs w:val="32"/>
          <w:lang w:val="en-US" w:eastAsia="zh-CN"/>
        </w:rPr>
        <w:t>2023年度本单位社会保险基金预算支出数为105.1万元，其中机关养老保险缴费支出预算为35.62万元，机关事业职业年金缴费支出预算为17.38万元，其他社会保障和就业缴费支出预算为6.05万元，事业单位医疗缴费支出预算为18.92万元，住房公积金缴费支出预算为26.71万元；</w:t>
      </w:r>
      <w:r>
        <w:rPr>
          <w:rFonts w:hint="eastAsia" w:ascii="仿宋" w:hAnsi="仿宋" w:eastAsia="仿宋" w:cs="仿宋"/>
          <w:sz w:val="32"/>
          <w:szCs w:val="32"/>
        </w:rPr>
        <w:t>年末结转和结余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11C54A9B">
      <w:pPr>
        <w:pStyle w:val="9"/>
        <w:spacing w:line="600" w:lineRule="exact"/>
        <w:ind w:firstLine="643"/>
        <w:jc w:val="both"/>
        <w:rPr>
          <w:rFonts w:eastAsia="仿宋_GB2312"/>
          <w:kern w:val="0"/>
          <w:sz w:val="32"/>
          <w:szCs w:val="32"/>
          <w:lang w:eastAsia="zh-CN"/>
        </w:rPr>
      </w:pPr>
      <w:r>
        <w:rPr>
          <w:rFonts w:hint="eastAsia" w:ascii="仿宋" w:hAnsi="仿宋" w:eastAsia="仿宋" w:cs="仿宋"/>
          <w:kern w:val="0"/>
          <w:sz w:val="32"/>
          <w:szCs w:val="32"/>
          <w:lang w:val="en-US" w:eastAsia="zh-CN"/>
        </w:rPr>
        <w:t>2023年，我单位</w:t>
      </w:r>
      <w:r>
        <w:rPr>
          <w:rFonts w:hint="eastAsia" w:ascii="仿宋" w:hAnsi="仿宋" w:eastAsia="仿宋" w:cs="仿宋"/>
          <w:kern w:val="0"/>
          <w:sz w:val="32"/>
          <w:szCs w:val="32"/>
          <w:lang w:eastAsia="zh-CN"/>
        </w:rPr>
        <w:t>“四本预算”支出的绩效目标完成情况良好，实现产出和取得效益基本均衡。我单位主要职责是</w:t>
      </w:r>
      <w:r>
        <w:rPr>
          <w:rFonts w:hint="eastAsia" w:ascii="Times New Roman" w:hAnsi="Times New Roman" w:eastAsia="仿宋_GB2312"/>
          <w:kern w:val="0"/>
          <w:sz w:val="32"/>
          <w:szCs w:val="32"/>
          <w:lang w:val="en-US" w:eastAsia="zh-CN"/>
        </w:rPr>
        <w:t>负责传承民族文化，保护文化遗产。挖掘、收集、整理、编排汨罗江畔端午独特习俗艺术加工，呈现舞台，定期组织活动交流，举办旅游演艺活动。</w:t>
      </w:r>
      <w:r>
        <w:rPr>
          <w:rFonts w:hint="eastAsia" w:ascii="仿宋" w:hAnsi="仿宋" w:eastAsia="仿宋" w:cs="仿宋"/>
          <w:kern w:val="0"/>
          <w:sz w:val="32"/>
          <w:szCs w:val="32"/>
          <w:lang w:eastAsia="zh-CN"/>
        </w:rPr>
        <w:t>等职能。在</w:t>
      </w:r>
      <w:r>
        <w:rPr>
          <w:rFonts w:hint="eastAsia" w:ascii="仿宋" w:hAnsi="仿宋" w:eastAsia="仿宋" w:cs="仿宋"/>
          <w:kern w:val="0"/>
          <w:sz w:val="32"/>
          <w:szCs w:val="32"/>
          <w:lang w:val="en-US" w:eastAsia="zh-CN"/>
        </w:rPr>
        <w:t>2023年，我单位根据财政下达的预算资金，严格落实省委、省政府关于事业单位厉行节约的有关要求，既有效保障单位运转，又坚决制止铺张浪费，切实规范公务消费行为，努力降低成本，压减一般性支出，保障重点支出，不断优化支出结构，圆满完成了全年任务，得到了市委、市政府充分肯定以及社会公众的普遍好评</w:t>
      </w:r>
      <w:r>
        <w:rPr>
          <w:rFonts w:hint="eastAsia" w:ascii="仿宋" w:hAnsi="仿宋" w:eastAsia="仿宋" w:cs="仿宋"/>
          <w:color w:val="000000"/>
          <w:kern w:val="0"/>
          <w:sz w:val="32"/>
          <w:szCs w:val="32"/>
          <w:lang w:val="en-US" w:eastAsia="zh-CN" w:bidi="ar-SA"/>
        </w:rPr>
        <w:t>。</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478EED2A">
      <w:pPr>
        <w:pStyle w:val="10"/>
        <w:keepNext w:val="0"/>
        <w:keepLines w:val="0"/>
        <w:pageBreakBefore w:val="0"/>
        <w:widowControl w:val="0"/>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我部门</w:t>
      </w:r>
      <w:r>
        <w:rPr>
          <w:rFonts w:hint="eastAsia" w:ascii="仿宋" w:hAnsi="仿宋" w:eastAsia="仿宋" w:cs="仿宋"/>
          <w:sz w:val="30"/>
          <w:szCs w:val="30"/>
        </w:rPr>
        <w:t>从预算和预算绩效管理</w:t>
      </w:r>
      <w:r>
        <w:rPr>
          <w:rFonts w:hint="eastAsia" w:ascii="仿宋" w:hAnsi="仿宋" w:eastAsia="仿宋" w:cs="仿宋"/>
          <w:sz w:val="30"/>
          <w:szCs w:val="30"/>
          <w:lang w:eastAsia="zh-CN"/>
        </w:rPr>
        <w:t>、</w:t>
      </w:r>
      <w:r>
        <w:rPr>
          <w:rFonts w:hint="eastAsia" w:ascii="仿宋" w:hAnsi="仿宋" w:eastAsia="仿宋" w:cs="仿宋"/>
          <w:sz w:val="30"/>
          <w:szCs w:val="30"/>
        </w:rPr>
        <w:t>部门履职效能</w:t>
      </w:r>
      <w:r>
        <w:rPr>
          <w:rFonts w:hint="eastAsia" w:ascii="仿宋" w:hAnsi="仿宋" w:eastAsia="仿宋" w:cs="仿宋"/>
          <w:sz w:val="30"/>
          <w:szCs w:val="30"/>
          <w:lang w:eastAsia="zh-CN"/>
        </w:rPr>
        <w:t>、</w:t>
      </w:r>
      <w:r>
        <w:rPr>
          <w:rFonts w:hint="eastAsia" w:ascii="仿宋" w:hAnsi="仿宋" w:eastAsia="仿宋" w:cs="仿宋"/>
          <w:sz w:val="30"/>
          <w:szCs w:val="30"/>
        </w:rPr>
        <w:t>资金分配、使用和管理</w:t>
      </w:r>
      <w:r>
        <w:rPr>
          <w:rFonts w:hint="eastAsia" w:ascii="仿宋" w:hAnsi="仿宋" w:eastAsia="仿宋" w:cs="仿宋"/>
          <w:sz w:val="30"/>
          <w:szCs w:val="30"/>
          <w:lang w:eastAsia="zh-CN"/>
        </w:rPr>
        <w:t>、</w:t>
      </w:r>
      <w:r>
        <w:rPr>
          <w:rFonts w:hint="eastAsia" w:ascii="仿宋" w:hAnsi="仿宋" w:eastAsia="仿宋" w:cs="仿宋"/>
          <w:sz w:val="30"/>
          <w:szCs w:val="30"/>
        </w:rPr>
        <w:t>资产和财务管理、政府采购等方面归纳存在的问题；反映各种预算支出执行偏离绩效目标的情况，并分析其原因。</w:t>
      </w:r>
    </w:p>
    <w:p w14:paraId="409C45AA">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仿宋" w:hAnsi="仿宋" w:eastAsia="仿宋" w:cs="仿宋"/>
          <w:color w:val="000000"/>
          <w:spacing w:val="0"/>
          <w:kern w:val="0"/>
          <w:position w:val="0"/>
          <w:sz w:val="30"/>
          <w:shd w:val="clear" w:fill="auto"/>
          <w:lang w:val="en-US" w:eastAsia="zh-CN"/>
        </w:rPr>
      </w:pPr>
      <w:r>
        <w:rPr>
          <w:rFonts w:hint="eastAsia" w:ascii="仿宋" w:hAnsi="仿宋" w:eastAsia="仿宋" w:cs="仿宋"/>
          <w:color w:val="000000"/>
          <w:spacing w:val="0"/>
          <w:kern w:val="0"/>
          <w:position w:val="0"/>
          <w:sz w:val="30"/>
          <w:shd w:val="clear" w:fill="auto"/>
        </w:rPr>
        <w:t>整体支出绩效</w:t>
      </w:r>
      <w:r>
        <w:rPr>
          <w:rFonts w:hint="eastAsia" w:ascii="仿宋" w:hAnsi="仿宋" w:eastAsia="仿宋" w:cs="仿宋"/>
          <w:color w:val="000000"/>
          <w:spacing w:val="0"/>
          <w:kern w:val="0"/>
          <w:position w:val="0"/>
          <w:sz w:val="30"/>
          <w:shd w:val="clear" w:fill="auto"/>
          <w:lang w:eastAsia="zh-CN"/>
        </w:rPr>
        <w:t>存在的问题及原因分析为：</w:t>
      </w:r>
      <w:r>
        <w:rPr>
          <w:rFonts w:hint="eastAsia" w:ascii="仿宋" w:hAnsi="仿宋" w:eastAsia="仿宋" w:cs="仿宋"/>
          <w:color w:val="000000"/>
          <w:spacing w:val="0"/>
          <w:kern w:val="0"/>
          <w:position w:val="0"/>
          <w:sz w:val="30"/>
          <w:shd w:val="clear" w:fill="auto"/>
          <w:lang w:val="en-US" w:eastAsia="zh-CN"/>
        </w:rPr>
        <w:t>行当的人才缺稀，无法独立完成新创剧目，只能高薪外请主创团队来协助我们完成新创剧目，从而加重了单位的资金负担，创演成本昂贵。每年的常规性演出活动（惠民送戏下乡）等政府政治性文艺演出活动，财政均没有纳入预算，而全年的创作任务随着市委、市政府和人民群众对艺术作品的要求标准越来越高，导致创作成本也不断提高，有限的资金在很大程度上制约了文艺作品的生产与文艺作品的演出质量。</w:t>
      </w:r>
    </w:p>
    <w:p w14:paraId="7603D205">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仿宋" w:hAnsi="仿宋" w:eastAsia="仿宋" w:cs="仿宋"/>
          <w:color w:val="FF0000"/>
          <w:spacing w:val="0"/>
          <w:kern w:val="0"/>
          <w:position w:val="0"/>
          <w:sz w:val="30"/>
          <w:shd w:val="clear" w:fill="auto"/>
        </w:rPr>
      </w:pPr>
      <w:r>
        <w:rPr>
          <w:rFonts w:hint="eastAsia" w:ascii="仿宋" w:hAnsi="仿宋" w:eastAsia="仿宋" w:cs="仿宋"/>
          <w:color w:val="000000"/>
          <w:spacing w:val="0"/>
          <w:kern w:val="0"/>
          <w:position w:val="0"/>
          <w:sz w:val="30"/>
          <w:shd w:val="clear" w:fill="auto"/>
          <w:lang w:val="en-US" w:eastAsia="zh-CN"/>
        </w:rPr>
        <w:t>汨罗江畔端午习俗传承研究中心</w:t>
      </w:r>
      <w:r>
        <w:rPr>
          <w:rFonts w:hint="eastAsia" w:ascii="仿宋" w:hAnsi="仿宋" w:eastAsia="仿宋" w:cs="仿宋"/>
          <w:color w:val="000000"/>
          <w:spacing w:val="0"/>
          <w:kern w:val="0"/>
          <w:position w:val="0"/>
          <w:sz w:val="30"/>
          <w:shd w:val="clear" w:fill="auto"/>
        </w:rPr>
        <w:t>项目</w:t>
      </w:r>
      <w:r>
        <w:rPr>
          <w:rFonts w:hint="eastAsia" w:ascii="仿宋" w:hAnsi="仿宋" w:eastAsia="仿宋" w:cs="仿宋"/>
          <w:color w:val="000000"/>
          <w:spacing w:val="0"/>
          <w:kern w:val="0"/>
          <w:position w:val="0"/>
          <w:sz w:val="30"/>
          <w:shd w:val="clear" w:fill="auto"/>
          <w:lang w:eastAsia="zh-CN"/>
        </w:rPr>
        <w:t>支出绩效存在的问题及原因分析为：</w:t>
      </w:r>
      <w:r>
        <w:rPr>
          <w:rFonts w:hint="eastAsia" w:ascii="仿宋" w:hAnsi="仿宋" w:eastAsia="仿宋" w:cs="仿宋"/>
          <w:color w:val="000000"/>
          <w:spacing w:val="0"/>
          <w:kern w:val="0"/>
          <w:position w:val="0"/>
          <w:sz w:val="30"/>
          <w:shd w:val="clear" w:fill="auto"/>
          <w:lang w:val="en-US" w:eastAsia="zh-CN"/>
        </w:rPr>
        <w:t>行当的人才缺稀，无法独立完成新创剧目，只能高薪外请主创团队来协助我们完成新创剧目，从而加重了单位的资金负担，创演成本昂贵。</w:t>
      </w:r>
    </w:p>
    <w:p w14:paraId="21E6073D">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53FA9E1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加强监管，做到监管机制环环相扣，不出现断层；单位预算是财政总预算的基础，它是党和国家方针、政策和社会发展战略在部门单位预算中的体现，是单位正常开展业务活动的重要经济保证。因此，为保证预算编制的质量，在编制预算中，本单位遵循下列原则：合法性原则、完整性原则、真实性原则、稳妥性原则、合作性原则、绩效性原则。</w:t>
      </w:r>
    </w:p>
    <w:p w14:paraId="2F4CE9F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建立健全财政绩效评价指标体系，加强工作人员的业务培训和财政绩效管理信息化建设，加大绩效评价结果的运用。</w:t>
      </w:r>
    </w:p>
    <w:p w14:paraId="58F1BEB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方正黑体_GBK" w:eastAsia="方正黑体_GBK"/>
          <w:kern w:val="0"/>
          <w:sz w:val="32"/>
          <w:szCs w:val="32"/>
          <w:lang w:eastAsia="zh-CN"/>
        </w:rPr>
      </w:pPr>
      <w:r>
        <w:rPr>
          <w:rFonts w:hint="eastAsia" w:ascii="Times New Roman" w:hAnsi="Times New Roman" w:eastAsia="仿宋_GB2312" w:cs="仿宋_GB2312"/>
          <w:color w:val="000000"/>
          <w:sz w:val="32"/>
          <w:szCs w:val="32"/>
          <w:lang w:val="en-US" w:eastAsia="zh-CN"/>
        </w:rPr>
        <w:t>2、建议财政部门在严格资金支出进度要求的同时，充分考虑到我单位工作的实际情况，增加我中心项目年初本级财政预算经费。</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126D1029">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2023年度我单位努力做好财政预算收入、支出以及各项目的管理工作，将预算及时公开到相关的信息网络平台，并在执行过程中积极对执行情况进行监控，对预算的资金进行全方位的监督和管理，使每一笔资金都能起到最大的使用效益。结合我单位实际情况合理分配资金、提升资金的产出效果、节约成本与资源、提高部门的办事效率的目的。在部门预算整体支出绩效方面都按规定严格执行，合理安排支出，使财政资金发挥出最大的效益。</w:t>
      </w:r>
    </w:p>
    <w:p w14:paraId="740D8C2A">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本年度部门整体目标绩效完成情况良好。</w:t>
      </w:r>
    </w:p>
    <w:p w14:paraId="269C4997">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（一）产出指标</w:t>
      </w:r>
    </w:p>
    <w:p w14:paraId="70B594D6">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1、数量指标达到以下目标：传统戏演出场次95场。</w:t>
      </w:r>
    </w:p>
    <w:p w14:paraId="48B351A8">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2、质量指标达到以下目标：力保各项活动圆满完成100%。</w:t>
      </w:r>
    </w:p>
    <w:p w14:paraId="3FD10666">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3、时效指标达到以下目标：2023年12月底前完成。</w:t>
      </w:r>
    </w:p>
    <w:p w14:paraId="1983FC3E">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（二）效益指标</w:t>
      </w:r>
    </w:p>
    <w:p w14:paraId="20C70F35">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1、经济效益指标达到以下目标：通过各项活动增强文化品牌效应，带动本地旅游业的发展，带动文化市场经济的发展。</w:t>
      </w:r>
    </w:p>
    <w:p w14:paraId="2A70C8CA">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2、社会效益指标达到以下目标：提供人民群众文化精神食粮，张扬社会主义注流价值观，传播社会正能量 ，具有良好的思想性和教育意义。</w:t>
      </w:r>
    </w:p>
    <w:p w14:paraId="0A77576E">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3、生态效益指标达到以下目标：通过让群众参与其中，满足了群众对文化生活的需求，提高了群众的文化素养。</w:t>
      </w:r>
    </w:p>
    <w:p w14:paraId="64AA0B42">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4、可持续影响指标达到以下目标：通过不定时开展各类活动，带动了本地经济的发展，对文旅融合有很好的促进作用。</w:t>
      </w:r>
    </w:p>
    <w:p w14:paraId="2A83CF7B">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（三）满意度指标</w:t>
      </w:r>
    </w:p>
    <w:p w14:paraId="7256E3D8">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服务对象满意度指标达到以下目标：经口头询问采访，活动展演、展示现场观众满意度大于98%。</w:t>
      </w:r>
    </w:p>
    <w:p w14:paraId="39F75880">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（四）成本指标</w:t>
      </w:r>
    </w:p>
    <w:p w14:paraId="2BB7398D">
      <w:pPr>
        <w:spacing w:line="600" w:lineRule="exact"/>
        <w:jc w:val="both"/>
        <w:rPr>
          <w:rFonts w:hint="eastAsia" w:ascii="方正黑体_GBK" w:eastAsia="方正黑体_GBK"/>
          <w:kern w:val="0"/>
          <w:sz w:val="32"/>
          <w:szCs w:val="32"/>
          <w:lang w:eastAsia="zh-CN"/>
        </w:rPr>
      </w:pPr>
      <w:r>
        <w:rPr>
          <w:rFonts w:hint="eastAsia" w:ascii="Times New Roman" w:hAnsi="Times New Roman" w:eastAsia="仿宋_GB2312" w:cs="仿宋_GB2312"/>
          <w:color w:val="000000"/>
          <w:sz w:val="32"/>
          <w:szCs w:val="32"/>
          <w:lang w:val="en-US" w:eastAsia="zh-CN"/>
        </w:rPr>
        <w:t xml:space="preserve">    经济成本指标达到以下目标：控制成本，严格按预算指标进行。</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14:paraId="5480AED6">
      <w:pPr>
        <w:spacing w:line="600" w:lineRule="exact"/>
        <w:ind w:firstLine="640" w:firstLineChars="200"/>
        <w:jc w:val="both"/>
        <w:rPr>
          <w:rFonts w:hint="default" w:eastAsia="仿宋_GB2312"/>
          <w:kern w:val="0"/>
          <w:sz w:val="32"/>
          <w:szCs w:val="32"/>
          <w:lang w:val="en-US"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5D700D1C">
      <w:pPr>
        <w:spacing w:line="267" w:lineRule="auto"/>
        <w:ind w:firstLine="552"/>
        <w:jc w:val="both"/>
        <w:rPr>
          <w:rFonts w:hint="eastAsia" w:ascii="宋体" w:hAnsi="宋体" w:eastAsia="宋体" w:cs="宋体"/>
          <w:bCs/>
          <w:spacing w:val="-4"/>
          <w:kern w:val="0"/>
          <w:sz w:val="28"/>
          <w:szCs w:val="28"/>
          <w:lang w:eastAsia="zh-CN"/>
        </w:rPr>
      </w:pPr>
    </w:p>
    <w:p w14:paraId="73B68DE9">
      <w:pPr>
        <w:spacing w:line="267" w:lineRule="auto"/>
        <w:ind w:firstLine="552"/>
        <w:jc w:val="both"/>
        <w:rPr>
          <w:rFonts w:hint="eastAsia" w:ascii="宋体" w:hAnsi="宋体" w:eastAsia="宋体" w:cs="宋体"/>
          <w:bCs/>
          <w:spacing w:val="-4"/>
          <w:kern w:val="0"/>
          <w:sz w:val="28"/>
          <w:szCs w:val="28"/>
          <w:lang w:eastAsia="zh-CN"/>
        </w:rPr>
      </w:pPr>
    </w:p>
    <w:p w14:paraId="51D40EBC">
      <w:pPr>
        <w:spacing w:line="267" w:lineRule="auto"/>
        <w:ind w:firstLine="552"/>
        <w:jc w:val="both"/>
        <w:rPr>
          <w:rFonts w:hint="eastAsia" w:ascii="宋体" w:hAnsi="宋体" w:eastAsia="宋体" w:cs="宋体"/>
          <w:bCs/>
          <w:spacing w:val="-4"/>
          <w:kern w:val="0"/>
          <w:sz w:val="28"/>
          <w:szCs w:val="28"/>
          <w:lang w:eastAsia="zh-CN"/>
        </w:rPr>
      </w:pPr>
    </w:p>
    <w:p w14:paraId="5ED0A5E5">
      <w:pPr>
        <w:spacing w:line="267" w:lineRule="auto"/>
        <w:ind w:firstLine="552"/>
        <w:jc w:val="both"/>
        <w:rPr>
          <w:rFonts w:hint="eastAsia" w:ascii="宋体" w:hAnsi="宋体" w:eastAsia="宋体" w:cs="宋体"/>
          <w:bCs/>
          <w:spacing w:val="-4"/>
          <w:kern w:val="0"/>
          <w:sz w:val="28"/>
          <w:szCs w:val="28"/>
          <w:lang w:eastAsia="zh-CN"/>
        </w:rPr>
      </w:pPr>
    </w:p>
    <w:p w14:paraId="51F72BC7">
      <w:pPr>
        <w:spacing w:line="267" w:lineRule="auto"/>
        <w:ind w:firstLine="552"/>
        <w:jc w:val="both"/>
        <w:rPr>
          <w:rFonts w:hint="eastAsia" w:ascii="宋体" w:hAnsi="宋体" w:eastAsia="宋体" w:cs="宋体"/>
          <w:bCs/>
          <w:spacing w:val="-4"/>
          <w:kern w:val="0"/>
          <w:sz w:val="28"/>
          <w:szCs w:val="28"/>
          <w:lang w:eastAsia="zh-CN"/>
        </w:rPr>
      </w:pPr>
    </w:p>
    <w:p w14:paraId="3E6802F6">
      <w:pPr>
        <w:spacing w:line="267" w:lineRule="auto"/>
        <w:ind w:firstLine="552"/>
        <w:jc w:val="both"/>
        <w:rPr>
          <w:rFonts w:hint="eastAsia" w:ascii="宋体" w:hAnsi="宋体" w:eastAsia="宋体" w:cs="宋体"/>
          <w:bCs/>
          <w:spacing w:val="-4"/>
          <w:kern w:val="0"/>
          <w:sz w:val="28"/>
          <w:szCs w:val="28"/>
          <w:lang w:eastAsia="zh-CN"/>
        </w:rPr>
      </w:pPr>
    </w:p>
    <w:p w14:paraId="6F4EB1E6">
      <w:pPr>
        <w:spacing w:line="267" w:lineRule="auto"/>
        <w:ind w:firstLine="552"/>
        <w:jc w:val="both"/>
        <w:rPr>
          <w:rFonts w:hint="eastAsia" w:ascii="宋体" w:hAnsi="宋体" w:eastAsia="宋体" w:cs="宋体"/>
          <w:bCs/>
          <w:spacing w:val="-4"/>
          <w:kern w:val="0"/>
          <w:sz w:val="28"/>
          <w:szCs w:val="28"/>
          <w:lang w:eastAsia="zh-CN"/>
        </w:rPr>
      </w:pPr>
    </w:p>
    <w:p w14:paraId="041DAC7E">
      <w:pPr>
        <w:spacing w:line="267" w:lineRule="auto"/>
        <w:ind w:firstLine="552"/>
        <w:jc w:val="both"/>
        <w:rPr>
          <w:rFonts w:hint="eastAsia" w:ascii="宋体" w:hAnsi="宋体" w:eastAsia="宋体" w:cs="宋体"/>
          <w:bCs/>
          <w:spacing w:val="-4"/>
          <w:kern w:val="0"/>
          <w:sz w:val="28"/>
          <w:szCs w:val="28"/>
          <w:lang w:eastAsia="zh-CN"/>
        </w:rPr>
      </w:pPr>
    </w:p>
    <w:p w14:paraId="1C0EEE54">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《花鼓戏制作专项资金》专项资金</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29812650">
      <w:pPr>
        <w:spacing w:line="223" w:lineRule="auto"/>
        <w:rPr>
          <w:sz w:val="24"/>
          <w:szCs w:val="24"/>
        </w:rPr>
        <w:sectPr>
          <w:footerReference r:id="rId9"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99AEEB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2D7603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党的十八大以来，以习近平同志为总书记的党中央高度重视戏曲艺术的传承发展，中央深改办已将“研究制定扶持地方戏曲发展政策"列入2015年的重点改革任务。2015年7月11日，国务院办公厅专门印发了《关于支持戏曲传承发展的若干政策，(国办发(2015)52号)，为戏曲传承发展 提供重要保障。这是我国继1951年发布《国务院关于戏曲改革工作的指示》以来，时隔60多年之后再一次就戏曲工作作出的总体部署和政策规定。2015年7月29日，在北京京西宾馆召开了全国戏曲工作座谈会，引起全社会的广泛关注。制定出台了《湖南省2015年-2020年舞台艺术创作生产规划》，成立了湖南省花鼓戏艺术研究会，召开全省戏曲工作座谈会，启动实施了包括地方戏曲振兴、精品剧日。创新、艺术人才索质提升等七大行动计划。</w:t>
      </w:r>
    </w:p>
    <w:p w14:paraId="087B15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eastAsia="zh-CN"/>
        </w:rPr>
      </w:pPr>
      <w:r>
        <w:rPr>
          <w:rFonts w:hint="eastAsia" w:eastAsia="仿宋_GB2312"/>
          <w:b/>
          <w:bCs/>
          <w:kern w:val="0"/>
          <w:sz w:val="32"/>
          <w:szCs w:val="32"/>
          <w:lang w:eastAsia="zh-CN"/>
        </w:rPr>
        <w:t>项目支出主要内容：</w:t>
      </w:r>
    </w:p>
    <w:p w14:paraId="37B6A8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仿宋" w:hAnsi="仿宋" w:eastAsia="仿宋" w:cs="仿宋"/>
          <w:kern w:val="0"/>
          <w:sz w:val="32"/>
          <w:szCs w:val="32"/>
          <w:lang w:val="en-US" w:eastAsia="en-US"/>
        </w:rPr>
        <w:t>项目资金全部用于202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val="en-US" w:eastAsia="en-US"/>
        </w:rPr>
        <w:t>年《花鼓戏制作专项资金</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lang w:val="en-US" w:eastAsia="en-US"/>
        </w:rPr>
        <w:t>项目相关的支出，经费主要支出为202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val="en-US" w:eastAsia="en-US"/>
        </w:rPr>
        <w:t>年编剧费、导演费</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lang w:val="en-US" w:eastAsia="en-US"/>
        </w:rPr>
        <w:t>作曲费</w:t>
      </w:r>
      <w:r>
        <w:rPr>
          <w:rFonts w:hint="eastAsia" w:ascii="仿宋" w:hAnsi="仿宋" w:eastAsia="仿宋" w:cs="仿宋"/>
          <w:kern w:val="0"/>
          <w:sz w:val="32"/>
          <w:szCs w:val="32"/>
          <w:lang w:val="en-US" w:eastAsia="zh-CN"/>
        </w:rPr>
        <w:t>、舞美设计费、</w:t>
      </w:r>
      <w:r>
        <w:rPr>
          <w:rFonts w:hint="eastAsia" w:ascii="仿宋" w:hAnsi="仿宋" w:eastAsia="仿宋" w:cs="仿宋"/>
          <w:kern w:val="0"/>
          <w:sz w:val="32"/>
          <w:szCs w:val="32"/>
          <w:lang w:val="en-US" w:eastAsia="en-US"/>
        </w:rPr>
        <w:t>劳务费、戏曲用品费、耗材费</w:t>
      </w:r>
      <w:r>
        <w:rPr>
          <w:rFonts w:hint="eastAsia" w:ascii="仿宋" w:hAnsi="仿宋" w:eastAsia="仿宋" w:cs="仿宋"/>
          <w:kern w:val="0"/>
          <w:sz w:val="32"/>
          <w:szCs w:val="32"/>
          <w:lang w:val="en-US" w:eastAsia="zh-CN"/>
        </w:rPr>
        <w:t>、车辆维护费、租赁费</w:t>
      </w:r>
      <w:r>
        <w:rPr>
          <w:rFonts w:hint="eastAsia" w:ascii="仿宋" w:hAnsi="仿宋" w:eastAsia="仿宋" w:cs="仿宋"/>
          <w:kern w:val="0"/>
          <w:sz w:val="32"/>
          <w:szCs w:val="32"/>
          <w:lang w:val="en-US" w:eastAsia="en-US"/>
        </w:rPr>
        <w:t>等</w:t>
      </w:r>
      <w:r>
        <w:rPr>
          <w:rFonts w:hint="eastAsia" w:ascii="仿宋" w:hAnsi="仿宋" w:eastAsia="仿宋" w:cs="仿宋"/>
          <w:kern w:val="0"/>
          <w:sz w:val="32"/>
          <w:szCs w:val="32"/>
          <w:lang w:val="en-US" w:eastAsia="zh-CN"/>
        </w:rPr>
        <w:t>费用共84.37万元</w:t>
      </w:r>
      <w:r>
        <w:rPr>
          <w:rFonts w:hint="eastAsia" w:ascii="仿宋" w:hAnsi="仿宋" w:eastAsia="仿宋" w:cs="仿宋"/>
          <w:kern w:val="0"/>
          <w:sz w:val="32"/>
          <w:szCs w:val="32"/>
          <w:lang w:val="en-US" w:eastAsia="en-US"/>
        </w:rPr>
        <w:t>，支出率100%。</w:t>
      </w:r>
    </w:p>
    <w:p w14:paraId="14CB36C4">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7FA56C1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为了规范项目资金使用，提高资金效益，根据《中华人民共和国预算法》、《公共文化服务资金使用办法》等，制定</w:t>
      </w:r>
      <w:r>
        <w:rPr>
          <w:rFonts w:hint="eastAsia" w:ascii="Arial" w:hAnsi="Arial" w:eastAsia="仿宋_GB2312" w:cs="Arial"/>
          <w:snapToGrid w:val="0"/>
          <w:color w:val="000000"/>
          <w:kern w:val="0"/>
          <w:sz w:val="32"/>
          <w:szCs w:val="32"/>
          <w:lang w:val="en-US" w:eastAsia="zh-CN" w:bidi="ar-SA"/>
        </w:rPr>
        <w:t>项目资金管理</w:t>
      </w:r>
      <w:r>
        <w:rPr>
          <w:rFonts w:hint="eastAsia" w:ascii="Arial" w:hAnsi="Arial" w:eastAsia="仿宋_GB2312" w:cs="Arial"/>
          <w:snapToGrid w:val="0"/>
          <w:color w:val="000000"/>
          <w:kern w:val="0"/>
          <w:sz w:val="32"/>
          <w:szCs w:val="32"/>
          <w:lang w:val="en-US" w:eastAsia="en-US" w:bidi="ar-SA"/>
        </w:rPr>
        <w:t>办法。</w:t>
      </w:r>
    </w:p>
    <w:p w14:paraId="1C0EC4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本项目资金指我</w:t>
      </w:r>
      <w:r>
        <w:rPr>
          <w:rFonts w:hint="eastAsia" w:ascii="Arial" w:hAnsi="Arial" w:eastAsia="仿宋_GB2312" w:cs="Arial"/>
          <w:snapToGrid w:val="0"/>
          <w:color w:val="000000"/>
          <w:kern w:val="0"/>
          <w:sz w:val="32"/>
          <w:szCs w:val="32"/>
          <w:lang w:val="en-US" w:eastAsia="zh-CN" w:bidi="ar-SA"/>
        </w:rPr>
        <w:t>中心</w:t>
      </w:r>
      <w:r>
        <w:rPr>
          <w:rFonts w:hint="eastAsia" w:ascii="Arial" w:hAnsi="Arial" w:eastAsia="仿宋_GB2312" w:cs="Arial"/>
          <w:snapToGrid w:val="0"/>
          <w:color w:val="000000"/>
          <w:kern w:val="0"/>
          <w:sz w:val="32"/>
          <w:szCs w:val="32"/>
          <w:lang w:val="en-US" w:eastAsia="en-US" w:bidi="ar-SA"/>
        </w:rPr>
        <w:t>的用于</w:t>
      </w:r>
      <w:r>
        <w:rPr>
          <w:rFonts w:hint="eastAsia" w:ascii="Arial" w:hAnsi="Arial" w:eastAsia="仿宋_GB2312" w:cs="Arial"/>
          <w:snapToGrid w:val="0"/>
          <w:color w:val="000000"/>
          <w:kern w:val="0"/>
          <w:sz w:val="32"/>
          <w:szCs w:val="32"/>
          <w:lang w:val="en-US" w:eastAsia="zh-CN" w:bidi="ar-SA"/>
        </w:rPr>
        <w:t>创排原创小戏</w:t>
      </w:r>
      <w:r>
        <w:rPr>
          <w:rFonts w:hint="eastAsia" w:ascii="仿宋" w:hAnsi="仿宋" w:eastAsia="仿宋" w:cs="仿宋"/>
          <w:kern w:val="0"/>
          <w:sz w:val="32"/>
          <w:szCs w:val="32"/>
          <w:lang w:val="en-US" w:eastAsia="en-US"/>
        </w:rPr>
        <w:t>《花鼓戏制作专项资金</w:t>
      </w:r>
      <w:r>
        <w:rPr>
          <w:rFonts w:hint="eastAsia" w:ascii="仿宋" w:hAnsi="仿宋" w:eastAsia="仿宋" w:cs="仿宋"/>
          <w:kern w:val="0"/>
          <w:sz w:val="32"/>
          <w:szCs w:val="32"/>
          <w:lang w:val="en-US" w:eastAsia="zh-CN"/>
        </w:rPr>
        <w:t>》</w:t>
      </w:r>
      <w:r>
        <w:rPr>
          <w:rFonts w:hint="eastAsia" w:ascii="Arial" w:hAnsi="Arial" w:eastAsia="仿宋_GB2312" w:cs="Arial"/>
          <w:snapToGrid w:val="0"/>
          <w:color w:val="000000"/>
          <w:kern w:val="0"/>
          <w:sz w:val="32"/>
          <w:szCs w:val="32"/>
          <w:lang w:val="en-US" w:eastAsia="zh-CN" w:bidi="ar-SA"/>
        </w:rPr>
        <w:t>专项资金</w:t>
      </w:r>
      <w:r>
        <w:rPr>
          <w:rFonts w:hint="eastAsia" w:ascii="Arial" w:hAnsi="Arial" w:eastAsia="仿宋_GB2312" w:cs="Arial"/>
          <w:snapToGrid w:val="0"/>
          <w:color w:val="000000"/>
          <w:kern w:val="0"/>
          <w:sz w:val="32"/>
          <w:szCs w:val="32"/>
          <w:lang w:val="en-US" w:eastAsia="en-US" w:bidi="ar-SA"/>
        </w:rPr>
        <w:t>。</w:t>
      </w:r>
    </w:p>
    <w:p w14:paraId="254EDB1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项目资金使用坚持“专款专用、程序合法、管理规范、注重绩效”的原则。</w:t>
      </w:r>
    </w:p>
    <w:p w14:paraId="578E2C7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专项资金的管理和使用应当严格执行国家有关法律法规、财务规章制度和本办法的规定，并接受本级纪检、财政、审计和上级文化旅游</w:t>
      </w:r>
      <w:r>
        <w:rPr>
          <w:rFonts w:hint="eastAsia" w:ascii="Arial" w:hAnsi="Arial" w:eastAsia="仿宋_GB2312" w:cs="Arial"/>
          <w:snapToGrid w:val="0"/>
          <w:color w:val="000000"/>
          <w:kern w:val="0"/>
          <w:sz w:val="32"/>
          <w:szCs w:val="32"/>
          <w:lang w:val="en-US" w:eastAsia="zh-CN" w:bidi="ar-SA"/>
        </w:rPr>
        <w:t>广电</w:t>
      </w:r>
      <w:r>
        <w:rPr>
          <w:rFonts w:hint="eastAsia" w:ascii="Arial" w:hAnsi="Arial" w:eastAsia="仿宋_GB2312" w:cs="Arial"/>
          <w:snapToGrid w:val="0"/>
          <w:color w:val="000000"/>
          <w:kern w:val="0"/>
          <w:sz w:val="32"/>
          <w:szCs w:val="32"/>
          <w:lang w:val="en-US" w:eastAsia="en-US" w:bidi="ar-SA"/>
        </w:rPr>
        <w:t>主管部门的监督检查。</w:t>
      </w:r>
    </w:p>
    <w:p w14:paraId="47553A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ascii="Arial" w:hAnsi="Arial" w:eastAsia="仿宋_GB2312" w:cs="Arial"/>
          <w:snapToGrid w:val="0"/>
          <w:color w:val="000000"/>
          <w:kern w:val="0"/>
          <w:sz w:val="32"/>
          <w:szCs w:val="32"/>
          <w:lang w:val="en-US" w:eastAsia="en-US" w:bidi="ar-SA"/>
        </w:rPr>
        <w:t>项目资金的使用必须纳入单位“三重一大”议事内容。相关讨论研究会议要邀请纪检组和局分管线领导参加集体审议。项目资金拨付由</w:t>
      </w:r>
      <w:r>
        <w:rPr>
          <w:rFonts w:hint="eastAsia" w:eastAsia="仿宋_GB2312" w:cs="Arial"/>
          <w:snapToGrid w:val="0"/>
          <w:color w:val="000000"/>
          <w:kern w:val="0"/>
          <w:sz w:val="32"/>
          <w:szCs w:val="32"/>
          <w:lang w:val="en-US" w:eastAsia="zh-CN" w:bidi="ar-SA"/>
        </w:rPr>
        <w:t>我中心</w:t>
      </w:r>
      <w:r>
        <w:rPr>
          <w:rFonts w:hint="eastAsia" w:ascii="Arial" w:hAnsi="Arial" w:eastAsia="仿宋_GB2312" w:cs="Arial"/>
          <w:snapToGrid w:val="0"/>
          <w:color w:val="000000"/>
          <w:kern w:val="0"/>
          <w:sz w:val="32"/>
          <w:szCs w:val="32"/>
          <w:lang w:val="en-US" w:eastAsia="en-US" w:bidi="ar-SA"/>
        </w:rPr>
        <w:t>会同财政局联合审批。</w:t>
      </w:r>
    </w:p>
    <w:p w14:paraId="23761F5F">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11816CA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总目标：为贯彻落实国务院办公厅《关于支持戏曲传承发展若干政策》的精神和省相关部分要求，进一步推动我市文化强市，擦亮汨罗文化品牌、持续推进公共文化服务体系建设、进一步打造汨罗花鼓戏振兴工程。</w:t>
      </w:r>
    </w:p>
    <w:p w14:paraId="2161B0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实际完成情况：充分发挥湖南花鼓戏的独特魅力，紧紧围绕市委、市政府推进“文化强市”战略方针，擦亮“花鼓戏艺术节”文化名片，加快构建公共文化服务体系，活跃群众文化生活。</w:t>
      </w:r>
    </w:p>
    <w:p w14:paraId="17F40F9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Times New Roman" w:hAnsi="Times New Roman" w:eastAsia="仿宋_GB2312" w:cs="仿宋_GB2312"/>
          <w:color w:val="000000"/>
          <w:sz w:val="32"/>
          <w:szCs w:val="32"/>
          <w:lang w:val="en-US" w:eastAsia="zh-CN"/>
        </w:rPr>
        <w:t>2024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p>
    <w:p w14:paraId="6732EB4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8DFEFE7">
      <w:pPr>
        <w:spacing w:line="600" w:lineRule="exact"/>
        <w:ind w:firstLine="640" w:firstLineChars="200"/>
        <w:jc w:val="both"/>
        <w:rPr>
          <w:rFonts w:ascii="黑体" w:hAnsi="黑体" w:eastAsia="黑体" w:cs="黑体"/>
          <w:b/>
          <w:bCs/>
          <w:spacing w:val="-15"/>
          <w:sz w:val="31"/>
          <w:szCs w:val="31"/>
        </w:rPr>
      </w:pPr>
      <w:r>
        <w:rPr>
          <w:rFonts w:hint="eastAsia" w:ascii="Times New Roman" w:hAnsi="Times New Roman" w:eastAsia="仿宋_GB2312" w:cs="仿宋_GB2312"/>
          <w:color w:val="000000"/>
          <w:sz w:val="32"/>
          <w:szCs w:val="32"/>
          <w:lang w:val="en-US" w:eastAsia="zh-CN"/>
        </w:rPr>
        <w:t>按照项目绩效目标相关信息，我单位组织相关人员，对项目资金投入情况、绩效目标完成情况、偏离绩效目标的原因和下一步改进措施进行了分析。</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9E16C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创排</w:t>
      </w:r>
      <w:r>
        <w:rPr>
          <w:rFonts w:hint="eastAsia" w:ascii="仿宋" w:hAnsi="仿宋" w:eastAsia="仿宋" w:cs="仿宋"/>
          <w:kern w:val="0"/>
          <w:sz w:val="32"/>
          <w:szCs w:val="32"/>
          <w:lang w:val="en-US" w:eastAsia="en-US"/>
        </w:rPr>
        <w:t>《花鼓戏制作专项资金</w:t>
      </w:r>
      <w:r>
        <w:rPr>
          <w:rFonts w:hint="eastAsia" w:ascii="仿宋" w:hAnsi="仿宋" w:eastAsia="仿宋" w:cs="仿宋"/>
          <w:kern w:val="0"/>
          <w:sz w:val="32"/>
          <w:szCs w:val="32"/>
          <w:lang w:val="en-US" w:eastAsia="zh-CN"/>
        </w:rPr>
        <w:t>》</w:t>
      </w:r>
      <w:r>
        <w:rPr>
          <w:rFonts w:hint="eastAsia" w:ascii="仿宋" w:hAnsi="仿宋" w:eastAsia="仿宋" w:cs="仿宋"/>
          <w:sz w:val="32"/>
          <w:szCs w:val="32"/>
          <w:lang w:val="en-US" w:eastAsia="zh-CN"/>
        </w:rPr>
        <w:t>，演出集思想性、艺术性、观赏性为一体，表现形式新颖，具有一定的创新性。受益群众</w:t>
      </w:r>
      <w:r>
        <w:rPr>
          <w:rFonts w:hint="eastAsia" w:ascii="仿宋" w:hAnsi="仿宋" w:eastAsia="仿宋" w:cs="仿宋"/>
          <w:sz w:val="32"/>
          <w:szCs w:val="32"/>
          <w:lang w:eastAsia="zh-CN"/>
        </w:rPr>
        <w:t>观看后，得到了</w:t>
      </w:r>
      <w:r>
        <w:rPr>
          <w:rFonts w:hint="eastAsia" w:ascii="仿宋" w:hAnsi="仿宋" w:eastAsia="仿宋" w:cs="仿宋"/>
          <w:sz w:val="32"/>
          <w:szCs w:val="32"/>
          <w:lang w:val="en-US" w:eastAsia="zh-CN"/>
        </w:rPr>
        <w:t>受益群众的一致好评</w:t>
      </w:r>
      <w:r>
        <w:rPr>
          <w:rFonts w:hint="eastAsia" w:ascii="仿宋" w:hAnsi="仿宋" w:eastAsia="仿宋" w:cs="仿宋"/>
          <w:sz w:val="32"/>
          <w:szCs w:val="32"/>
          <w:lang w:eastAsia="zh-CN"/>
        </w:rPr>
        <w:t>。</w:t>
      </w:r>
    </w:p>
    <w:p w14:paraId="48956C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Times New Roman" w:hAnsi="Times New Roman" w:eastAsia="仿宋_GB2312" w:cs="仿宋_GB2312"/>
          <w:color w:val="000000"/>
          <w:sz w:val="32"/>
          <w:szCs w:val="32"/>
          <w:lang w:val="en-US" w:eastAsia="zh-CN"/>
        </w:rPr>
        <w:t>对照项目绩效目标申报表的内容，本年度我单位</w:t>
      </w:r>
      <w:r>
        <w:rPr>
          <w:rFonts w:hint="eastAsia" w:ascii="仿宋" w:hAnsi="仿宋" w:eastAsia="仿宋" w:cs="仿宋"/>
          <w:sz w:val="32"/>
          <w:szCs w:val="32"/>
          <w:lang w:val="en-US" w:eastAsia="zh-CN"/>
        </w:rPr>
        <w:t>原创小戏</w:t>
      </w:r>
      <w:r>
        <w:rPr>
          <w:rFonts w:hint="eastAsia" w:ascii="仿宋" w:hAnsi="仿宋" w:eastAsia="仿宋" w:cs="仿宋"/>
          <w:kern w:val="0"/>
          <w:sz w:val="32"/>
          <w:szCs w:val="32"/>
          <w:lang w:val="en-US" w:eastAsia="en-US"/>
        </w:rPr>
        <w:t>《</w:t>
      </w:r>
      <w:r>
        <w:rPr>
          <w:rFonts w:hint="eastAsia" w:ascii="仿宋" w:hAnsi="仿宋" w:eastAsia="仿宋" w:cs="仿宋"/>
          <w:kern w:val="0"/>
          <w:sz w:val="32"/>
          <w:szCs w:val="32"/>
          <w:lang w:val="en-US" w:eastAsia="zh-CN"/>
        </w:rPr>
        <w:t>明灯》</w:t>
      </w:r>
      <w:r>
        <w:rPr>
          <w:rFonts w:hint="eastAsia" w:ascii="Times New Roman" w:hAnsi="Times New Roman" w:eastAsia="仿宋_GB2312" w:cs="仿宋_GB2312"/>
          <w:color w:val="000000"/>
          <w:sz w:val="32"/>
          <w:szCs w:val="32"/>
          <w:lang w:val="en-US" w:eastAsia="zh-CN"/>
        </w:rPr>
        <w:t>项目目标绩效完成情况良好。</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60D73EA">
      <w:pPr>
        <w:spacing w:line="600" w:lineRule="exact"/>
        <w:ind w:firstLine="640" w:firstLineChars="200"/>
        <w:jc w:val="both"/>
        <w:rPr>
          <w:rFonts w:hint="eastAsia"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服务对象满意度指标达到以下目标：经口头询问采访，活动展演展示现场观众满意度100%。</w:t>
      </w:r>
    </w:p>
    <w:p w14:paraId="1E93AEB5">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1E1C1A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经济成本指标达到以下目标：厉行节约降低成本，控制在预算内。</w:t>
      </w:r>
    </w:p>
    <w:p w14:paraId="2FDADA7A">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0DB33FF7">
      <w:pPr>
        <w:spacing w:line="600" w:lineRule="exact"/>
        <w:ind w:firstLine="640" w:firstLineChars="200"/>
        <w:jc w:val="both"/>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1、数量指标达到以下目标：按时按量完成创排7台剧目。</w:t>
      </w:r>
    </w:p>
    <w:p w14:paraId="461A1EF3">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2、质量指标达到以下目标：演出节目集思想性、艺术性、观赏性为一体，表现形式新颖，具有一定的创新性。</w:t>
      </w:r>
    </w:p>
    <w:p w14:paraId="7C2DC167">
      <w:pPr>
        <w:spacing w:line="600" w:lineRule="exact"/>
        <w:ind w:firstLine="640" w:firstLineChars="200"/>
        <w:jc w:val="both"/>
        <w:rPr>
          <w:rFonts w:hint="eastAsia"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3、时效指标达到以下目标：按上级文化主管部门规定进行2023年年底全面完成目标任务。</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25E086D4">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1、经济效益指标达到以下目标：按照经济发展规律推动文旅发展。</w:t>
      </w:r>
    </w:p>
    <w:p w14:paraId="415F70D3">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2、社会效益指标达到以下目标：提供人民群众精神食粮，弘扬社会主义主流价值观，传播社会正能量，具有良好的思想性和教育意义。</w:t>
      </w:r>
    </w:p>
    <w:p w14:paraId="70687B77">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3、生态效益指标达到以下目标：满足人民群众对美好生活的需求。</w:t>
      </w:r>
    </w:p>
    <w:p w14:paraId="116FAF5F">
      <w:pPr>
        <w:spacing w:line="600" w:lineRule="exact"/>
        <w:ind w:firstLine="640" w:firstLineChars="200"/>
        <w:jc w:val="both"/>
        <w:rPr>
          <w:rFonts w:hint="eastAsia"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4、可持续影响指标达到以下目标：通过艺术展演提高市民文化素养。</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p>
    <w:p w14:paraId="58DE129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63718F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仿宋" w:hAnsi="仿宋" w:eastAsia="仿宋" w:cs="仿宋"/>
          <w:b w:val="0"/>
          <w:bCs w:val="0"/>
          <w:spacing w:val="-15"/>
          <w:sz w:val="31"/>
          <w:szCs w:val="31"/>
          <w:lang w:val="en-US" w:eastAsia="zh-CN"/>
        </w:rPr>
      </w:pPr>
      <w:r>
        <w:rPr>
          <w:rFonts w:hint="eastAsia" w:ascii="仿宋" w:hAnsi="仿宋" w:eastAsia="仿宋" w:cs="仿宋"/>
          <w:b w:val="0"/>
          <w:bCs w:val="0"/>
          <w:spacing w:val="-15"/>
          <w:sz w:val="31"/>
          <w:szCs w:val="31"/>
          <w:lang w:val="en-US" w:eastAsia="zh-CN"/>
        </w:rPr>
        <w:t>无</w:t>
      </w:r>
    </w:p>
    <w:p w14:paraId="6BBCD639">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50CCA8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仿宋" w:hAnsi="仿宋" w:eastAsia="仿宋" w:cs="仿宋"/>
          <w:b w:val="0"/>
          <w:bCs w:val="0"/>
          <w:spacing w:val="-15"/>
          <w:sz w:val="31"/>
          <w:szCs w:val="31"/>
          <w:lang w:val="en-US" w:eastAsia="zh-CN"/>
        </w:rPr>
      </w:pPr>
      <w:r>
        <w:rPr>
          <w:rFonts w:hint="eastAsia" w:ascii="仿宋" w:hAnsi="仿宋" w:eastAsia="仿宋" w:cs="仿宋"/>
          <w:b w:val="0"/>
          <w:bCs w:val="0"/>
          <w:spacing w:val="-15"/>
          <w:sz w:val="31"/>
          <w:szCs w:val="31"/>
          <w:lang w:val="en-US" w:eastAsia="zh-CN"/>
        </w:rPr>
        <w:t>无</w:t>
      </w:r>
    </w:p>
    <w:p w14:paraId="1AE58669">
      <w:pPr>
        <w:spacing w:line="267" w:lineRule="auto"/>
        <w:jc w:val="both"/>
        <w:rPr>
          <w:rFonts w:hint="eastAsia" w:ascii="宋体" w:hAnsi="宋体" w:eastAsia="宋体" w:cs="宋体"/>
          <w:bCs/>
          <w:spacing w:val="-4"/>
          <w:kern w:val="0"/>
          <w:sz w:val="28"/>
          <w:szCs w:val="28"/>
          <w:lang w:eastAsia="zh-CN"/>
        </w:rPr>
      </w:pPr>
    </w:p>
    <w:p w14:paraId="3D0CF1D3">
      <w:pPr>
        <w:spacing w:line="267" w:lineRule="auto"/>
        <w:jc w:val="both"/>
        <w:rPr>
          <w:rFonts w:hint="eastAsia" w:ascii="宋体" w:hAnsi="宋体" w:eastAsia="宋体" w:cs="宋体"/>
          <w:bCs/>
          <w:spacing w:val="-4"/>
          <w:kern w:val="0"/>
          <w:sz w:val="28"/>
          <w:szCs w:val="28"/>
          <w:lang w:eastAsia="zh-CN"/>
        </w:rPr>
      </w:pPr>
      <w:bookmarkStart w:id="0" w:name="_GoBack"/>
      <w:bookmarkEnd w:id="0"/>
    </w:p>
    <w:p w14:paraId="67E155DB">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6E9316D">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《周末惠民梨园剧场》专项资金</w:t>
      </w:r>
      <w:r>
        <w:rPr>
          <w:rFonts w:ascii="黑体" w:hAnsi="黑体" w:eastAsia="黑体" w:cs="黑体"/>
          <w:spacing w:val="15"/>
          <w:position w:val="10"/>
          <w:sz w:val="42"/>
          <w:szCs w:val="42"/>
        </w:rPr>
        <w:t>项目支出</w:t>
      </w:r>
    </w:p>
    <w:p w14:paraId="059A9FBF">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64761D62">
      <w:pPr>
        <w:spacing w:line="246" w:lineRule="auto"/>
        <w:rPr>
          <w:rFonts w:ascii="Arial"/>
          <w:sz w:val="21"/>
        </w:rPr>
      </w:pPr>
    </w:p>
    <w:p w14:paraId="5DBAC1C4">
      <w:pPr>
        <w:spacing w:line="246" w:lineRule="auto"/>
        <w:rPr>
          <w:rFonts w:ascii="Arial"/>
          <w:sz w:val="21"/>
        </w:rPr>
      </w:pPr>
    </w:p>
    <w:p w14:paraId="52BC8F06">
      <w:pPr>
        <w:spacing w:line="246" w:lineRule="auto"/>
        <w:rPr>
          <w:rFonts w:ascii="Arial"/>
          <w:sz w:val="21"/>
        </w:rPr>
      </w:pPr>
    </w:p>
    <w:p w14:paraId="4E68844B">
      <w:pPr>
        <w:spacing w:line="246" w:lineRule="auto"/>
        <w:rPr>
          <w:rFonts w:ascii="Arial"/>
          <w:sz w:val="21"/>
        </w:rPr>
      </w:pPr>
    </w:p>
    <w:p w14:paraId="47459038">
      <w:pPr>
        <w:spacing w:line="246" w:lineRule="auto"/>
        <w:rPr>
          <w:rFonts w:ascii="Arial"/>
          <w:sz w:val="21"/>
        </w:rPr>
      </w:pPr>
    </w:p>
    <w:p w14:paraId="2D54EDE7">
      <w:pPr>
        <w:spacing w:line="246" w:lineRule="auto"/>
        <w:rPr>
          <w:rFonts w:ascii="Arial"/>
          <w:sz w:val="21"/>
        </w:rPr>
      </w:pPr>
    </w:p>
    <w:p w14:paraId="782FAAE8">
      <w:pPr>
        <w:spacing w:line="246" w:lineRule="auto"/>
        <w:rPr>
          <w:rFonts w:ascii="Arial"/>
          <w:sz w:val="21"/>
        </w:rPr>
      </w:pPr>
    </w:p>
    <w:p w14:paraId="3715F3D9">
      <w:pPr>
        <w:spacing w:line="246" w:lineRule="auto"/>
        <w:rPr>
          <w:rFonts w:ascii="Arial"/>
          <w:sz w:val="21"/>
        </w:rPr>
      </w:pPr>
    </w:p>
    <w:p w14:paraId="40312D8C">
      <w:pPr>
        <w:spacing w:line="246" w:lineRule="auto"/>
        <w:rPr>
          <w:rFonts w:ascii="Arial"/>
          <w:sz w:val="21"/>
        </w:rPr>
      </w:pPr>
    </w:p>
    <w:p w14:paraId="0FEA20F1">
      <w:pPr>
        <w:spacing w:line="246" w:lineRule="auto"/>
        <w:rPr>
          <w:rFonts w:ascii="Arial"/>
          <w:sz w:val="21"/>
        </w:rPr>
      </w:pPr>
    </w:p>
    <w:p w14:paraId="3894DFD8">
      <w:pPr>
        <w:spacing w:line="246" w:lineRule="auto"/>
        <w:rPr>
          <w:rFonts w:ascii="Arial"/>
          <w:sz w:val="21"/>
        </w:rPr>
      </w:pPr>
    </w:p>
    <w:p w14:paraId="22511F89">
      <w:pPr>
        <w:spacing w:line="246" w:lineRule="auto"/>
        <w:rPr>
          <w:rFonts w:ascii="Arial"/>
          <w:sz w:val="21"/>
        </w:rPr>
      </w:pPr>
    </w:p>
    <w:p w14:paraId="0EB00427">
      <w:pPr>
        <w:spacing w:line="246" w:lineRule="auto"/>
        <w:rPr>
          <w:rFonts w:ascii="Arial"/>
          <w:sz w:val="21"/>
        </w:rPr>
      </w:pPr>
    </w:p>
    <w:p w14:paraId="7560D89D">
      <w:pPr>
        <w:spacing w:line="246" w:lineRule="auto"/>
        <w:rPr>
          <w:rFonts w:ascii="Arial"/>
          <w:sz w:val="21"/>
        </w:rPr>
      </w:pPr>
    </w:p>
    <w:p w14:paraId="04CA37C6">
      <w:pPr>
        <w:spacing w:line="246" w:lineRule="auto"/>
        <w:rPr>
          <w:rFonts w:ascii="Arial"/>
          <w:sz w:val="21"/>
        </w:rPr>
      </w:pPr>
    </w:p>
    <w:p w14:paraId="0C3CBECA">
      <w:pPr>
        <w:spacing w:line="246" w:lineRule="auto"/>
        <w:rPr>
          <w:rFonts w:ascii="Arial"/>
          <w:sz w:val="21"/>
        </w:rPr>
      </w:pPr>
    </w:p>
    <w:p w14:paraId="7C34DE6A">
      <w:pPr>
        <w:spacing w:line="246" w:lineRule="auto"/>
        <w:rPr>
          <w:rFonts w:ascii="Arial"/>
          <w:sz w:val="21"/>
        </w:rPr>
      </w:pPr>
    </w:p>
    <w:p w14:paraId="69723B3B">
      <w:pPr>
        <w:spacing w:line="247" w:lineRule="auto"/>
        <w:rPr>
          <w:rFonts w:ascii="Arial"/>
          <w:sz w:val="21"/>
        </w:rPr>
      </w:pPr>
    </w:p>
    <w:p w14:paraId="2E3779EF">
      <w:pPr>
        <w:spacing w:line="247" w:lineRule="auto"/>
        <w:rPr>
          <w:rFonts w:ascii="Arial"/>
          <w:sz w:val="21"/>
        </w:rPr>
      </w:pPr>
    </w:p>
    <w:p w14:paraId="6968273B">
      <w:pPr>
        <w:spacing w:line="247" w:lineRule="auto"/>
        <w:rPr>
          <w:rFonts w:ascii="Arial"/>
          <w:sz w:val="21"/>
        </w:rPr>
      </w:pPr>
    </w:p>
    <w:p w14:paraId="72B61A45">
      <w:pPr>
        <w:spacing w:line="247" w:lineRule="auto"/>
        <w:rPr>
          <w:rFonts w:ascii="Arial"/>
          <w:sz w:val="21"/>
        </w:rPr>
      </w:pPr>
    </w:p>
    <w:p w14:paraId="42CAB3AE">
      <w:pPr>
        <w:spacing w:line="247" w:lineRule="auto"/>
        <w:rPr>
          <w:rFonts w:ascii="Arial"/>
          <w:sz w:val="21"/>
        </w:rPr>
      </w:pPr>
    </w:p>
    <w:p w14:paraId="74172898">
      <w:pPr>
        <w:spacing w:line="247" w:lineRule="auto"/>
        <w:rPr>
          <w:rFonts w:ascii="Arial"/>
          <w:sz w:val="21"/>
        </w:rPr>
      </w:pPr>
    </w:p>
    <w:p w14:paraId="03844ED9">
      <w:pPr>
        <w:spacing w:line="247" w:lineRule="auto"/>
        <w:rPr>
          <w:rFonts w:ascii="Arial"/>
          <w:sz w:val="21"/>
        </w:rPr>
      </w:pPr>
    </w:p>
    <w:p w14:paraId="29658560">
      <w:pPr>
        <w:spacing w:line="247" w:lineRule="auto"/>
        <w:rPr>
          <w:rFonts w:ascii="Arial"/>
          <w:sz w:val="21"/>
        </w:rPr>
      </w:pPr>
    </w:p>
    <w:p w14:paraId="7B186AF5">
      <w:pPr>
        <w:spacing w:line="247" w:lineRule="auto"/>
        <w:rPr>
          <w:rFonts w:ascii="Arial"/>
          <w:sz w:val="21"/>
        </w:rPr>
      </w:pPr>
    </w:p>
    <w:p w14:paraId="5C5241CD">
      <w:pPr>
        <w:spacing w:line="247" w:lineRule="auto"/>
        <w:rPr>
          <w:rFonts w:ascii="Arial"/>
          <w:sz w:val="21"/>
        </w:rPr>
      </w:pPr>
    </w:p>
    <w:p w14:paraId="78E2BE8F">
      <w:pPr>
        <w:spacing w:line="247" w:lineRule="auto"/>
        <w:rPr>
          <w:rFonts w:ascii="Arial"/>
          <w:sz w:val="21"/>
        </w:rPr>
      </w:pPr>
    </w:p>
    <w:p w14:paraId="451D43E4">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4B8F5360">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64F7D281">
      <w:pPr>
        <w:pStyle w:val="2"/>
        <w:spacing w:before="1" w:line="223" w:lineRule="auto"/>
        <w:ind w:left="3560"/>
        <w:rPr>
          <w:sz w:val="24"/>
          <w:szCs w:val="24"/>
        </w:rPr>
      </w:pPr>
      <w:r>
        <w:rPr>
          <w:spacing w:val="7"/>
          <w:sz w:val="24"/>
          <w:szCs w:val="24"/>
        </w:rPr>
        <w:t>(此面为封面)</w:t>
      </w:r>
    </w:p>
    <w:p w14:paraId="2298347A">
      <w:pPr>
        <w:spacing w:line="223" w:lineRule="auto"/>
        <w:rPr>
          <w:sz w:val="24"/>
          <w:szCs w:val="24"/>
        </w:rPr>
        <w:sectPr>
          <w:footerReference r:id="rId10" w:type="default"/>
          <w:pgSz w:w="11900" w:h="16820"/>
          <w:pgMar w:top="1429" w:right="1782" w:bottom="1158" w:left="1450" w:header="0" w:footer="850" w:gutter="0"/>
          <w:cols w:space="720" w:num="1"/>
        </w:sectPr>
      </w:pPr>
    </w:p>
    <w:p w14:paraId="614E5431">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B78DD00">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18B125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6B34711">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48E382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eastAsia="zh-CN"/>
        </w:rPr>
        <w:t>党的十八大以来，以习近平同志为总书记的党中央高度重视戏曲艺术的传承发展，中央深改办已将“研究制定扶持地方戏曲发展政策"列入2015年的重点改革任务。2015年7月11日，国务院办公厅专门印发了《关于支持戏曲传承发展的若干政策，(国办发(2015)52号)，为戏曲传承发展 提供重要保障。这是我国继1951年发布《国务院关于戏曲改革工作的指示》以来，时隔60多年之后再一次就戏曲工作作出的总体部署和政策规定。2015年7月29日，在北京京西宾馆召开了全国戏曲工作座谈会，引起全社会的广泛关注。制定出台了《湖南省2015年-2020年舞台艺术创作生产规划》，成立了湖南省花鼓戏艺术研究会，召开全省戏曲工作座谈会，启动实施了包括地方戏曲振兴、精品剧日。创新、艺术人才索质提升等七大行动计划。</w:t>
      </w:r>
      <w:r>
        <w:rPr>
          <w:rFonts w:hint="eastAsia" w:eastAsia="仿宋_GB2312"/>
          <w:kern w:val="0"/>
          <w:sz w:val="32"/>
          <w:szCs w:val="32"/>
          <w:lang w:val="en-US" w:eastAsia="zh-CN"/>
        </w:rPr>
        <w:t>2023年我中心在原有的基础上，继续进行升级，添置灯光、音响等必备演艺设备，将其打造成“周末惠民梨园剧场”，为让广大“票友”在家门口就能享受花鼓戏艺术熏陶，感受文化带来的获得感，加强对演艺厅提升改造，提高剧团的文化价值和可持续性发展，开展文化活动推动文化传承。</w:t>
      </w:r>
    </w:p>
    <w:p w14:paraId="62A294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eastAsia="zh-CN"/>
        </w:rPr>
      </w:pPr>
      <w:r>
        <w:rPr>
          <w:rFonts w:hint="eastAsia" w:eastAsia="仿宋_GB2312"/>
          <w:b/>
          <w:bCs/>
          <w:kern w:val="0"/>
          <w:sz w:val="32"/>
          <w:szCs w:val="32"/>
          <w:lang w:eastAsia="zh-CN"/>
        </w:rPr>
        <w:t>项目支出主要内容：</w:t>
      </w:r>
    </w:p>
    <w:p w14:paraId="6A5929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ascii="仿宋" w:hAnsi="仿宋" w:eastAsia="仿宋" w:cs="仿宋"/>
          <w:kern w:val="0"/>
          <w:sz w:val="32"/>
          <w:szCs w:val="32"/>
          <w:lang w:val="en-US" w:eastAsia="en-US"/>
        </w:rPr>
        <w:t>项目资金全部用于202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val="en-US" w:eastAsia="en-US"/>
        </w:rPr>
        <w:t>年《周末惠民梨园剧场</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lang w:val="en-US" w:eastAsia="en-US"/>
        </w:rPr>
        <w:t>项目相关的支出，经费主要支出为</w:t>
      </w:r>
      <w:r>
        <w:rPr>
          <w:rFonts w:hint="eastAsia" w:ascii="仿宋" w:hAnsi="仿宋" w:eastAsia="仿宋" w:cs="仿宋"/>
          <w:kern w:val="0"/>
          <w:sz w:val="32"/>
          <w:szCs w:val="32"/>
          <w:lang w:val="en-US" w:eastAsia="zh-CN"/>
        </w:rPr>
        <w:t>周末梨园剧场音箱、灯光配置</w:t>
      </w:r>
      <w:r>
        <w:rPr>
          <w:rFonts w:hint="eastAsia" w:ascii="仿宋" w:hAnsi="仿宋" w:eastAsia="仿宋" w:cs="仿宋"/>
          <w:kern w:val="0"/>
          <w:sz w:val="32"/>
          <w:szCs w:val="32"/>
          <w:lang w:val="en-US" w:eastAsia="en-US"/>
        </w:rPr>
        <w:t>等</w:t>
      </w:r>
      <w:r>
        <w:rPr>
          <w:rFonts w:hint="eastAsia" w:ascii="仿宋" w:hAnsi="仿宋" w:eastAsia="仿宋" w:cs="仿宋"/>
          <w:kern w:val="0"/>
          <w:sz w:val="32"/>
          <w:szCs w:val="32"/>
          <w:lang w:val="en-US" w:eastAsia="zh-CN"/>
        </w:rPr>
        <w:t>费用共50万元</w:t>
      </w:r>
      <w:r>
        <w:rPr>
          <w:rFonts w:hint="eastAsia" w:ascii="仿宋" w:hAnsi="仿宋" w:eastAsia="仿宋" w:cs="仿宋"/>
          <w:kern w:val="0"/>
          <w:sz w:val="32"/>
          <w:szCs w:val="32"/>
          <w:lang w:val="en-US" w:eastAsia="en-US"/>
        </w:rPr>
        <w:t>，支出率100%。</w:t>
      </w:r>
    </w:p>
    <w:p w14:paraId="4873E61F">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48FE87F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为了规范项目资金使用，提高资金效益，根据《中华人民共和国预算法》、《公共文化服务资金使用办法》等，制定</w:t>
      </w:r>
      <w:r>
        <w:rPr>
          <w:rFonts w:hint="eastAsia" w:ascii="Arial" w:hAnsi="Arial" w:eastAsia="仿宋_GB2312" w:cs="Arial"/>
          <w:snapToGrid w:val="0"/>
          <w:color w:val="000000"/>
          <w:kern w:val="0"/>
          <w:sz w:val="32"/>
          <w:szCs w:val="32"/>
          <w:lang w:val="en-US" w:eastAsia="zh-CN" w:bidi="ar-SA"/>
        </w:rPr>
        <w:t>项目资金管理</w:t>
      </w:r>
      <w:r>
        <w:rPr>
          <w:rFonts w:hint="eastAsia" w:ascii="Arial" w:hAnsi="Arial" w:eastAsia="仿宋_GB2312" w:cs="Arial"/>
          <w:snapToGrid w:val="0"/>
          <w:color w:val="000000"/>
          <w:kern w:val="0"/>
          <w:sz w:val="32"/>
          <w:szCs w:val="32"/>
          <w:lang w:val="en-US" w:eastAsia="en-US" w:bidi="ar-SA"/>
        </w:rPr>
        <w:t>办法。</w:t>
      </w:r>
    </w:p>
    <w:p w14:paraId="4DF1DE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本项目资金指我</w:t>
      </w:r>
      <w:r>
        <w:rPr>
          <w:rFonts w:hint="eastAsia" w:ascii="Arial" w:hAnsi="Arial" w:eastAsia="仿宋_GB2312" w:cs="Arial"/>
          <w:snapToGrid w:val="0"/>
          <w:color w:val="000000"/>
          <w:kern w:val="0"/>
          <w:sz w:val="32"/>
          <w:szCs w:val="32"/>
          <w:lang w:val="en-US" w:eastAsia="zh-CN" w:bidi="ar-SA"/>
        </w:rPr>
        <w:t>中心</w:t>
      </w:r>
      <w:r>
        <w:rPr>
          <w:rFonts w:hint="eastAsia" w:ascii="Arial" w:hAnsi="Arial" w:eastAsia="仿宋_GB2312" w:cs="Arial"/>
          <w:snapToGrid w:val="0"/>
          <w:color w:val="000000"/>
          <w:kern w:val="0"/>
          <w:sz w:val="32"/>
          <w:szCs w:val="32"/>
          <w:lang w:val="en-US" w:eastAsia="en-US" w:bidi="ar-SA"/>
        </w:rPr>
        <w:t>的用于</w:t>
      </w:r>
      <w:r>
        <w:rPr>
          <w:rFonts w:hint="eastAsia" w:ascii="Arial" w:hAnsi="Arial" w:eastAsia="仿宋_GB2312" w:cs="Arial"/>
          <w:snapToGrid w:val="0"/>
          <w:color w:val="000000"/>
          <w:kern w:val="0"/>
          <w:sz w:val="32"/>
          <w:szCs w:val="32"/>
          <w:lang w:val="en-US" w:eastAsia="zh-CN" w:bidi="ar-SA"/>
        </w:rPr>
        <w:t>《</w:t>
      </w:r>
      <w:r>
        <w:rPr>
          <w:rFonts w:hint="eastAsia" w:ascii="仿宋" w:hAnsi="仿宋" w:eastAsia="仿宋" w:cs="仿宋"/>
          <w:kern w:val="0"/>
          <w:sz w:val="32"/>
          <w:szCs w:val="32"/>
          <w:lang w:val="en-US" w:eastAsia="en-US"/>
        </w:rPr>
        <w:t>周末惠民梨园剧场</w:t>
      </w:r>
      <w:r>
        <w:rPr>
          <w:rFonts w:hint="eastAsia" w:ascii="仿宋" w:hAnsi="仿宋" w:eastAsia="仿宋" w:cs="仿宋"/>
          <w:kern w:val="0"/>
          <w:sz w:val="32"/>
          <w:szCs w:val="32"/>
          <w:lang w:val="en-US" w:eastAsia="zh-CN"/>
        </w:rPr>
        <w:t>》</w:t>
      </w:r>
      <w:r>
        <w:rPr>
          <w:rFonts w:hint="eastAsia" w:ascii="Arial" w:hAnsi="Arial" w:eastAsia="仿宋_GB2312" w:cs="Arial"/>
          <w:snapToGrid w:val="0"/>
          <w:color w:val="000000"/>
          <w:kern w:val="0"/>
          <w:sz w:val="32"/>
          <w:szCs w:val="32"/>
          <w:lang w:val="en-US" w:eastAsia="zh-CN" w:bidi="ar-SA"/>
        </w:rPr>
        <w:t>专项资金</w:t>
      </w:r>
      <w:r>
        <w:rPr>
          <w:rFonts w:hint="eastAsia" w:ascii="Arial" w:hAnsi="Arial" w:eastAsia="仿宋_GB2312" w:cs="Arial"/>
          <w:snapToGrid w:val="0"/>
          <w:color w:val="000000"/>
          <w:kern w:val="0"/>
          <w:sz w:val="32"/>
          <w:szCs w:val="32"/>
          <w:lang w:val="en-US" w:eastAsia="en-US" w:bidi="ar-SA"/>
        </w:rPr>
        <w:t>。</w:t>
      </w:r>
    </w:p>
    <w:p w14:paraId="6267DA7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项目资金使用坚持“专款专用、程序合法、管理规范、注重绩效”的原则。</w:t>
      </w:r>
    </w:p>
    <w:p w14:paraId="43A952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专项资金的管理和使用应当严格执行国家有关法律法规、财务规章制度和本办法的规定，并接受本级纪检、财政、审计和上级文化旅游</w:t>
      </w:r>
      <w:r>
        <w:rPr>
          <w:rFonts w:hint="eastAsia" w:ascii="Arial" w:hAnsi="Arial" w:eastAsia="仿宋_GB2312" w:cs="Arial"/>
          <w:snapToGrid w:val="0"/>
          <w:color w:val="000000"/>
          <w:kern w:val="0"/>
          <w:sz w:val="32"/>
          <w:szCs w:val="32"/>
          <w:lang w:val="en-US" w:eastAsia="zh-CN" w:bidi="ar-SA"/>
        </w:rPr>
        <w:t>广电</w:t>
      </w:r>
      <w:r>
        <w:rPr>
          <w:rFonts w:hint="eastAsia" w:ascii="Arial" w:hAnsi="Arial" w:eastAsia="仿宋_GB2312" w:cs="Arial"/>
          <w:snapToGrid w:val="0"/>
          <w:color w:val="000000"/>
          <w:kern w:val="0"/>
          <w:sz w:val="32"/>
          <w:szCs w:val="32"/>
          <w:lang w:val="en-US" w:eastAsia="en-US" w:bidi="ar-SA"/>
        </w:rPr>
        <w:t>主管部门的监督检查。</w:t>
      </w:r>
    </w:p>
    <w:p w14:paraId="333F1A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ascii="Arial" w:hAnsi="Arial" w:eastAsia="仿宋_GB2312" w:cs="Arial"/>
          <w:snapToGrid w:val="0"/>
          <w:color w:val="000000"/>
          <w:kern w:val="0"/>
          <w:sz w:val="32"/>
          <w:szCs w:val="32"/>
          <w:lang w:val="en-US" w:eastAsia="en-US" w:bidi="ar-SA"/>
        </w:rPr>
        <w:t>项目资金的使用必须纳入单位“三重一大”议事内容。相关讨论研究会议要邀请纪检组和局分管线领导参加集体审议。项目资金拨付由</w:t>
      </w:r>
      <w:r>
        <w:rPr>
          <w:rFonts w:hint="eastAsia" w:eastAsia="仿宋_GB2312" w:cs="Arial"/>
          <w:snapToGrid w:val="0"/>
          <w:color w:val="000000"/>
          <w:kern w:val="0"/>
          <w:sz w:val="32"/>
          <w:szCs w:val="32"/>
          <w:lang w:val="en-US" w:eastAsia="zh-CN" w:bidi="ar-SA"/>
        </w:rPr>
        <w:t>我中心</w:t>
      </w:r>
      <w:r>
        <w:rPr>
          <w:rFonts w:hint="eastAsia" w:ascii="Arial" w:hAnsi="Arial" w:eastAsia="仿宋_GB2312" w:cs="Arial"/>
          <w:snapToGrid w:val="0"/>
          <w:color w:val="000000"/>
          <w:kern w:val="0"/>
          <w:sz w:val="32"/>
          <w:szCs w:val="32"/>
          <w:lang w:val="en-US" w:eastAsia="en-US" w:bidi="ar-SA"/>
        </w:rPr>
        <w:t>会同财政局联合审批。</w:t>
      </w:r>
    </w:p>
    <w:p w14:paraId="6EFA4DEA">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ascii="楷体" w:hAnsi="楷体" w:eastAsia="楷体" w:cs="楷体"/>
          <w:b/>
          <w:bCs/>
          <w:spacing w:val="6"/>
          <w:position w:val="16"/>
          <w:sz w:val="31"/>
          <w:szCs w:val="31"/>
        </w:rPr>
        <w:t>。</w:t>
      </w:r>
    </w:p>
    <w:p w14:paraId="2C418C4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总目标：为贯彻落实国务院办公厅《关于支持戏曲传承发展若干政策》的精神和省相关部分要求，进一步推动我市文化强市，擦亮汨罗文化品牌、持续推进公共文化服务体系建设、进一步打造汨罗花鼓戏振兴工程。</w:t>
      </w:r>
    </w:p>
    <w:p w14:paraId="2AAF88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实际完成情况：充分发挥湖南花鼓戏的独特魅力，紧紧围绕市委、市政府推进“文化强市”战略方针，擦亮“花鼓戏艺术节”文化名片，加快构建公共文化服务体系，活跃群众文化生活。</w:t>
      </w:r>
    </w:p>
    <w:p w14:paraId="603AF946">
      <w:p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Times New Roman" w:hAnsi="Times New Roman" w:eastAsia="仿宋_GB2312" w:cs="仿宋_GB2312"/>
          <w:color w:val="000000"/>
          <w:sz w:val="32"/>
          <w:szCs w:val="32"/>
          <w:lang w:val="en-US" w:eastAsia="zh-CN"/>
        </w:rPr>
        <w:t>2024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p>
    <w:p w14:paraId="42E8F7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1E0D08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Times New Roman" w:hAnsi="Times New Roman" w:eastAsia="仿宋_GB2312" w:cs="仿宋_GB2312"/>
          <w:color w:val="000000"/>
          <w:sz w:val="32"/>
          <w:szCs w:val="32"/>
          <w:lang w:val="en-US" w:eastAsia="zh-CN"/>
        </w:rPr>
        <w:t>按照项目绩效目标相关信息，我单位组织相关人员，对项目资金投入情况、绩效目标完成情况、偏离绩效目标的原因和下一步改进措施进行了分析。</w:t>
      </w:r>
    </w:p>
    <w:p w14:paraId="71B8F6B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FFD1D9D">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textAlignment w:val="baseline"/>
        <w:outlineLvl w:val="0"/>
        <w:rPr>
          <w:rFonts w:hint="eastAsia" w:ascii="仿宋" w:hAnsi="仿宋" w:eastAsia="仿宋" w:cs="仿宋"/>
          <w:b w:val="0"/>
          <w:bCs w:val="0"/>
          <w:spacing w:val="-15"/>
          <w:sz w:val="32"/>
          <w:szCs w:val="32"/>
          <w:lang w:val="en-US" w:eastAsia="zh-CN"/>
        </w:rPr>
      </w:pPr>
      <w:r>
        <w:rPr>
          <w:rFonts w:hint="eastAsia" w:ascii="仿宋" w:hAnsi="仿宋" w:eastAsia="仿宋" w:cs="仿宋"/>
          <w:b w:val="0"/>
          <w:bCs w:val="0"/>
          <w:spacing w:val="-15"/>
          <w:sz w:val="32"/>
          <w:szCs w:val="32"/>
          <w:lang w:val="en-US" w:eastAsia="zh-CN"/>
        </w:rPr>
        <w:t>2023年我中心在原有的基础上进行升级，添置灯光、音响等必备演艺设备，将其打造成“周末惠民梨园剧场”等目标实施项目，项目实施后全部实现初定的绩效目标，该项目的建成，有效的填补了我市目前没有专业戏剧演出场馆的空白，同时通过花鼓戏创造性转化，创新性发展，为我市真抓实干、送戏下乡等公共文化服务体系建设做出积极贡献，助力我市花鼓戏艺术全面振兴。</w:t>
      </w:r>
    </w:p>
    <w:p w14:paraId="38FAA3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b w:val="0"/>
          <w:bCs w:val="0"/>
          <w:spacing w:val="-15"/>
          <w:sz w:val="32"/>
          <w:szCs w:val="32"/>
          <w:lang w:val="en-US" w:eastAsia="zh-CN"/>
        </w:rPr>
      </w:pPr>
      <w:r>
        <w:rPr>
          <w:rFonts w:hint="eastAsia" w:ascii="Times New Roman" w:hAnsi="Times New Roman" w:eastAsia="仿宋_GB2312" w:cs="仿宋_GB2312"/>
          <w:color w:val="000000"/>
          <w:sz w:val="32"/>
          <w:szCs w:val="32"/>
          <w:lang w:val="en-US" w:eastAsia="zh-CN"/>
        </w:rPr>
        <w:t>对照项目绩效目标申报表的内容，本年度我单位《</w:t>
      </w:r>
      <w:r>
        <w:rPr>
          <w:rFonts w:hint="eastAsia" w:ascii="仿宋" w:hAnsi="仿宋" w:eastAsia="仿宋" w:cs="仿宋"/>
          <w:b w:val="0"/>
          <w:bCs w:val="0"/>
          <w:spacing w:val="-15"/>
          <w:sz w:val="32"/>
          <w:szCs w:val="32"/>
          <w:lang w:val="en-US" w:eastAsia="zh-CN"/>
        </w:rPr>
        <w:t>周末惠民梨园剧场</w:t>
      </w:r>
      <w:r>
        <w:rPr>
          <w:rFonts w:hint="eastAsia" w:ascii="仿宋" w:hAnsi="仿宋" w:eastAsia="仿宋" w:cs="仿宋"/>
          <w:kern w:val="0"/>
          <w:sz w:val="32"/>
          <w:szCs w:val="32"/>
          <w:lang w:val="en-US" w:eastAsia="zh-CN"/>
        </w:rPr>
        <w:t>》</w:t>
      </w:r>
      <w:r>
        <w:rPr>
          <w:rFonts w:hint="eastAsia" w:ascii="Times New Roman" w:hAnsi="Times New Roman" w:eastAsia="仿宋_GB2312" w:cs="仿宋_GB2312"/>
          <w:color w:val="000000"/>
          <w:sz w:val="32"/>
          <w:szCs w:val="32"/>
          <w:lang w:val="en-US" w:eastAsia="zh-CN"/>
        </w:rPr>
        <w:t>项目目标绩效完成情况良好。</w:t>
      </w:r>
    </w:p>
    <w:p w14:paraId="0289E5F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50454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E50C31D">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服务对象满意度指标达到以下目标：经口头询问采访，活动展演</w:t>
      </w:r>
    </w:p>
    <w:p w14:paraId="41DF374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展示现场观众满意度100%。</w:t>
      </w:r>
    </w:p>
    <w:p w14:paraId="679CC0C7">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7B189C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w:t>
      </w:r>
      <w:r>
        <w:rPr>
          <w:rFonts w:hint="eastAsia" w:ascii="Times New Roman" w:hAnsi="Times New Roman" w:eastAsia="仿宋_GB2312" w:cs="仿宋_GB2312"/>
          <w:color w:val="000000"/>
          <w:sz w:val="32"/>
          <w:szCs w:val="32"/>
          <w:lang w:val="en-US" w:eastAsia="zh-CN"/>
        </w:rPr>
        <w:t>经济成本指标达到以下目标：控制成本，严格按预算指标50万元进行。</w:t>
      </w:r>
    </w:p>
    <w:p w14:paraId="7A5D1338">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1DAA99E8">
      <w:pPr>
        <w:spacing w:line="600" w:lineRule="exact"/>
        <w:ind w:firstLine="640" w:firstLineChars="200"/>
        <w:jc w:val="both"/>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1、数量指标达到以下目标：添置灯光96个、音响2套等必备演艺设备。</w:t>
      </w:r>
    </w:p>
    <w:p w14:paraId="49D223BB">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2、质量指标达到以下目标：工程验收合格。</w:t>
      </w:r>
    </w:p>
    <w:p w14:paraId="5CEAEE6D">
      <w:pPr>
        <w:spacing w:line="600" w:lineRule="exact"/>
        <w:ind w:firstLine="640" w:firstLineChars="200"/>
        <w:jc w:val="both"/>
        <w:rPr>
          <w:rFonts w:hint="eastAsia"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3、时效指标达到以下目标：按上级文化主管部门规定进行2023年12月底全面完成目标任务。</w:t>
      </w:r>
    </w:p>
    <w:p w14:paraId="77151C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1730F7EA">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1、经济效益指标达到以下目标：推动文旅发展。</w:t>
      </w:r>
    </w:p>
    <w:p w14:paraId="60FC36D5">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2、社会效益指标达到以下目标：提供人民群众精神食粮，弘扬社会主义主流价值观，传播社会正能量，具有良好的思想性和教育意义。</w:t>
      </w:r>
    </w:p>
    <w:p w14:paraId="5222D349">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3、生态效益指标达到以下目标：生态环境有所改善。</w:t>
      </w:r>
    </w:p>
    <w:p w14:paraId="7A891FE4">
      <w:pPr>
        <w:spacing w:line="600" w:lineRule="exact"/>
        <w:ind w:firstLine="640" w:firstLineChars="200"/>
        <w:jc w:val="both"/>
        <w:rPr>
          <w:rFonts w:hint="eastAsia"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4、可持续影响指标达到以下目标：通过艺术展演提高市民文化素养。</w:t>
      </w:r>
    </w:p>
    <w:p w14:paraId="6A0F3CF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D98D5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p>
    <w:p w14:paraId="0EC7BD33">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457FE0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无</w:t>
      </w:r>
    </w:p>
    <w:p w14:paraId="2B620A6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B5A09F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无</w:t>
      </w:r>
    </w:p>
    <w:sectPr>
      <w:footerReference r:id="rId1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692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64636AB">
        <w:pPr>
          <w:pStyle w:val="3"/>
          <w:jc w:val="right"/>
          <w:rPr>
            <w:rFonts w:asciiTheme="minorEastAsia" w:hAnsiTheme="minorEastAsia" w:eastAsiaTheme="minorEastAsia"/>
            <w:kern w:val="0"/>
          </w:rPr>
        </w:pPr>
      </w:p>
    </w:sdtContent>
  </w:sdt>
  <w:p w14:paraId="2F51B63E">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8CD18">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DE011"/>
    <w:multiLevelType w:val="singleLevel"/>
    <w:tmpl w:val="9A3DE011"/>
    <w:lvl w:ilvl="0" w:tentative="0">
      <w:start w:val="2"/>
      <w:numFmt w:val="chineseCounting"/>
      <w:suff w:val="nothing"/>
      <w:lvlText w:val="（%1）"/>
      <w:lvlJc w:val="left"/>
      <w:rPr>
        <w:rFonts w:hint="eastAsia"/>
      </w:rPr>
    </w:lvl>
  </w:abstractNum>
  <w:abstractNum w:abstractNumId="1">
    <w:nsid w:val="CD5A2616"/>
    <w:multiLevelType w:val="singleLevel"/>
    <w:tmpl w:val="CD5A2616"/>
    <w:lvl w:ilvl="0" w:tentative="0">
      <w:start w:val="2"/>
      <w:numFmt w:val="chineseCounting"/>
      <w:lvlText w:val="(%1)"/>
      <w:lvlJc w:val="left"/>
      <w:pPr>
        <w:tabs>
          <w:tab w:val="left" w:pos="312"/>
        </w:tabs>
      </w:pPr>
      <w:rPr>
        <w:rFonts w:hint="eastAsia"/>
      </w:rPr>
    </w:lvl>
  </w:abstractNum>
  <w:abstractNum w:abstractNumId="2">
    <w:nsid w:val="D2BDF4C0"/>
    <w:multiLevelType w:val="singleLevel"/>
    <w:tmpl w:val="D2BDF4C0"/>
    <w:lvl w:ilvl="0" w:tentative="0">
      <w:start w:val="6"/>
      <w:numFmt w:val="chineseCounting"/>
      <w:suff w:val="nothing"/>
      <w:lvlText w:val="%1、"/>
      <w:lvlJc w:val="left"/>
      <w:rPr>
        <w:rFonts w:hint="eastAsia"/>
      </w:rPr>
    </w:lvl>
  </w:abstractNum>
  <w:abstractNum w:abstractNumId="3">
    <w:nsid w:val="F63F2797"/>
    <w:multiLevelType w:val="singleLevel"/>
    <w:tmpl w:val="F63F2797"/>
    <w:lvl w:ilvl="0" w:tentative="0">
      <w:start w:val="2"/>
      <w:numFmt w:val="chineseCounting"/>
      <w:lvlText w:val="(%1)"/>
      <w:lvlJc w:val="left"/>
      <w:pPr>
        <w:tabs>
          <w:tab w:val="left" w:pos="312"/>
        </w:tabs>
      </w:pPr>
      <w:rPr>
        <w:rFonts w:hint="eastAsia"/>
      </w:rPr>
    </w:lvl>
  </w:abstractNum>
  <w:abstractNum w:abstractNumId="4">
    <w:nsid w:val="0B4A5C79"/>
    <w:multiLevelType w:val="singleLevel"/>
    <w:tmpl w:val="0B4A5C79"/>
    <w:lvl w:ilvl="0" w:tentative="0">
      <w:start w:val="8"/>
      <w:numFmt w:val="chineseCounting"/>
      <w:suff w:val="nothing"/>
      <w:lvlText w:val="%1、"/>
      <w:lvlJc w:val="left"/>
      <w:rPr>
        <w:rFonts w:hint="eastAsia"/>
      </w:rPr>
    </w:lvl>
  </w:abstractNum>
  <w:abstractNum w:abstractNumId="5">
    <w:nsid w:val="40179DA5"/>
    <w:multiLevelType w:val="singleLevel"/>
    <w:tmpl w:val="40179DA5"/>
    <w:lvl w:ilvl="0" w:tentative="0">
      <w:start w:val="1"/>
      <w:numFmt w:val="chineseCounting"/>
      <w:lvlText w:val="(%1)"/>
      <w:lvlJc w:val="left"/>
      <w:pPr>
        <w:tabs>
          <w:tab w:val="left" w:pos="312"/>
        </w:tabs>
      </w:pPr>
      <w:rPr>
        <w:rFonts w:hint="eastAsia"/>
      </w:rPr>
    </w:lvl>
  </w:abstractNum>
  <w:abstractNum w:abstractNumId="6">
    <w:nsid w:val="481100C5"/>
    <w:multiLevelType w:val="singleLevel"/>
    <w:tmpl w:val="481100C5"/>
    <w:lvl w:ilvl="0" w:tentative="0">
      <w:start w:val="1"/>
      <w:numFmt w:val="chineseCounting"/>
      <w:suff w:val="nothing"/>
      <w:lvlText w:val="%1、"/>
      <w:lvlJc w:val="left"/>
      <w:rPr>
        <w:rFonts w:hint="eastAsia"/>
      </w:rPr>
    </w:lvl>
  </w:abstractNum>
  <w:abstractNum w:abstractNumId="7">
    <w:nsid w:val="59DD4AC6"/>
    <w:multiLevelType w:val="singleLevel"/>
    <w:tmpl w:val="59DD4AC6"/>
    <w:lvl w:ilvl="0" w:tentative="0">
      <w:start w:val="4"/>
      <w:numFmt w:val="chineseCounting"/>
      <w:suff w:val="nothing"/>
      <w:lvlText w:val="%1、"/>
      <w:lvlJc w:val="left"/>
      <w:rPr>
        <w:rFonts w:hint="eastAsia"/>
      </w:rPr>
    </w:lvl>
  </w:abstractNum>
  <w:abstractNum w:abstractNumId="8">
    <w:nsid w:val="7C895820"/>
    <w:multiLevelType w:val="singleLevel"/>
    <w:tmpl w:val="7C895820"/>
    <w:lvl w:ilvl="0" w:tentative="0">
      <w:start w:val="1"/>
      <w:numFmt w:val="chineseCounting"/>
      <w:lvlText w:val="(%1)"/>
      <w:lvlJc w:val="left"/>
      <w:pPr>
        <w:tabs>
          <w:tab w:val="left" w:pos="312"/>
        </w:tabs>
      </w:pPr>
      <w:rPr>
        <w:rFonts w:hint="eastAsia"/>
      </w:rPr>
    </w:lvl>
  </w:abstractNum>
  <w:num w:numId="1">
    <w:abstractNumId w:val="6"/>
  </w:num>
  <w:num w:numId="2">
    <w:abstractNumId w:val="0"/>
  </w:num>
  <w:num w:numId="3">
    <w:abstractNumId w:val="7"/>
  </w:num>
  <w:num w:numId="4">
    <w:abstractNumId w:val="4"/>
  </w:num>
  <w:num w:numId="5">
    <w:abstractNumId w:val="5"/>
  </w:num>
  <w:num w:numId="6">
    <w:abstractNumId w:val="3"/>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AxZDZjNzk0NTNiNjE4MDllYTU1ZmU2YzUzNTA4MzIifQ=="/>
  </w:docVars>
  <w:rsids>
    <w:rsidRoot w:val="00000000"/>
    <w:rsid w:val="01AF3811"/>
    <w:rsid w:val="02EE1ABA"/>
    <w:rsid w:val="03795BF7"/>
    <w:rsid w:val="086E756B"/>
    <w:rsid w:val="0ACF37E5"/>
    <w:rsid w:val="0B400BC6"/>
    <w:rsid w:val="0E68228D"/>
    <w:rsid w:val="0EA6787F"/>
    <w:rsid w:val="15276E52"/>
    <w:rsid w:val="19D32FBC"/>
    <w:rsid w:val="1E6A4395"/>
    <w:rsid w:val="25557A3D"/>
    <w:rsid w:val="26EA5ED7"/>
    <w:rsid w:val="27A93B82"/>
    <w:rsid w:val="2AE00186"/>
    <w:rsid w:val="2FCE47A2"/>
    <w:rsid w:val="308216BE"/>
    <w:rsid w:val="34FE1149"/>
    <w:rsid w:val="350C538B"/>
    <w:rsid w:val="3A550786"/>
    <w:rsid w:val="3B7A130F"/>
    <w:rsid w:val="45BD7EF6"/>
    <w:rsid w:val="494A1329"/>
    <w:rsid w:val="4F8B6063"/>
    <w:rsid w:val="52FA3F96"/>
    <w:rsid w:val="55850F17"/>
    <w:rsid w:val="57AE6D93"/>
    <w:rsid w:val="5FB623A7"/>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Calibri" w:eastAsia="黑体" w:cs="黑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9542</Words>
  <Characters>10160</Characters>
  <TotalTime>0</TotalTime>
  <ScaleCrop>false</ScaleCrop>
  <LinksUpToDate>false</LinksUpToDate>
  <CharactersWithSpaces>10398</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2024-10-14T07:20:00Z</cp:lastPrinted>
  <dcterms:modified xsi:type="dcterms:W3CDTF">2024-10-14T07:39:39Z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2052-12.1.0.17857</vt:lpwstr>
  </property>
  <property fmtid="{D5CDD505-2E9C-101B-9397-08002B2CF9AE}" pid="6" name="ICV">
    <vt:lpwstr>F66B18CA2E2D404E8C1FE7997FABE209_13</vt:lpwstr>
  </property>
</Properties>
</file>