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840" w:firstLineChars="400"/>
              <w:jc w:val="left"/>
              <w:rPr>
                <w:rFonts w:hint="default" w:ascii="仿宋_GB2312" w:eastAsia="仿宋_GB2312"/>
                <w:kern w:val="0"/>
                <w:lang w:val="en-US" w:eastAsia="zh-CN"/>
              </w:rPr>
            </w:pPr>
            <w:r>
              <w:rPr>
                <w:rFonts w:hint="eastAsia" w:ascii="仿宋_GB2312" w:eastAsia="仿宋_GB2312"/>
                <w:kern w:val="0"/>
                <w:lang w:val="en-US" w:eastAsia="zh-CN"/>
              </w:rPr>
              <w:t>2.29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 xml:space="preserve">0.53 </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840" w:firstLineChars="400"/>
              <w:jc w:val="both"/>
              <w:rPr>
                <w:rFonts w:ascii="仿宋_GB2312" w:eastAsia="仿宋_GB2312"/>
                <w:kern w:val="0"/>
              </w:rPr>
            </w:pPr>
            <w:r>
              <w:rPr>
                <w:rFonts w:hint="eastAsia" w:ascii="仿宋_GB2312" w:eastAsia="仿宋_GB2312"/>
                <w:kern w:val="0"/>
                <w:lang w:val="en-US" w:eastAsia="zh-CN"/>
              </w:rPr>
              <w:t xml:space="preserve">0.53 </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1.76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114.85</w:t>
            </w: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840" w:firstLineChars="400"/>
              <w:jc w:val="both"/>
              <w:rPr>
                <w:rFonts w:hint="default" w:ascii="仿宋_GB2312" w:eastAsia="仿宋_GB2312"/>
                <w:kern w:val="0"/>
                <w:lang w:val="en-US"/>
              </w:rPr>
            </w:pPr>
            <w:r>
              <w:rPr>
                <w:rFonts w:hint="eastAsia" w:ascii="仿宋_GB2312" w:eastAsia="仿宋_GB2312"/>
                <w:kern w:val="0"/>
                <w:lang w:val="en-US" w:eastAsia="zh-CN"/>
              </w:rPr>
              <w:t>111.09</w:t>
            </w: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 xml:space="preserve">3.76 </w:t>
            </w: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16.95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2.99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 xml:space="preserve">     6.18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1.12</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 xml:space="preserve">     0.13</w:t>
            </w: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4.5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282.5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eastAsia="宋体" w:cs="Arial"/>
                <w:snapToGrid w:val="0"/>
                <w:color w:val="000000"/>
                <w:sz w:val="21"/>
                <w:szCs w:val="21"/>
                <w:lang w:val="en-US" w:eastAsia="zh-CN" w:bidi="ar-SA"/>
              </w:rPr>
              <w:t>1、严格审批，节约办公经费；2、杜绝浪费，切实降低能耗；3、健全制度，建立长效机制。</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部门</w:t>
      </w:r>
      <w:r>
        <w:rPr>
          <w:rFonts w:ascii="仿宋_GB2312" w:hAnsi="宋体" w:eastAsia="仿宋_GB2312" w:cs="宋体"/>
          <w:snapToGrid w:val="0"/>
          <w:color w:val="000000"/>
          <w:sz w:val="21"/>
          <w:szCs w:val="21"/>
          <w:lang w:val="en-US" w:eastAsia="zh-CN" w:bidi="ar-SA"/>
        </w:rPr>
        <w:t>负责人签字：</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768"/>
        <w:gridCol w:w="1062"/>
        <w:gridCol w:w="986"/>
        <w:gridCol w:w="699"/>
        <w:gridCol w:w="903"/>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汨罗市军队离休退休干部休养所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76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062"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986"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903"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389"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年度资金总额</w:t>
            </w:r>
          </w:p>
        </w:tc>
        <w:tc>
          <w:tcPr>
            <w:tcW w:w="176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48.37</w:t>
            </w:r>
          </w:p>
        </w:tc>
        <w:tc>
          <w:tcPr>
            <w:tcW w:w="1062"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402.69</w:t>
            </w:r>
          </w:p>
        </w:tc>
        <w:tc>
          <w:tcPr>
            <w:tcW w:w="986"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402.69</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90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389" w:type="dxa"/>
            <w:vAlign w:val="center"/>
          </w:tcPr>
          <w:p>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928"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3977"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928"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 xml:space="preserve">   402.69</w:t>
            </w:r>
          </w:p>
        </w:tc>
        <w:tc>
          <w:tcPr>
            <w:tcW w:w="3977"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 xml:space="preserve">  66.58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928"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 xml:space="preserve"> 0</w:t>
            </w:r>
          </w:p>
        </w:tc>
        <w:tc>
          <w:tcPr>
            <w:tcW w:w="3977"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 xml:space="preserve">  336.11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928"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 xml:space="preserve"> 0</w:t>
            </w:r>
          </w:p>
        </w:tc>
        <w:tc>
          <w:tcPr>
            <w:tcW w:w="3977"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928"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3977"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928"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3977"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928" w:type="dxa"/>
            <w:gridSpan w:val="4"/>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严格执行军休干部待遇的政策文件，不折不扣的落实军休干部生活待遇，及时足额发放军休干部工资。落实好军休干部医疗待遇。组织军休干部展开健康体检，开展丰富多彩的文化娱乐活动，以老干部喜闻乐见的门球，外出参观等为主要的活动项目，让军休干部实实在在的感受军休所的温暖与关爱。</w:t>
            </w:r>
          </w:p>
        </w:tc>
        <w:tc>
          <w:tcPr>
            <w:tcW w:w="3977" w:type="dxa"/>
            <w:gridSpan w:val="4"/>
            <w:vAlign w:val="center"/>
          </w:tcPr>
          <w:p>
            <w:pPr>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本年度积极开展军休钓鱼及外出红色文化景点参观学习等活动，丰富了军休干部的文化娱乐生活，同时及时足额发放相关待遇及医疗待遇，保障了军休干部的享受待遇的权益。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76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062"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986"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903"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38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768"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经费金额</w:t>
            </w:r>
          </w:p>
        </w:tc>
        <w:tc>
          <w:tcPr>
            <w:tcW w:w="1062"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48.37</w:t>
            </w:r>
          </w:p>
        </w:tc>
        <w:tc>
          <w:tcPr>
            <w:tcW w:w="986" w:type="dxa"/>
            <w:vAlign w:val="center"/>
          </w:tcPr>
          <w:p>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402.69</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90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389"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768"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各项经费补贴按政策发放率</w:t>
            </w:r>
          </w:p>
        </w:tc>
        <w:tc>
          <w:tcPr>
            <w:tcW w:w="1062" w:type="dxa"/>
            <w:vAlign w:val="center"/>
          </w:tcPr>
          <w:p>
            <w:pPr>
              <w:spacing w:line="240" w:lineRule="auto"/>
              <w:jc w:val="center"/>
              <w:rPr>
                <w:rFonts w:hint="default" w:ascii="仿宋_GB2312" w:eastAsia="仿宋_GB2312"/>
                <w:kern w:val="0"/>
                <w:lang w:val="en-US" w:eastAsia="zh-CN"/>
              </w:rPr>
            </w:pPr>
            <w:r>
              <w:rPr>
                <w:rFonts w:hint="eastAsia" w:ascii="华文仿宋" w:hAnsi="华文仿宋" w:eastAsia="华文仿宋" w:cs="华文仿宋"/>
                <w:kern w:val="0"/>
                <w:lang w:val="en-US" w:eastAsia="zh-CN"/>
              </w:rPr>
              <w:t>≥</w:t>
            </w:r>
            <w:r>
              <w:rPr>
                <w:rFonts w:hint="eastAsia" w:ascii="仿宋_GB2312" w:eastAsia="仿宋_GB2312"/>
                <w:kern w:val="0"/>
                <w:lang w:val="en-US" w:eastAsia="zh-CN"/>
              </w:rPr>
              <w:t>95%</w:t>
            </w:r>
          </w:p>
        </w:tc>
        <w:tc>
          <w:tcPr>
            <w:tcW w:w="986"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90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389" w:type="dxa"/>
            <w:vAlign w:val="center"/>
          </w:tcPr>
          <w:p>
            <w:pPr>
              <w:spacing w:line="240" w:lineRule="auto"/>
              <w:jc w:val="center"/>
              <w:rPr>
                <w:rFonts w:hint="eastAsia"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768"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经费及时拨付率</w:t>
            </w:r>
          </w:p>
        </w:tc>
        <w:tc>
          <w:tcPr>
            <w:tcW w:w="1062" w:type="dxa"/>
            <w:vAlign w:val="center"/>
          </w:tcPr>
          <w:p>
            <w:pPr>
              <w:spacing w:line="240" w:lineRule="auto"/>
              <w:jc w:val="center"/>
              <w:rPr>
                <w:rFonts w:hint="eastAsia" w:ascii="仿宋_GB2312" w:eastAsia="仿宋_GB2312"/>
                <w:kern w:val="0"/>
                <w:lang w:eastAsia="zh-CN"/>
              </w:rPr>
            </w:pPr>
            <w:r>
              <w:rPr>
                <w:rFonts w:hint="eastAsia" w:ascii="华文仿宋" w:hAnsi="华文仿宋" w:eastAsia="华文仿宋" w:cs="华文仿宋"/>
                <w:kern w:val="0"/>
                <w:lang w:val="en-US" w:eastAsia="zh-CN"/>
              </w:rPr>
              <w:t>≥</w:t>
            </w:r>
            <w:r>
              <w:rPr>
                <w:rFonts w:hint="eastAsia" w:ascii="仿宋_GB2312" w:eastAsia="仿宋_GB2312"/>
                <w:kern w:val="0"/>
                <w:lang w:val="en-US" w:eastAsia="zh-CN"/>
              </w:rPr>
              <w:t>95%</w:t>
            </w:r>
          </w:p>
        </w:tc>
        <w:tc>
          <w:tcPr>
            <w:tcW w:w="986"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100%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0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9" w:type="dxa"/>
            <w:vAlign w:val="center"/>
          </w:tcPr>
          <w:p>
            <w:pPr>
              <w:spacing w:line="240" w:lineRule="auto"/>
              <w:jc w:val="center"/>
              <w:rPr>
                <w:rFonts w:hint="eastAsia"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768"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sz w:val="18"/>
                <w:szCs w:val="18"/>
              </w:rPr>
              <w:t>较好地完成部门预决算工作，严格按照进度执行预算，各项指标完成较好，实现了良好的社会效益</w:t>
            </w:r>
          </w:p>
        </w:tc>
        <w:tc>
          <w:tcPr>
            <w:tcW w:w="1062" w:type="dxa"/>
            <w:vAlign w:val="center"/>
          </w:tcPr>
          <w:p>
            <w:pPr>
              <w:spacing w:line="240" w:lineRule="auto"/>
              <w:jc w:val="center"/>
              <w:rPr>
                <w:rFonts w:hint="eastAsia" w:ascii="仿宋_GB2312" w:eastAsia="仿宋_GB2312"/>
                <w:kern w:val="0"/>
                <w:lang w:eastAsia="zh-CN"/>
              </w:rPr>
            </w:pPr>
            <w:r>
              <w:rPr>
                <w:rFonts w:hint="eastAsia" w:ascii="华文仿宋" w:hAnsi="华文仿宋" w:eastAsia="华文仿宋" w:cs="华文仿宋"/>
                <w:kern w:val="0"/>
                <w:lang w:val="en-US" w:eastAsia="zh-CN"/>
              </w:rPr>
              <w:t>≥</w:t>
            </w:r>
            <w:r>
              <w:rPr>
                <w:rFonts w:hint="eastAsia" w:ascii="仿宋_GB2312" w:eastAsia="仿宋_GB2312"/>
                <w:kern w:val="0"/>
                <w:lang w:val="en-US" w:eastAsia="zh-CN"/>
              </w:rPr>
              <w:t>95%</w:t>
            </w:r>
          </w:p>
        </w:tc>
        <w:tc>
          <w:tcPr>
            <w:tcW w:w="986"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100%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0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w:t>
            </w:r>
          </w:p>
        </w:tc>
        <w:tc>
          <w:tcPr>
            <w:tcW w:w="1389" w:type="dxa"/>
            <w:vAlign w:val="center"/>
          </w:tcPr>
          <w:p>
            <w:pPr>
              <w:spacing w:line="240" w:lineRule="auto"/>
              <w:jc w:val="center"/>
              <w:rPr>
                <w:rFonts w:hint="eastAsia"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768"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积极打造军休之家，让军休人员时刻感受到温暖</w:t>
            </w:r>
          </w:p>
        </w:tc>
        <w:tc>
          <w:tcPr>
            <w:tcW w:w="1062"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986"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100%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0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9" w:type="dxa"/>
            <w:vAlign w:val="center"/>
          </w:tcPr>
          <w:p>
            <w:pPr>
              <w:spacing w:line="240" w:lineRule="auto"/>
              <w:jc w:val="center"/>
              <w:rPr>
                <w:rFonts w:hint="eastAsia"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768"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不适用</w:t>
            </w:r>
          </w:p>
        </w:tc>
        <w:tc>
          <w:tcPr>
            <w:tcW w:w="1062"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986"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pPr>
              <w:spacing w:line="240" w:lineRule="auto"/>
              <w:jc w:val="center"/>
              <w:rPr>
                <w:rFonts w:hint="eastAsia" w:ascii="仿宋_GB2312" w:eastAsia="仿宋_GB2312"/>
                <w:kern w:val="0"/>
                <w:lang w:eastAsia="zh-CN"/>
              </w:rPr>
            </w:pPr>
          </w:p>
        </w:tc>
        <w:tc>
          <w:tcPr>
            <w:tcW w:w="903" w:type="dxa"/>
            <w:vAlign w:val="center"/>
          </w:tcPr>
          <w:p>
            <w:pPr>
              <w:spacing w:line="240" w:lineRule="auto"/>
              <w:jc w:val="center"/>
              <w:rPr>
                <w:rFonts w:hint="eastAsia" w:ascii="仿宋_GB2312" w:eastAsia="仿宋_GB2312"/>
                <w:kern w:val="0"/>
                <w:lang w:eastAsia="zh-CN"/>
              </w:rPr>
            </w:pPr>
          </w:p>
        </w:tc>
        <w:tc>
          <w:tcPr>
            <w:tcW w:w="1389" w:type="dxa"/>
            <w:vAlign w:val="center"/>
          </w:tcPr>
          <w:p>
            <w:pPr>
              <w:spacing w:line="240" w:lineRule="auto"/>
              <w:jc w:val="center"/>
              <w:rPr>
                <w:rFonts w:hint="eastAsia"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768"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增强退役士兵爱军崇军光荣感、使命感、责任感</w:t>
            </w:r>
          </w:p>
        </w:tc>
        <w:tc>
          <w:tcPr>
            <w:tcW w:w="1062"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效果提升</w:t>
            </w:r>
          </w:p>
        </w:tc>
        <w:tc>
          <w:tcPr>
            <w:tcW w:w="986"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显著提升</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0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9" w:type="dxa"/>
            <w:vAlign w:val="center"/>
          </w:tcPr>
          <w:p>
            <w:pPr>
              <w:spacing w:line="240" w:lineRule="auto"/>
              <w:jc w:val="center"/>
              <w:rPr>
                <w:rFonts w:hint="eastAsia"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074" w:type="dxa"/>
            <w:vMerge w:val="continue"/>
            <w:tcBorders>
              <w:right w:val="single" w:color="auto" w:sz="4" w:space="0"/>
            </w:tcBorders>
            <w:textDirection w:val="tbRlV"/>
            <w:vAlign w:val="center"/>
          </w:tcPr>
          <w:p>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768" w:type="dxa"/>
            <w:tcBorders>
              <w:left w:val="single" w:color="auto" w:sz="4" w:space="0"/>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服务对象满意度</w:t>
            </w:r>
          </w:p>
        </w:tc>
        <w:tc>
          <w:tcPr>
            <w:tcW w:w="1062" w:type="dxa"/>
            <w:vAlign w:val="center"/>
          </w:tcPr>
          <w:p>
            <w:pPr>
              <w:spacing w:line="240" w:lineRule="auto"/>
              <w:jc w:val="center"/>
              <w:rPr>
                <w:rFonts w:hint="eastAsia" w:ascii="仿宋_GB2312" w:eastAsia="仿宋_GB2312"/>
                <w:kern w:val="0"/>
                <w:lang w:eastAsia="zh-CN"/>
              </w:rPr>
            </w:pPr>
            <w:r>
              <w:rPr>
                <w:rFonts w:hint="eastAsia" w:ascii="华文仿宋" w:hAnsi="华文仿宋" w:eastAsia="华文仿宋" w:cs="华文仿宋"/>
                <w:kern w:val="0"/>
                <w:lang w:val="en-US" w:eastAsia="zh-CN"/>
              </w:rPr>
              <w:t>≥</w:t>
            </w:r>
            <w:r>
              <w:rPr>
                <w:rFonts w:hint="eastAsia" w:ascii="仿宋_GB2312" w:eastAsia="仿宋_GB2312"/>
                <w:kern w:val="0"/>
                <w:lang w:val="en-US" w:eastAsia="zh-CN"/>
              </w:rPr>
              <w:t>90%</w:t>
            </w:r>
          </w:p>
        </w:tc>
        <w:tc>
          <w:tcPr>
            <w:tcW w:w="986"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0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w:t>
            </w:r>
          </w:p>
        </w:tc>
        <w:tc>
          <w:tcPr>
            <w:tcW w:w="1389" w:type="dxa"/>
            <w:vAlign w:val="center"/>
          </w:tcPr>
          <w:p>
            <w:pPr>
              <w:spacing w:line="240" w:lineRule="auto"/>
              <w:jc w:val="center"/>
              <w:rPr>
                <w:rFonts w:hint="eastAsia"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768" w:type="dxa"/>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严格控制经费预算支出不超标</w:t>
            </w:r>
          </w:p>
        </w:tc>
        <w:tc>
          <w:tcPr>
            <w:tcW w:w="1062" w:type="dxa"/>
            <w:vAlign w:val="center"/>
          </w:tcPr>
          <w:p>
            <w:pPr>
              <w:spacing w:line="240" w:lineRule="auto"/>
              <w:jc w:val="center"/>
              <w:rPr>
                <w:rFonts w:hint="eastAsia" w:ascii="仿宋_GB2312" w:eastAsia="仿宋_GB2312"/>
                <w:kern w:val="0"/>
                <w:lang w:eastAsia="zh-CN"/>
              </w:rPr>
            </w:pPr>
            <w:r>
              <w:rPr>
                <w:rFonts w:hint="eastAsia" w:ascii="华文仿宋" w:hAnsi="华文仿宋" w:eastAsia="华文仿宋" w:cs="华文仿宋"/>
                <w:kern w:val="0"/>
                <w:lang w:val="en-US" w:eastAsia="zh-CN"/>
              </w:rPr>
              <w:t>≥</w:t>
            </w:r>
            <w:r>
              <w:rPr>
                <w:rFonts w:hint="eastAsia" w:ascii="仿宋_GB2312" w:eastAsia="仿宋_GB2312"/>
                <w:kern w:val="0"/>
                <w:lang w:val="en-US" w:eastAsia="zh-CN"/>
              </w:rPr>
              <w:t>95%</w:t>
            </w:r>
          </w:p>
        </w:tc>
        <w:tc>
          <w:tcPr>
            <w:tcW w:w="986"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90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389" w:type="dxa"/>
            <w:vAlign w:val="center"/>
          </w:tcPr>
          <w:p>
            <w:pPr>
              <w:spacing w:line="240" w:lineRule="auto"/>
              <w:jc w:val="center"/>
              <w:rPr>
                <w:rFonts w:hint="eastAsia"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768"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62"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986"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vAlign w:val="center"/>
          </w:tcPr>
          <w:p>
            <w:pPr>
              <w:spacing w:line="240" w:lineRule="auto"/>
              <w:jc w:val="center"/>
              <w:rPr>
                <w:rFonts w:hint="eastAsia" w:ascii="仿宋_GB2312" w:eastAsia="仿宋_GB2312"/>
                <w:kern w:val="0"/>
                <w:lang w:eastAsia="zh-CN"/>
              </w:rPr>
            </w:pPr>
          </w:p>
        </w:tc>
        <w:tc>
          <w:tcPr>
            <w:tcW w:w="903" w:type="dxa"/>
            <w:vAlign w:val="center"/>
          </w:tcPr>
          <w:p>
            <w:pPr>
              <w:spacing w:line="240" w:lineRule="auto"/>
              <w:jc w:val="center"/>
              <w:rPr>
                <w:rFonts w:hint="eastAsia" w:ascii="仿宋_GB2312" w:eastAsia="仿宋_GB2312"/>
                <w:kern w:val="0"/>
                <w:lang w:eastAsia="zh-CN"/>
              </w:rPr>
            </w:pPr>
          </w:p>
        </w:tc>
        <w:tc>
          <w:tcPr>
            <w:tcW w:w="1389" w:type="dxa"/>
            <w:vAlign w:val="center"/>
          </w:tcPr>
          <w:p>
            <w:pPr>
              <w:spacing w:line="240" w:lineRule="auto"/>
              <w:jc w:val="center"/>
              <w:rPr>
                <w:rFonts w:hint="eastAsia"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768"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062"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986" w:type="dxa"/>
            <w:vAlign w:val="center"/>
          </w:tcPr>
          <w:p>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vAlign w:val="center"/>
          </w:tcPr>
          <w:p>
            <w:pPr>
              <w:spacing w:line="240" w:lineRule="auto"/>
              <w:jc w:val="center"/>
              <w:rPr>
                <w:rFonts w:hint="eastAsia" w:ascii="仿宋_GB2312" w:eastAsia="仿宋_GB2312"/>
                <w:kern w:val="0"/>
                <w:lang w:eastAsia="zh-CN"/>
              </w:rPr>
            </w:pPr>
          </w:p>
        </w:tc>
        <w:tc>
          <w:tcPr>
            <w:tcW w:w="903" w:type="dxa"/>
            <w:vAlign w:val="center"/>
          </w:tcPr>
          <w:p>
            <w:pPr>
              <w:spacing w:line="240" w:lineRule="auto"/>
              <w:jc w:val="center"/>
              <w:rPr>
                <w:rFonts w:hint="eastAsia" w:ascii="仿宋_GB2312" w:eastAsia="仿宋_GB2312"/>
                <w:kern w:val="0"/>
                <w:lang w:eastAsia="zh-CN"/>
              </w:rPr>
            </w:pPr>
          </w:p>
        </w:tc>
        <w:tc>
          <w:tcPr>
            <w:tcW w:w="1389" w:type="dxa"/>
            <w:vAlign w:val="center"/>
          </w:tcPr>
          <w:p>
            <w:pPr>
              <w:spacing w:line="240" w:lineRule="auto"/>
              <w:jc w:val="center"/>
              <w:rPr>
                <w:rFonts w:hint="eastAsia"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90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389"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部门</w:t>
      </w:r>
      <w:r>
        <w:rPr>
          <w:rFonts w:ascii="仿宋_GB2312" w:hAnsi="宋体" w:eastAsia="仿宋_GB2312" w:cs="宋体"/>
          <w:snapToGrid w:val="0"/>
          <w:color w:val="000000"/>
          <w:sz w:val="21"/>
          <w:szCs w:val="21"/>
          <w:lang w:val="en-US" w:eastAsia="zh-CN" w:bidi="ar-SA"/>
        </w:rPr>
        <w:t>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部门</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p>
        </w:tc>
        <w:tc>
          <w:tcPr>
            <w:tcW w:w="4140" w:type="dxa"/>
            <w:gridSpan w:val="4"/>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部门负责人签字:</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部门整体支出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楷体" w:eastAsia="楷体_GB2312" w:cs="楷体"/>
          <w:b/>
          <w:bCs/>
          <w:spacing w:val="-13"/>
          <w:kern w:val="0"/>
          <w:sz w:val="32"/>
          <w:szCs w:val="32"/>
          <w:lang w:val="en-US" w:eastAsia="zh-CN"/>
        </w:rPr>
        <w:t>部门名称</w:t>
      </w:r>
      <w:r>
        <w:rPr>
          <w:rFonts w:hint="eastAsia" w:ascii="楷体_GB2312" w:hAnsi="仿宋" w:eastAsia="楷体_GB2312" w:cs="仿宋"/>
          <w:b/>
          <w:bCs/>
          <w:snapToGrid w:val="0"/>
          <w:color w:val="000000"/>
          <w:spacing w:val="-28"/>
          <w:sz w:val="32"/>
          <w:szCs w:val="32"/>
          <w:lang w:val="en-US" w:eastAsia="zh-CN" w:bidi="ar-SA"/>
        </w:rPr>
        <w:t>：</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hint="eastAsia" w:ascii="黑体" w:hAnsi="黑体" w:eastAsia="黑体" w:cs="黑体"/>
          <w:spacing w:val="-60"/>
          <w:sz w:val="40"/>
          <w:szCs w:val="40"/>
          <w:lang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eastAsia="zh-CN"/>
        </w:rPr>
        <w:t>汨罗市军队离休退休干部休养所</w:t>
      </w:r>
    </w:p>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部门职责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960" w:firstLineChars="300"/>
        <w:jc w:val="both"/>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根据省级民政部门下达的年度接收安置计划，负责军休干部、无军籍职工的安置和接收安置工作。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960" w:firstLineChars="30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全面落实军休干部、无军籍职工政治待遇和生活待遇，为军休干部、无军籍职工老有所养、老有所医、老有所教、老有所学、老有所为、老有所乐创造条件。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960" w:firstLineChars="300"/>
        <w:jc w:val="both"/>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根据工作实际，及时研究解决军休干部服务管理工作中的重要问题，协调有关部门研究解决无军籍职工服务管理重要问题。</w:t>
      </w:r>
    </w:p>
    <w:p>
      <w:pPr>
        <w:pStyle w:val="10"/>
        <w:spacing w:line="600" w:lineRule="exact"/>
        <w:ind w:firstLine="643"/>
        <w:jc w:val="both"/>
        <w:rPr>
          <w:rFonts w:hint="default" w:ascii="Times New Roman" w:hAnsi="Times New Roman" w:eastAsia="仿宋_GB2312"/>
          <w:kern w:val="0"/>
          <w:sz w:val="32"/>
          <w:szCs w:val="32"/>
          <w:lang w:val="en-US" w:eastAsia="zh-CN"/>
        </w:rPr>
      </w:pPr>
      <w:r>
        <w:rPr>
          <w:rFonts w:hint="eastAsia" w:ascii="Times New Roman" w:hAnsi="Times New Roman" w:eastAsia="楷体_GB2312"/>
          <w:b/>
          <w:kern w:val="0"/>
          <w:sz w:val="32"/>
          <w:szCs w:val="32"/>
          <w:lang w:eastAsia="zh-CN"/>
        </w:rPr>
        <w:t>（二）</w:t>
      </w:r>
      <w:r>
        <w:rPr>
          <w:rFonts w:hint="default" w:ascii="Times New Roman" w:hAnsi="Times New Roman" w:eastAsia="仿宋_GB2312"/>
          <w:kern w:val="0"/>
          <w:sz w:val="32"/>
          <w:szCs w:val="32"/>
          <w:lang w:val="en-US" w:eastAsia="zh-CN"/>
        </w:rPr>
        <w:t>机构设置及决算</w:t>
      </w:r>
      <w:r>
        <w:rPr>
          <w:rFonts w:hint="eastAsia" w:ascii="Times New Roman" w:hAnsi="Times New Roman" w:eastAsia="仿宋_GB2312"/>
          <w:kern w:val="0"/>
          <w:sz w:val="32"/>
          <w:szCs w:val="32"/>
          <w:lang w:val="en-US" w:eastAsia="zh-CN"/>
        </w:rPr>
        <w:t>部门</w:t>
      </w:r>
      <w:r>
        <w:rPr>
          <w:rFonts w:hint="default" w:ascii="Times New Roman" w:hAnsi="Times New Roman" w:eastAsia="仿宋_GB2312"/>
          <w:kern w:val="0"/>
          <w:sz w:val="32"/>
          <w:szCs w:val="32"/>
          <w:lang w:val="en-US" w:eastAsia="zh-CN"/>
        </w:rPr>
        <w:t>构成</w:t>
      </w:r>
    </w:p>
    <w:p>
      <w:pPr>
        <w:spacing w:line="600" w:lineRule="exact"/>
        <w:ind w:firstLine="640" w:firstLineChars="20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）内设机构设置。</w:t>
      </w:r>
      <w:r>
        <w:rPr>
          <w:rFonts w:hint="eastAsia" w:ascii="Arial" w:hAnsi="Arial" w:eastAsia="仿宋_GB2312" w:cs="Arial"/>
          <w:snapToGrid w:val="0"/>
          <w:color w:val="000000"/>
          <w:kern w:val="0"/>
          <w:sz w:val="32"/>
          <w:szCs w:val="32"/>
          <w:lang w:val="en-US" w:eastAsia="zh-CN" w:bidi="ar-SA"/>
        </w:rPr>
        <w:t>汨罗市军队离休退休干部休养所是汨罗市退役军人事务局下属二级机构，内设办公室、财务室、军休服务管理室</w:t>
      </w:r>
    </w:p>
    <w:p>
      <w:pPr>
        <w:spacing w:line="600" w:lineRule="exact"/>
        <w:ind w:firstLine="640" w:firstLineChars="200"/>
        <w:jc w:val="both"/>
        <w:rPr>
          <w:rFonts w:hint="eastAsia" w:ascii="Times New Roman" w:hAnsi="Times New Roman" w:eastAsia="仿宋_GB2312"/>
          <w:kern w:val="0"/>
          <w:sz w:val="32"/>
          <w:szCs w:val="32"/>
          <w:lang w:val="en-US" w:eastAsia="zh-CN"/>
        </w:rPr>
      </w:pP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）决算</w:t>
      </w:r>
      <w:r>
        <w:rPr>
          <w:rFonts w:hint="eastAsia"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构成。汨罗市军队离休退休干部休养所</w:t>
      </w:r>
      <w:r>
        <w:rPr>
          <w:rFonts w:hint="eastAsia" w:ascii="Arial" w:hAnsi="Arial" w:eastAsia="仿宋_GB2312" w:cs="Arial"/>
          <w:snapToGrid w:val="0"/>
          <w:color w:val="000000"/>
          <w:kern w:val="0"/>
          <w:sz w:val="32"/>
          <w:szCs w:val="32"/>
          <w:lang w:val="en-US" w:eastAsia="zh-CN" w:bidi="ar-SA"/>
        </w:rPr>
        <w:t>2023</w:t>
      </w:r>
      <w:r>
        <w:rPr>
          <w:rFonts w:hint="default" w:ascii="Arial" w:hAnsi="Arial" w:eastAsia="仿宋_GB2312" w:cs="Arial"/>
          <w:snapToGrid w:val="0"/>
          <w:color w:val="000000"/>
          <w:kern w:val="0"/>
          <w:sz w:val="32"/>
          <w:szCs w:val="32"/>
          <w:lang w:val="en-US" w:eastAsia="zh-CN" w:bidi="ar-SA"/>
        </w:rPr>
        <w:t>年部门决算公开</w:t>
      </w:r>
      <w:r>
        <w:rPr>
          <w:rFonts w:hint="eastAsia"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构成包括：汨罗市军队离休退休干部休养所。</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二、一般公共预算财政拨款支出情况</w:t>
      </w:r>
    </w:p>
    <w:p>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基本支出主要是保障机构正常运转、完成日常工作任务而发生的各项支出，包括在职和退休人员工资福利支出、三公经费、水电、办公经费等商品和服务支出。</w:t>
      </w:r>
    </w:p>
    <w:p>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1、基本支出具体使用情况：基本支出合计</w:t>
      </w:r>
      <w:r>
        <w:rPr>
          <w:rFonts w:hint="eastAsia" w:eastAsia="仿宋_GB2312"/>
          <w:kern w:val="0"/>
          <w:sz w:val="32"/>
          <w:szCs w:val="32"/>
          <w:lang w:val="en-US" w:eastAsia="zh-CN"/>
        </w:rPr>
        <w:t>61.32</w:t>
      </w:r>
      <w:r>
        <w:rPr>
          <w:rFonts w:hint="default" w:eastAsia="仿宋_GB2312"/>
          <w:kern w:val="0"/>
          <w:sz w:val="32"/>
          <w:szCs w:val="32"/>
          <w:lang w:val="en-US" w:eastAsia="zh-CN"/>
        </w:rPr>
        <w:t>万元，其中工资福利支出为</w:t>
      </w:r>
      <w:r>
        <w:rPr>
          <w:rFonts w:hint="eastAsia" w:eastAsia="仿宋_GB2312"/>
          <w:kern w:val="0"/>
          <w:sz w:val="32"/>
          <w:szCs w:val="32"/>
          <w:lang w:val="en-US" w:eastAsia="zh-CN"/>
        </w:rPr>
        <w:t>40.78</w:t>
      </w:r>
      <w:r>
        <w:rPr>
          <w:rFonts w:hint="default" w:eastAsia="仿宋_GB2312"/>
          <w:kern w:val="0"/>
          <w:sz w:val="32"/>
          <w:szCs w:val="32"/>
          <w:lang w:val="en-US" w:eastAsia="zh-CN"/>
        </w:rPr>
        <w:t>万元；商品和服务支出为</w:t>
      </w:r>
      <w:r>
        <w:rPr>
          <w:rFonts w:hint="eastAsia" w:eastAsia="仿宋_GB2312"/>
          <w:kern w:val="0"/>
          <w:sz w:val="32"/>
          <w:szCs w:val="32"/>
          <w:lang w:val="en-US" w:eastAsia="zh-CN"/>
        </w:rPr>
        <w:t>16.95</w:t>
      </w:r>
      <w:r>
        <w:rPr>
          <w:rFonts w:hint="default" w:eastAsia="仿宋_GB2312"/>
          <w:kern w:val="0"/>
          <w:sz w:val="32"/>
          <w:szCs w:val="32"/>
          <w:lang w:val="en-US" w:eastAsia="zh-CN"/>
        </w:rPr>
        <w:t>万元；对个人和家庭的补助为</w:t>
      </w:r>
      <w:r>
        <w:rPr>
          <w:rFonts w:hint="eastAsia" w:eastAsia="仿宋_GB2312"/>
          <w:kern w:val="0"/>
          <w:sz w:val="32"/>
          <w:szCs w:val="32"/>
          <w:lang w:val="en-US" w:eastAsia="zh-CN"/>
        </w:rPr>
        <w:t>3.59</w:t>
      </w:r>
      <w:r>
        <w:rPr>
          <w:rFonts w:hint="default" w:eastAsia="仿宋_GB2312"/>
          <w:kern w:val="0"/>
          <w:sz w:val="32"/>
          <w:szCs w:val="32"/>
          <w:lang w:val="en-US" w:eastAsia="zh-CN"/>
        </w:rPr>
        <w:t>万元。</w:t>
      </w:r>
    </w:p>
    <w:p>
      <w:pPr>
        <w:spacing w:line="600" w:lineRule="exact"/>
        <w:ind w:firstLine="640" w:firstLineChars="200"/>
        <w:jc w:val="both"/>
        <w:rPr>
          <w:rFonts w:hint="eastAsia" w:ascii="Times New Roman" w:hAnsi="Times New Roman" w:eastAsia="仿宋_GB2312"/>
          <w:kern w:val="0"/>
          <w:sz w:val="32"/>
          <w:szCs w:val="32"/>
          <w:lang w:eastAsia="zh-CN"/>
        </w:rPr>
      </w:pPr>
      <w:r>
        <w:rPr>
          <w:rFonts w:hint="default" w:eastAsia="仿宋_GB2312"/>
          <w:kern w:val="0"/>
          <w:sz w:val="32"/>
          <w:szCs w:val="32"/>
          <w:lang w:val="en-US" w:eastAsia="zh-CN"/>
        </w:rPr>
        <w:t>2、三公经费具体支出情况：我局202</w:t>
      </w:r>
      <w:r>
        <w:rPr>
          <w:rFonts w:hint="eastAsia" w:eastAsia="仿宋_GB2312"/>
          <w:kern w:val="0"/>
          <w:sz w:val="32"/>
          <w:szCs w:val="32"/>
          <w:lang w:val="en-US" w:eastAsia="zh-CN"/>
        </w:rPr>
        <w:t>3</w:t>
      </w:r>
      <w:r>
        <w:rPr>
          <w:rFonts w:hint="default" w:eastAsia="仿宋_GB2312"/>
          <w:kern w:val="0"/>
          <w:sz w:val="32"/>
          <w:szCs w:val="32"/>
          <w:lang w:val="en-US" w:eastAsia="zh-CN"/>
        </w:rPr>
        <w:t>年三公经费总支出为</w:t>
      </w:r>
      <w:r>
        <w:rPr>
          <w:rFonts w:hint="eastAsia" w:eastAsia="仿宋_GB2312"/>
          <w:kern w:val="0"/>
          <w:sz w:val="32"/>
          <w:szCs w:val="32"/>
          <w:lang w:val="en-US" w:eastAsia="zh-CN"/>
        </w:rPr>
        <w:t>2.9</w:t>
      </w:r>
      <w:r>
        <w:rPr>
          <w:rFonts w:hint="default" w:eastAsia="仿宋_GB2312"/>
          <w:kern w:val="0"/>
          <w:sz w:val="32"/>
          <w:szCs w:val="32"/>
          <w:lang w:val="en-US" w:eastAsia="zh-CN"/>
        </w:rPr>
        <w:t>万元，其中公务接待费</w:t>
      </w:r>
      <w:r>
        <w:rPr>
          <w:rFonts w:hint="eastAsia" w:eastAsia="仿宋_GB2312"/>
          <w:kern w:val="0"/>
          <w:sz w:val="32"/>
          <w:szCs w:val="32"/>
          <w:lang w:val="en-US" w:eastAsia="zh-CN"/>
        </w:rPr>
        <w:t>0.4</w:t>
      </w:r>
      <w:r>
        <w:rPr>
          <w:rFonts w:hint="default" w:eastAsia="仿宋_GB2312"/>
          <w:kern w:val="0"/>
          <w:sz w:val="32"/>
          <w:szCs w:val="32"/>
          <w:lang w:val="en-US" w:eastAsia="zh-CN"/>
        </w:rPr>
        <w:t>元；公务用车运行维护费</w:t>
      </w:r>
      <w:r>
        <w:rPr>
          <w:rFonts w:hint="eastAsia" w:eastAsia="仿宋_GB2312"/>
          <w:kern w:val="0"/>
          <w:sz w:val="32"/>
          <w:szCs w:val="32"/>
          <w:lang w:val="en-US" w:eastAsia="zh-CN"/>
        </w:rPr>
        <w:t>2.5</w:t>
      </w:r>
      <w:r>
        <w:rPr>
          <w:rFonts w:hint="default" w:eastAsia="仿宋_GB2312"/>
          <w:kern w:val="0"/>
          <w:sz w:val="32"/>
          <w:szCs w:val="32"/>
          <w:lang w:val="en-US" w:eastAsia="zh-CN"/>
        </w:rPr>
        <w:t>万元，因公出国(境)支出为0</w:t>
      </w:r>
      <w:r>
        <w:rPr>
          <w:rFonts w:hint="eastAsia" w:eastAsia="仿宋_GB2312"/>
          <w:kern w:val="0"/>
          <w:sz w:val="32"/>
          <w:szCs w:val="32"/>
          <w:lang w:val="en-US" w:eastAsia="zh-CN"/>
        </w:rPr>
        <w:t>万元</w:t>
      </w:r>
      <w:r>
        <w:rPr>
          <w:rFonts w:hint="default" w:eastAsia="仿宋_GB2312"/>
          <w:kern w:val="0"/>
          <w:sz w:val="32"/>
          <w:szCs w:val="32"/>
          <w:lang w:val="en-US" w:eastAsia="zh-CN"/>
        </w:rPr>
        <w:t>。</w:t>
      </w:r>
    </w:p>
    <w:p>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三、政府性基金预算财政拨款支出情况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2023年度我部门没有政府性基金预算支出。</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四、国有资本经营预算财政拨款支出情况</w:t>
      </w:r>
    </w:p>
    <w:p>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2023年度我部门没有国有资本经营预算支出。</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2023年度我部门没有社会保险基金预算支出。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总结归纳本部门</w:t>
      </w:r>
      <w:r>
        <w:rPr>
          <w:rFonts w:eastAsia="仿宋_GB2312"/>
          <w:kern w:val="0"/>
          <w:sz w:val="32"/>
          <w:szCs w:val="32"/>
          <w:lang w:eastAsia="zh-CN"/>
        </w:rPr>
        <w:t>“</w:t>
      </w:r>
      <w:r>
        <w:rPr>
          <w:rFonts w:hint="eastAsia" w:eastAsia="仿宋_GB2312"/>
          <w:kern w:val="0"/>
          <w:sz w:val="32"/>
          <w:szCs w:val="32"/>
          <w:lang w:eastAsia="zh-CN"/>
        </w:rPr>
        <w:t>四本预算</w:t>
      </w:r>
      <w:r>
        <w:rPr>
          <w:rFonts w:eastAsia="仿宋_GB2312"/>
          <w:kern w:val="0"/>
          <w:sz w:val="32"/>
          <w:szCs w:val="32"/>
          <w:lang w:eastAsia="zh-CN"/>
        </w:rPr>
        <w:t>”</w:t>
      </w:r>
      <w:r>
        <w:rPr>
          <w:rFonts w:hint="eastAsia" w:eastAsia="仿宋_GB2312"/>
          <w:kern w:val="0"/>
          <w:sz w:val="32"/>
          <w:szCs w:val="32"/>
          <w:lang w:eastAsia="zh-CN"/>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认真落实军休干部各项待遇。严格准确执行军休干部生活待遇标准，不隐瞒，不扣留，时刻维护军休干部利益，及时下拨经费，确保军休干部各项生活待遇按时足额发放，切实保障军休干部的合法权益。春节和八一等节日，由局领导带队，深入军休干部家中进行走访，对其生产生活表示慰问，让他们切实感受到党和政府的关怀。为丰富军休干部的精神文化生活，开展气排球比赛等多种形式活动,切实增强了我县军休干部的获得感、幸福感，受到军休干部好评！</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1、进一步加强对本部门绩效评价工作的重视，提高预算绩效申报工作质量，尽量采取定量完成，制定清晰、可衡量的绩效指标。</w:t>
      </w:r>
    </w:p>
    <w:p>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2、 进一步细化预算编制工作，加强部门内部机构的预算管理意识，提高年初预算编制的严谨性、准确性，切实提高部门预算收支管理水平。</w:t>
      </w:r>
    </w:p>
    <w:p>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3、希望财政部门开展相关的业务工作培训，提高财务人员业务水平。</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绩效自评结果拟应用情况。按照目标设定、预算配置、预算执行、预算管理、资产管理、职责履行、履职效益共七个方面进行的总体评价，部门整体支出绩效综合评分98分。针对本部门绩效自评中存在的问题，积极整改，优化和调整支出方向和结构，科学编制年初预算，合理使用财政资金，提高资金使用效益。</w:t>
      </w:r>
    </w:p>
    <w:p>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（二）绩效自评结果公开情况。2023年部门整体支出绩效自评报告经审核后在规定时间内及时公开，接受社会监督。</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、政府性基金预算财政拨款支出情况表</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5、国有资本经营预算财政拨款支出情况表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主要包括项目支出决策背景及其主要内容。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napToGrid w:val="0"/>
          <w:color w:val="000000"/>
          <w:kern w:val="0"/>
          <w:sz w:val="32"/>
          <w:szCs w:val="32"/>
          <w:lang w:val="en-US" w:eastAsia="zh-CN" w:bidi="ar-SA"/>
        </w:rPr>
        <w:t>主要包括绩效总目标和</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9D32FBC"/>
    <w:rsid w:val="1C773A21"/>
    <w:rsid w:val="1E6A4395"/>
    <w:rsid w:val="1FDACEA6"/>
    <w:rsid w:val="25557A3D"/>
    <w:rsid w:val="26EA5ED7"/>
    <w:rsid w:val="27A93B82"/>
    <w:rsid w:val="2AE00186"/>
    <w:rsid w:val="2DFF012C"/>
    <w:rsid w:val="308216BE"/>
    <w:rsid w:val="34FE1149"/>
    <w:rsid w:val="3A550786"/>
    <w:rsid w:val="3B7A130F"/>
    <w:rsid w:val="3EF06E6F"/>
    <w:rsid w:val="494A1329"/>
    <w:rsid w:val="4ED7A766"/>
    <w:rsid w:val="4F8B6063"/>
    <w:rsid w:val="52FA3F96"/>
    <w:rsid w:val="55850F17"/>
    <w:rsid w:val="57AE6D93"/>
    <w:rsid w:val="5E3C4FFE"/>
    <w:rsid w:val="5FB623A7"/>
    <w:rsid w:val="6BB1387F"/>
    <w:rsid w:val="6D075A1F"/>
    <w:rsid w:val="6E3851B0"/>
    <w:rsid w:val="6E3B3683"/>
    <w:rsid w:val="76E539FB"/>
    <w:rsid w:val="784167CA"/>
    <w:rsid w:val="7BF7119D"/>
    <w:rsid w:val="7ED67756"/>
    <w:rsid w:val="ACC7768B"/>
    <w:rsid w:val="DDDCD5D7"/>
    <w:rsid w:val="DF77B2BD"/>
    <w:rsid w:val="F67F78B8"/>
    <w:rsid w:val="FBFF91E6"/>
    <w:rsid w:val="FE4A7EB6"/>
    <w:rsid w:val="FF3F22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1877</Words>
  <Characters>1939</Characters>
  <TotalTime>2</TotalTime>
  <ScaleCrop>false</ScaleCrop>
  <LinksUpToDate>false</LinksUpToDate>
  <CharactersWithSpaces>2098</CharactersWithSpaces>
  <Application>WPS Office_11.8.2.11929_F1E327BC-269C-435d-A152-05C5408002CA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2024-04-20T13:25:00Z</dcterms:created>
  <dc:creator>Administrator</dc:creator>
  <cp:lastModifiedBy>thtf</cp:lastModifiedBy>
  <cp:lastPrinted>2024-05-22T06:05:00Z</cp:lastPrinted>
  <dcterms:modified xsi:type="dcterms:W3CDTF">2025-05-28T16:45:29Z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2052-11.8.2.11929</vt:lpwstr>
  </property>
  <property fmtid="{D5CDD505-2E9C-101B-9397-08002B2CF9AE}" pid="6" name="ICV">
    <vt:lpwstr>E291820792A6ACAD87223568DFF6BD60</vt:lpwstr>
  </property>
  <property fmtid="{D5CDD505-2E9C-101B-9397-08002B2CF9AE}" pid="7" name="KSOTemplateDocerSaveRecord">
    <vt:lpwstr>eyJoZGlkIjoiOTllZjQ4ZDljZmZjMGY2MWNhMjAxY2I0MDI4NzhmNGEiLCJ1c2VySWQiOiIxMzg2MTY5NzA4In0=</vt:lpwstr>
  </property>
</Properties>
</file>