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7"/>
        <w:tblW w:w="9675"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1"/>
        <w:gridCol w:w="1354"/>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34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312"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Merge w:val="continue"/>
            <w:tcBorders>
              <w:top w:val="nil"/>
            </w:tcBorders>
            <w:vAlign w:val="center"/>
          </w:tcPr>
          <w:p>
            <w:pPr>
              <w:spacing w:line="240" w:lineRule="auto"/>
              <w:ind w:firstLine="420"/>
              <w:jc w:val="center"/>
              <w:rPr>
                <w:rFonts w:ascii="仿宋_GB2312" w:eastAsia="仿宋_GB2312"/>
                <w:kern w:val="0"/>
              </w:rPr>
            </w:pPr>
          </w:p>
        </w:tc>
        <w:tc>
          <w:tcPr>
            <w:tcW w:w="2312"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312"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4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312" w:type="dxa"/>
            <w:gridSpan w:val="2"/>
            <w:vAlign w:val="center"/>
          </w:tcPr>
          <w:p>
            <w:pPr>
              <w:spacing w:line="240" w:lineRule="auto"/>
              <w:ind w:firstLine="840" w:firstLineChars="400"/>
              <w:jc w:val="left"/>
              <w:rPr>
                <w:rFonts w:hint="default" w:ascii="仿宋_GB2312" w:eastAsia="仿宋_GB2312"/>
                <w:kern w:val="0"/>
                <w:lang w:val="en-US" w:eastAsia="zh-CN"/>
              </w:rPr>
            </w:pPr>
            <w:r>
              <w:rPr>
                <w:rFonts w:hint="eastAsia" w:ascii="仿宋_GB2312" w:eastAsia="仿宋_GB2312"/>
                <w:kern w:val="0"/>
                <w:lang w:val="en-US" w:eastAsia="zh-CN"/>
              </w:rPr>
              <w:t>0.64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312"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4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312"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312"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4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312"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34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312"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0.64</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2.7</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312"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20.82</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312"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312"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、本级专项资金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312"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20.82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312" w:type="dxa"/>
            <w:gridSpan w:val="2"/>
            <w:vAlign w:val="center"/>
          </w:tcPr>
          <w:p>
            <w:pPr>
              <w:spacing w:line="240" w:lineRule="auto"/>
              <w:ind w:firstLine="420"/>
              <w:jc w:val="center"/>
              <w:rPr>
                <w:rFonts w:hint="default" w:ascii="仿宋_GB2312" w:eastAsia="仿宋_GB2312"/>
                <w:kern w:val="0"/>
                <w:lang w:val="en-US" w:eastAsia="zh-CN"/>
              </w:rPr>
            </w:pPr>
            <w:bookmarkStart w:id="3" w:name="_GoBack"/>
            <w:bookmarkEnd w:id="3"/>
            <w:r>
              <w:rPr>
                <w:rFonts w:hint="eastAsia" w:ascii="仿宋_GB2312" w:eastAsia="仿宋_GB2312"/>
                <w:kern w:val="0"/>
                <w:lang w:val="en-US" w:eastAsia="zh-CN"/>
              </w:rPr>
              <w:t>36.38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44.43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312"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312"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312"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312"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4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312"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34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354"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35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34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334" w:type="dxa"/>
            <w:gridSpan w:val="6"/>
            <w:vAlign w:val="center"/>
          </w:tcPr>
          <w:p>
            <w:pPr>
              <w:kinsoku w:val="0"/>
              <w:autoSpaceDE w:val="0"/>
              <w:autoSpaceDN w:val="0"/>
              <w:adjustRightInd w:val="0"/>
              <w:snapToGrid w:val="0"/>
              <w:ind w:firstLine="420"/>
              <w:jc w:val="left"/>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snapToGrid w:val="0"/>
                <w:color w:val="000000"/>
                <w:sz w:val="21"/>
                <w:szCs w:val="21"/>
                <w:lang w:val="en-US" w:eastAsia="en-US" w:bidi="ar-SA"/>
              </w:rPr>
              <w:t>1.完善制度建设，从制度上控制不合理的开支，达到节约的目的。2.加强财务管理，避免资源配置和利用的重复、无用、低效等浪费现象，合理分配基本支出经费，严格掌握预算经费的开支范围和标准，大力压缩维持性支出。3.严格控制三公经费开支，按照中央八项规定厉行节约。4.加强对专项资金项目的监督管理，确保专款专用，合理开支。</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黄玲</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18274094777</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张靖</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11"/>
        <w:gridCol w:w="1236"/>
        <w:gridCol w:w="1269"/>
        <w:gridCol w:w="699"/>
        <w:gridCol w:w="1235"/>
        <w:gridCol w:w="1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汨罗市文化市场综合行政执法大队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36"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123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057"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11" w:type="dxa"/>
            <w:vAlign w:val="center"/>
          </w:tcPr>
          <w:p>
            <w:pPr>
              <w:spacing w:line="240" w:lineRule="auto"/>
              <w:ind w:firstLine="420"/>
              <w:jc w:val="both"/>
              <w:rPr>
                <w:rFonts w:ascii="仿宋_GB2312" w:eastAsia="仿宋_GB2312"/>
                <w:kern w:val="0"/>
                <w:sz w:val="21"/>
                <w:szCs w:val="21"/>
              </w:rPr>
            </w:pPr>
            <w:r>
              <w:rPr>
                <w:rFonts w:hint="eastAsia" w:ascii="仿宋_GB2312" w:eastAsia="仿宋_GB2312"/>
                <w:kern w:val="0"/>
                <w:sz w:val="21"/>
                <w:szCs w:val="21"/>
              </w:rPr>
              <w:t>303.88</w:t>
            </w:r>
          </w:p>
        </w:tc>
        <w:tc>
          <w:tcPr>
            <w:tcW w:w="1236" w:type="dxa"/>
            <w:vAlign w:val="center"/>
          </w:tcPr>
          <w:p>
            <w:pPr>
              <w:spacing w:line="240" w:lineRule="auto"/>
              <w:ind w:firstLine="420"/>
              <w:jc w:val="both"/>
              <w:rPr>
                <w:rFonts w:ascii="仿宋_GB2312" w:eastAsia="仿宋_GB2312"/>
                <w:kern w:val="0"/>
                <w:sz w:val="21"/>
                <w:szCs w:val="21"/>
              </w:rPr>
            </w:pPr>
            <w:r>
              <w:rPr>
                <w:rFonts w:hint="eastAsia" w:ascii="仿宋_GB2312" w:eastAsia="仿宋_GB2312"/>
                <w:kern w:val="0"/>
                <w:sz w:val="21"/>
                <w:szCs w:val="21"/>
              </w:rPr>
              <w:t>296.79</w:t>
            </w:r>
          </w:p>
        </w:tc>
        <w:tc>
          <w:tcPr>
            <w:tcW w:w="1269" w:type="dxa"/>
            <w:vAlign w:val="center"/>
          </w:tcPr>
          <w:p>
            <w:pPr>
              <w:spacing w:line="240" w:lineRule="auto"/>
              <w:ind w:firstLine="420"/>
              <w:jc w:val="both"/>
              <w:rPr>
                <w:rFonts w:ascii="仿宋_GB2312" w:eastAsia="仿宋_GB2312"/>
                <w:kern w:val="0"/>
                <w:sz w:val="21"/>
                <w:szCs w:val="21"/>
              </w:rPr>
            </w:pPr>
            <w:r>
              <w:rPr>
                <w:rFonts w:hint="eastAsia" w:ascii="仿宋_GB2312" w:eastAsia="仿宋_GB2312"/>
                <w:kern w:val="0"/>
                <w:sz w:val="21"/>
                <w:szCs w:val="21"/>
              </w:rPr>
              <w:t>296.79</w:t>
            </w:r>
          </w:p>
        </w:tc>
        <w:tc>
          <w:tcPr>
            <w:tcW w:w="699" w:type="dxa"/>
            <w:vAlign w:val="center"/>
          </w:tcPr>
          <w:p>
            <w:pPr>
              <w:spacing w:line="240" w:lineRule="auto"/>
              <w:jc w:val="center"/>
              <w:rPr>
                <w:rFonts w:ascii="仿宋_GB2312" w:eastAsia="仿宋_GB2312"/>
                <w:kern w:val="0"/>
                <w:sz w:val="21"/>
                <w:szCs w:val="21"/>
              </w:rPr>
            </w:pPr>
            <w:r>
              <w:rPr>
                <w:rFonts w:hint="eastAsia" w:ascii="仿宋_GB2312" w:eastAsia="仿宋_GB2312"/>
                <w:kern w:val="0"/>
                <w:sz w:val="21"/>
                <w:szCs w:val="21"/>
              </w:rPr>
              <w:t>10</w:t>
            </w:r>
          </w:p>
        </w:tc>
        <w:tc>
          <w:tcPr>
            <w:tcW w:w="1235" w:type="dxa"/>
            <w:vAlign w:val="center"/>
          </w:tcPr>
          <w:p>
            <w:pPr>
              <w:spacing w:line="240" w:lineRule="auto"/>
              <w:ind w:firstLine="420"/>
              <w:jc w:val="both"/>
              <w:rPr>
                <w:rFonts w:ascii="仿宋_GB2312" w:eastAsia="仿宋_GB2312"/>
                <w:kern w:val="0"/>
                <w:sz w:val="21"/>
                <w:szCs w:val="21"/>
              </w:rPr>
            </w:pPr>
            <w:r>
              <w:rPr>
                <w:rFonts w:hint="eastAsia" w:ascii="仿宋_GB2312" w:eastAsia="仿宋_GB2312"/>
                <w:kern w:val="0"/>
                <w:sz w:val="21"/>
                <w:szCs w:val="21"/>
              </w:rPr>
              <w:t>100.00%</w:t>
            </w:r>
          </w:p>
        </w:tc>
        <w:tc>
          <w:tcPr>
            <w:tcW w:w="1057" w:type="dxa"/>
            <w:vAlign w:val="center"/>
          </w:tcPr>
          <w:p>
            <w:pPr>
              <w:spacing w:line="240" w:lineRule="auto"/>
              <w:ind w:firstLine="420"/>
              <w:jc w:val="both"/>
              <w:rPr>
                <w:rFonts w:hint="default" w:ascii="仿宋_GB2312" w:eastAsia="仿宋_GB2312"/>
                <w:kern w:val="0"/>
                <w:sz w:val="21"/>
                <w:szCs w:val="21"/>
                <w:lang w:val="en-US" w:eastAsia="zh-CN"/>
              </w:rPr>
            </w:pPr>
            <w:r>
              <w:rPr>
                <w:rFonts w:hint="eastAsia" w:ascii="仿宋_GB2312" w:eastAsia="仿宋_GB2312"/>
                <w:kern w:val="0"/>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其中：一般公共预算：296.79</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296.79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0.00</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纳入专户管理的非税收入拨款：0.00</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其他资金：0.00</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tabs>
                <w:tab w:val="left" w:pos="786"/>
              </w:tabs>
              <w:spacing w:line="240" w:lineRule="auto"/>
              <w:jc w:val="left"/>
              <w:rPr>
                <w:rFonts w:hint="eastAsia" w:ascii="仿宋_GB2312" w:eastAsia="仿宋_GB2312"/>
                <w:kern w:val="0"/>
                <w:lang w:eastAsia="zh-CN"/>
              </w:rPr>
            </w:pPr>
            <w:r>
              <w:rPr>
                <w:rFonts w:hint="eastAsia" w:ascii="仿宋_GB2312" w:eastAsia="仿宋_GB2312"/>
                <w:kern w:val="0"/>
                <w:lang w:eastAsia="zh-CN"/>
              </w:rPr>
              <w:t>1、依法行政，文明执法，贯彻执行党和国家关于文化市场综合执法工作的方针、政策，开展调查研究，严格执法，营造良好的文化氛围。单位重大事件坚持做到民主、科学，依法决策。</w:t>
            </w:r>
          </w:p>
          <w:p>
            <w:pPr>
              <w:tabs>
                <w:tab w:val="left" w:pos="786"/>
              </w:tabs>
              <w:spacing w:line="240" w:lineRule="auto"/>
              <w:jc w:val="left"/>
              <w:rPr>
                <w:rFonts w:hint="eastAsia" w:ascii="仿宋_GB2312" w:eastAsia="仿宋_GB2312"/>
                <w:kern w:val="0"/>
                <w:lang w:eastAsia="zh-CN"/>
              </w:rPr>
            </w:pPr>
            <w:r>
              <w:rPr>
                <w:rFonts w:hint="eastAsia" w:ascii="仿宋_GB2312" w:eastAsia="仿宋_GB2312"/>
                <w:kern w:val="0"/>
                <w:lang w:eastAsia="zh-CN"/>
              </w:rPr>
              <w:t>2、交办件办理，及时组织人员明确责任，按时完成局交办的各项任务。</w:t>
            </w:r>
          </w:p>
          <w:p>
            <w:pPr>
              <w:tabs>
                <w:tab w:val="left" w:pos="786"/>
              </w:tabs>
              <w:spacing w:line="240" w:lineRule="auto"/>
              <w:jc w:val="left"/>
              <w:rPr>
                <w:rFonts w:hint="eastAsia" w:ascii="仿宋_GB2312" w:eastAsia="仿宋_GB2312"/>
                <w:kern w:val="0"/>
                <w:lang w:eastAsia="zh-CN"/>
              </w:rPr>
            </w:pPr>
            <w:r>
              <w:rPr>
                <w:rFonts w:hint="eastAsia" w:ascii="仿宋_GB2312" w:eastAsia="仿宋_GB2312"/>
                <w:kern w:val="0"/>
                <w:lang w:eastAsia="zh-CN"/>
              </w:rPr>
              <w:t>3、财政资金管理，根据国家有关法律、法规和财务规章制度、各项财务管理制度和财政局内部控制制度进行资金管理；加强本单位的财务审查及核算，含预算编制、收支管理、资产管理、政府采购、合同管理、建设项目管理、资金核算账务的管理，实施阳光理财，严格依规依纪并按法定程序办理各行业经济业务。</w:t>
            </w:r>
          </w:p>
          <w:p>
            <w:pPr>
              <w:tabs>
                <w:tab w:val="left" w:pos="786"/>
              </w:tabs>
              <w:spacing w:line="240" w:lineRule="auto"/>
              <w:jc w:val="left"/>
              <w:rPr>
                <w:rFonts w:hint="eastAsia" w:ascii="仿宋_GB2312" w:eastAsia="仿宋_GB2312"/>
                <w:kern w:val="0"/>
                <w:lang w:eastAsia="zh-CN"/>
              </w:rPr>
            </w:pPr>
            <w:r>
              <w:rPr>
                <w:rFonts w:hint="eastAsia" w:ascii="仿宋_GB2312" w:eastAsia="仿宋_GB2312"/>
                <w:kern w:val="0"/>
                <w:lang w:eastAsia="zh-CN"/>
              </w:rPr>
              <w:t>4、年度业务工作，加强日常巡查工作，确保文化娱乐市场、出版物市场管理有序；广播电视舆论导向正确；“扫黄打非”工作力度加大，效果好。加强对文物市场、旅游市场的执法监管，确保全市文物、旅游市场健康发展。</w:t>
            </w:r>
          </w:p>
        </w:tc>
        <w:tc>
          <w:tcPr>
            <w:tcW w:w="4260" w:type="dxa"/>
            <w:gridSpan w:val="4"/>
            <w:vAlign w:val="center"/>
          </w:tcPr>
          <w:p>
            <w:pPr>
              <w:tabs>
                <w:tab w:val="left" w:pos="879"/>
              </w:tabs>
              <w:spacing w:line="240" w:lineRule="auto"/>
              <w:ind w:firstLine="420" w:firstLineChars="200"/>
              <w:jc w:val="left"/>
              <w:rPr>
                <w:rFonts w:hint="eastAsia" w:ascii="仿宋_GB2312" w:eastAsia="仿宋_GB2312"/>
                <w:kern w:val="0"/>
                <w:lang w:eastAsia="zh-CN"/>
              </w:rPr>
            </w:pPr>
            <w:bookmarkStart w:id="0" w:name="OLE_LINK1"/>
            <w:r>
              <w:rPr>
                <w:rFonts w:hint="eastAsia" w:ascii="仿宋_GB2312" w:eastAsia="仿宋_GB2312"/>
                <w:kern w:val="0"/>
                <w:lang w:eastAsia="zh-CN"/>
              </w:rPr>
              <w:t>2023年，我单位根据上级相关要求部署，全面落实意识形态工作主体责任，加强意识形态工作建设；强化文化旅游市场监管，依法严查文化旅游市场违法经营行为，我单位汇同相关部门共同开展了联合执法行动2次，共出动了执法人员2650人次，出动执法车辆280余次，检查了文化经营企业1320家次，3家互联网上网服务营业场所违规接纳未成年人4人次的行为和2家书店发行非法出版物行为得到了立案查处；对1家严重违法违规KTV进行取缔；对42家经营企业下达了安全隐患责令整改通知书；查缴了各类非法出版物共计200余件。有力维护了意识形态和安全工作，保障了我市文旅市场规范有序、健康繁荣发展。</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11"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36"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123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057"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11" w:type="dxa"/>
            <w:vAlign w:val="center"/>
          </w:tcPr>
          <w:p>
            <w:pPr>
              <w:spacing w:line="240" w:lineRule="auto"/>
              <w:jc w:val="left"/>
              <w:rPr>
                <w:rFonts w:ascii="仿宋_GB2312" w:eastAsia="仿宋_GB2312"/>
                <w:kern w:val="0"/>
              </w:rPr>
            </w:pPr>
            <w:r>
              <w:rPr>
                <w:rFonts w:hint="eastAsia" w:ascii="仿宋_GB2312" w:eastAsia="仿宋_GB2312"/>
                <w:kern w:val="0"/>
              </w:rPr>
              <w:t>完成上级文化执法部门规定的行政检查次数及办结案。</w:t>
            </w:r>
          </w:p>
        </w:tc>
        <w:tc>
          <w:tcPr>
            <w:tcW w:w="1236"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235"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11" w:type="dxa"/>
            <w:vAlign w:val="top"/>
          </w:tcPr>
          <w:p>
            <w:pPr>
              <w:spacing w:line="240" w:lineRule="auto"/>
              <w:jc w:val="left"/>
              <w:rPr>
                <w:rFonts w:ascii="仿宋_GB2312" w:eastAsia="仿宋_GB2312"/>
                <w:kern w:val="0"/>
              </w:rPr>
            </w:pPr>
            <w:r>
              <w:rPr>
                <w:rFonts w:hint="eastAsia" w:ascii="仿宋_GB2312" w:eastAsia="仿宋_GB2312"/>
                <w:kern w:val="0"/>
              </w:rPr>
              <w:t>依法依规依程序办理</w:t>
            </w:r>
          </w:p>
        </w:tc>
        <w:tc>
          <w:tcPr>
            <w:tcW w:w="1236"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235"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11" w:type="dxa"/>
            <w:vAlign w:val="center"/>
          </w:tcPr>
          <w:p>
            <w:pPr>
              <w:spacing w:line="240" w:lineRule="auto"/>
              <w:jc w:val="left"/>
              <w:rPr>
                <w:rFonts w:ascii="仿宋_GB2312" w:eastAsia="仿宋_GB2312"/>
                <w:kern w:val="0"/>
              </w:rPr>
            </w:pPr>
            <w:r>
              <w:rPr>
                <w:rFonts w:hint="eastAsia" w:ascii="仿宋_GB2312" w:eastAsia="仿宋_GB2312"/>
                <w:kern w:val="0"/>
              </w:rPr>
              <w:t xml:space="preserve">1.按上级文化主管部门规定进行，年底全面完成目标任务                2.及时办结举报或巡查发现的案件。 </w:t>
            </w:r>
          </w:p>
        </w:tc>
        <w:tc>
          <w:tcPr>
            <w:tcW w:w="1236" w:type="dxa"/>
            <w:vAlign w:val="center"/>
          </w:tcPr>
          <w:p>
            <w:pPr>
              <w:spacing w:line="240" w:lineRule="auto"/>
              <w:jc w:val="center"/>
              <w:rPr>
                <w:rFonts w:ascii="仿宋_GB2312" w:eastAsia="仿宋_GB2312"/>
                <w:kern w:val="0"/>
              </w:rPr>
            </w:pPr>
            <w:r>
              <w:rPr>
                <w:rFonts w:hint="eastAsia" w:ascii="仿宋_GB2312" w:eastAsia="仿宋_GB2312"/>
                <w:kern w:val="0"/>
              </w:rPr>
              <w:t>2023年全年</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rPr>
              <w:t>2023年已全面完成目标任务</w:t>
            </w:r>
          </w:p>
        </w:tc>
        <w:tc>
          <w:tcPr>
            <w:tcW w:w="699"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235"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057" w:type="dxa"/>
            <w:vAlign w:val="center"/>
          </w:tcPr>
          <w:p>
            <w:pPr>
              <w:spacing w:line="240" w:lineRule="auto"/>
              <w:ind w:firstLine="420"/>
              <w:jc w:val="left"/>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11" w:type="dxa"/>
            <w:vAlign w:val="center"/>
          </w:tcPr>
          <w:p>
            <w:pPr>
              <w:spacing w:line="240" w:lineRule="auto"/>
              <w:jc w:val="left"/>
              <w:rPr>
                <w:rFonts w:ascii="仿宋_GB2312" w:eastAsia="仿宋_GB2312"/>
                <w:kern w:val="0"/>
              </w:rPr>
            </w:pPr>
            <w:r>
              <w:rPr>
                <w:rFonts w:hint="eastAsia" w:ascii="仿宋_GB2312" w:eastAsia="仿宋_GB2312"/>
                <w:kern w:val="0"/>
              </w:rPr>
              <w:t>引导文化市场有序发展，提升第三产业在经济发展中的比重。</w:t>
            </w:r>
          </w:p>
        </w:tc>
        <w:tc>
          <w:tcPr>
            <w:tcW w:w="1236"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有所提升</w:t>
            </w:r>
          </w:p>
        </w:tc>
        <w:tc>
          <w:tcPr>
            <w:tcW w:w="1269"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有所提升</w:t>
            </w:r>
          </w:p>
        </w:tc>
        <w:tc>
          <w:tcPr>
            <w:tcW w:w="699" w:type="dxa"/>
            <w:vAlign w:val="center"/>
          </w:tcPr>
          <w:p>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235" w:type="dxa"/>
            <w:vAlign w:val="center"/>
          </w:tcPr>
          <w:p>
            <w:pPr>
              <w:spacing w:line="240" w:lineRule="auto"/>
              <w:ind w:firstLine="420" w:firstLineChars="200"/>
              <w:jc w:val="both"/>
              <w:rPr>
                <w:rFonts w:hint="eastAsia" w:ascii="仿宋_GB2312" w:eastAsia="仿宋_GB2312"/>
                <w:kern w:val="0"/>
                <w:lang w:val="en-US" w:eastAsia="zh-CN"/>
              </w:rPr>
            </w:pPr>
            <w:r>
              <w:rPr>
                <w:rFonts w:hint="eastAsia" w:ascii="仿宋_GB2312" w:eastAsia="仿宋_GB2312"/>
                <w:kern w:val="0"/>
                <w:lang w:val="en-US" w:eastAsia="zh-CN"/>
              </w:rPr>
              <w:t>9</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11" w:type="dxa"/>
            <w:vAlign w:val="center"/>
          </w:tcPr>
          <w:p>
            <w:pPr>
              <w:spacing w:line="240" w:lineRule="auto"/>
              <w:jc w:val="left"/>
              <w:rPr>
                <w:rFonts w:ascii="仿宋_GB2312" w:eastAsia="仿宋_GB2312"/>
                <w:kern w:val="0"/>
              </w:rPr>
            </w:pPr>
            <w:r>
              <w:rPr>
                <w:rFonts w:hint="eastAsia" w:ascii="仿宋_GB2312" w:eastAsia="仿宋_GB2312"/>
                <w:kern w:val="0"/>
              </w:rPr>
              <w:t>确保全市文化市场安全有序发展，意识形态更加稳定。</w:t>
            </w:r>
          </w:p>
        </w:tc>
        <w:tc>
          <w:tcPr>
            <w:tcW w:w="1236"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99%</w:t>
            </w:r>
          </w:p>
        </w:tc>
        <w:tc>
          <w:tcPr>
            <w:tcW w:w="699"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235" w:type="dxa"/>
            <w:vAlign w:val="center"/>
          </w:tcPr>
          <w:p>
            <w:pPr>
              <w:spacing w:line="240" w:lineRule="auto"/>
              <w:ind w:firstLine="420" w:firstLineChars="2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11" w:type="dxa"/>
            <w:vAlign w:val="center"/>
          </w:tcPr>
          <w:p>
            <w:pPr>
              <w:spacing w:line="240" w:lineRule="auto"/>
              <w:jc w:val="left"/>
              <w:rPr>
                <w:rFonts w:ascii="仿宋_GB2312" w:eastAsia="仿宋_GB2312"/>
                <w:kern w:val="0"/>
              </w:rPr>
            </w:pPr>
            <w:r>
              <w:rPr>
                <w:rFonts w:hint="eastAsia" w:ascii="仿宋_GB2312" w:eastAsia="仿宋_GB2312"/>
                <w:kern w:val="0"/>
              </w:rPr>
              <w:t>为广大市民创造一个健康无毒、绿色、阳光的文化市场环境。</w:t>
            </w:r>
          </w:p>
        </w:tc>
        <w:tc>
          <w:tcPr>
            <w:tcW w:w="1236" w:type="dxa"/>
            <w:vAlign w:val="center"/>
          </w:tcPr>
          <w:p>
            <w:pPr>
              <w:spacing w:line="240" w:lineRule="auto"/>
              <w:ind w:firstLine="420"/>
              <w:jc w:val="both"/>
              <w:rPr>
                <w:rFonts w:ascii="仿宋_GB2312" w:eastAsia="仿宋_GB2312"/>
                <w:kern w:val="0"/>
              </w:rPr>
            </w:pPr>
            <w:r>
              <w:rPr>
                <w:rFonts w:hint="eastAsia" w:ascii="仿宋_GB2312" w:eastAsia="仿宋_GB2312"/>
                <w:kern w:val="0"/>
              </w:rPr>
              <w:t>长期</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长期</w:t>
            </w:r>
          </w:p>
        </w:tc>
        <w:tc>
          <w:tcPr>
            <w:tcW w:w="699" w:type="dxa"/>
            <w:vAlign w:val="center"/>
          </w:tcPr>
          <w:p>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235" w:type="dxa"/>
            <w:vAlign w:val="center"/>
          </w:tcPr>
          <w:p>
            <w:pPr>
              <w:spacing w:line="240" w:lineRule="auto"/>
              <w:ind w:firstLine="420" w:firstLineChars="2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11" w:type="dxa"/>
            <w:vAlign w:val="center"/>
          </w:tcPr>
          <w:p>
            <w:pPr>
              <w:spacing w:line="240" w:lineRule="auto"/>
              <w:jc w:val="left"/>
              <w:rPr>
                <w:rFonts w:ascii="仿宋_GB2312" w:eastAsia="仿宋_GB2312"/>
                <w:kern w:val="0"/>
              </w:rPr>
            </w:pPr>
            <w:r>
              <w:rPr>
                <w:rFonts w:hint="eastAsia" w:ascii="仿宋_GB2312" w:eastAsia="仿宋_GB2312"/>
                <w:kern w:val="0"/>
              </w:rPr>
              <w:t>1.文化执法工作公众知晓度 2.积极推动文化市场创新，为文化市场发展提供新的增</w:t>
            </w:r>
            <w:r>
              <w:rPr>
                <w:rFonts w:hint="eastAsia" w:ascii="仿宋_GB2312" w:eastAsia="仿宋_GB2312"/>
                <w:kern w:val="0"/>
                <w:lang w:eastAsia="zh-CN"/>
              </w:rPr>
              <w:t>长</w:t>
            </w:r>
            <w:r>
              <w:rPr>
                <w:rFonts w:hint="eastAsia" w:ascii="仿宋_GB2312" w:eastAsia="仿宋_GB2312"/>
                <w:kern w:val="0"/>
              </w:rPr>
              <w:t>点。</w:t>
            </w:r>
          </w:p>
        </w:tc>
        <w:tc>
          <w:tcPr>
            <w:tcW w:w="1236" w:type="dxa"/>
            <w:vAlign w:val="center"/>
          </w:tcPr>
          <w:p>
            <w:pPr>
              <w:spacing w:line="240" w:lineRule="auto"/>
              <w:ind w:firstLine="420"/>
              <w:jc w:val="both"/>
              <w:rPr>
                <w:rFonts w:ascii="仿宋_GB2312" w:eastAsia="仿宋_GB2312"/>
                <w:kern w:val="0"/>
              </w:rPr>
            </w:pPr>
            <w:r>
              <w:rPr>
                <w:rFonts w:hint="eastAsia" w:ascii="仿宋_GB2312" w:eastAsia="仿宋_GB2312"/>
                <w:kern w:val="0"/>
              </w:rPr>
              <w:t>长期</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长期</w:t>
            </w:r>
          </w:p>
        </w:tc>
        <w:tc>
          <w:tcPr>
            <w:tcW w:w="699" w:type="dxa"/>
            <w:vAlign w:val="center"/>
          </w:tcPr>
          <w:p>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235" w:type="dxa"/>
            <w:vAlign w:val="center"/>
          </w:tcPr>
          <w:p>
            <w:pPr>
              <w:spacing w:line="240" w:lineRule="auto"/>
              <w:ind w:firstLine="420" w:firstLineChars="200"/>
              <w:jc w:val="both"/>
              <w:rPr>
                <w:rFonts w:hint="eastAsia" w:ascii="仿宋_GB2312" w:eastAsia="仿宋_GB2312"/>
                <w:kern w:val="0"/>
                <w:lang w:val="en-US" w:eastAsia="zh-CN"/>
              </w:rPr>
            </w:pPr>
            <w:r>
              <w:rPr>
                <w:rFonts w:hint="eastAsia" w:ascii="仿宋_GB2312" w:eastAsia="仿宋_GB2312"/>
                <w:kern w:val="0"/>
                <w:lang w:val="en-US" w:eastAsia="zh-CN"/>
              </w:rPr>
              <w:t>4</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11" w:type="dxa"/>
            <w:vAlign w:val="center"/>
          </w:tcPr>
          <w:p>
            <w:pPr>
              <w:spacing w:line="240" w:lineRule="auto"/>
              <w:jc w:val="left"/>
              <w:rPr>
                <w:rFonts w:hint="eastAsia" w:ascii="仿宋_GB2312" w:eastAsia="仿宋_GB2312"/>
                <w:kern w:val="0"/>
                <w:lang w:eastAsia="zh-CN"/>
              </w:rPr>
            </w:pPr>
            <w:r>
              <w:rPr>
                <w:rFonts w:hint="eastAsia" w:ascii="仿宋_GB2312" w:eastAsia="仿宋_GB2312"/>
                <w:kern w:val="0"/>
              </w:rPr>
              <w:t>及时解决广大市民关注关心的文化市场管理问题</w:t>
            </w:r>
            <w:r>
              <w:rPr>
                <w:rFonts w:hint="eastAsia" w:ascii="仿宋_GB2312" w:eastAsia="仿宋_GB2312"/>
                <w:kern w:val="0"/>
                <w:lang w:eastAsia="zh-CN"/>
              </w:rPr>
              <w:t>。</w:t>
            </w:r>
          </w:p>
        </w:tc>
        <w:tc>
          <w:tcPr>
            <w:tcW w:w="1236"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699"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235" w:type="dxa"/>
            <w:vAlign w:val="center"/>
          </w:tcPr>
          <w:p>
            <w:pPr>
              <w:spacing w:line="240" w:lineRule="auto"/>
              <w:ind w:firstLine="420" w:firstLineChars="2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11" w:type="dxa"/>
            <w:vAlign w:val="center"/>
          </w:tcPr>
          <w:p>
            <w:pPr>
              <w:spacing w:line="240" w:lineRule="auto"/>
              <w:jc w:val="left"/>
              <w:rPr>
                <w:rFonts w:hint="eastAsia" w:ascii="仿宋_GB2312" w:eastAsia="仿宋_GB2312"/>
                <w:kern w:val="0"/>
                <w:lang w:eastAsia="zh-CN"/>
              </w:rPr>
            </w:pPr>
            <w:r>
              <w:rPr>
                <w:rFonts w:hint="eastAsia" w:ascii="仿宋_GB2312" w:eastAsia="仿宋_GB2312"/>
                <w:kern w:val="0"/>
              </w:rPr>
              <w:t>厉行节约，成本严格控制在预算范围内</w:t>
            </w:r>
            <w:r>
              <w:rPr>
                <w:rFonts w:hint="eastAsia" w:ascii="仿宋_GB2312" w:eastAsia="仿宋_GB2312"/>
                <w:kern w:val="0"/>
                <w:lang w:eastAsia="zh-CN"/>
              </w:rPr>
              <w:t>。</w:t>
            </w:r>
          </w:p>
        </w:tc>
        <w:tc>
          <w:tcPr>
            <w:tcW w:w="1236" w:type="dxa"/>
            <w:vAlign w:val="center"/>
          </w:tcPr>
          <w:p>
            <w:pPr>
              <w:spacing w:line="240" w:lineRule="auto"/>
              <w:jc w:val="both"/>
              <w:rPr>
                <w:rFonts w:ascii="仿宋_GB2312" w:eastAsia="仿宋_GB2312"/>
                <w:kern w:val="0"/>
              </w:rPr>
            </w:pPr>
            <w:r>
              <w:rPr>
                <w:rFonts w:hint="eastAsia" w:ascii="仿宋_GB2312" w:eastAsia="仿宋_GB2312"/>
                <w:kern w:val="0"/>
              </w:rPr>
              <w:t>成本控制在预算303.88万元</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rPr>
              <w:t>全年执行数296.79万元</w:t>
            </w:r>
          </w:p>
        </w:tc>
        <w:tc>
          <w:tcPr>
            <w:tcW w:w="699"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235" w:type="dxa"/>
            <w:vAlign w:val="center"/>
          </w:tcPr>
          <w:p>
            <w:pPr>
              <w:spacing w:line="240" w:lineRule="auto"/>
              <w:ind w:firstLine="420" w:firstLineChars="2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11" w:type="dxa"/>
            <w:vAlign w:val="center"/>
          </w:tcPr>
          <w:p>
            <w:pPr>
              <w:spacing w:line="240" w:lineRule="auto"/>
              <w:jc w:val="left"/>
              <w:rPr>
                <w:rFonts w:hint="eastAsia" w:ascii="仿宋_GB2312" w:eastAsia="仿宋_GB2312"/>
                <w:kern w:val="0"/>
                <w:lang w:eastAsia="zh-CN"/>
              </w:rPr>
            </w:pPr>
            <w:r>
              <w:rPr>
                <w:rFonts w:hint="eastAsia" w:ascii="仿宋_GB2312" w:eastAsia="仿宋_GB2312"/>
                <w:kern w:val="0"/>
              </w:rPr>
              <w:t>对社会发展可能造成的负面影响</w:t>
            </w:r>
            <w:r>
              <w:rPr>
                <w:rFonts w:hint="eastAsia" w:ascii="仿宋_GB2312" w:eastAsia="仿宋_GB2312"/>
                <w:kern w:val="0"/>
                <w:lang w:eastAsia="zh-CN"/>
              </w:rPr>
              <w:t>。</w:t>
            </w:r>
          </w:p>
        </w:tc>
        <w:tc>
          <w:tcPr>
            <w:tcW w:w="1236"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699" w:type="dxa"/>
            <w:vAlign w:val="center"/>
          </w:tcPr>
          <w:p>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235" w:type="dxa"/>
            <w:vAlign w:val="center"/>
          </w:tcPr>
          <w:p>
            <w:pPr>
              <w:spacing w:line="240" w:lineRule="auto"/>
              <w:ind w:firstLine="420" w:firstLineChars="2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11" w:type="dxa"/>
            <w:vAlign w:val="center"/>
          </w:tcPr>
          <w:p>
            <w:pPr>
              <w:spacing w:line="240" w:lineRule="auto"/>
              <w:jc w:val="left"/>
              <w:rPr>
                <w:rFonts w:hint="eastAsia" w:ascii="仿宋_GB2312" w:eastAsia="仿宋_GB2312"/>
                <w:kern w:val="0"/>
                <w:lang w:eastAsia="zh-CN"/>
              </w:rPr>
            </w:pPr>
            <w:r>
              <w:rPr>
                <w:rFonts w:hint="eastAsia" w:ascii="仿宋_GB2312" w:eastAsia="仿宋_GB2312"/>
                <w:kern w:val="0"/>
              </w:rPr>
              <w:t>对自然生态环境造成的负面影响</w:t>
            </w:r>
            <w:r>
              <w:rPr>
                <w:rFonts w:hint="eastAsia" w:ascii="仿宋_GB2312" w:eastAsia="仿宋_GB2312"/>
                <w:kern w:val="0"/>
                <w:lang w:eastAsia="zh-CN"/>
              </w:rPr>
              <w:t>。</w:t>
            </w:r>
          </w:p>
        </w:tc>
        <w:tc>
          <w:tcPr>
            <w:tcW w:w="1236"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699" w:type="dxa"/>
            <w:vAlign w:val="center"/>
          </w:tcPr>
          <w:p>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235" w:type="dxa"/>
            <w:vAlign w:val="center"/>
          </w:tcPr>
          <w:p>
            <w:pPr>
              <w:spacing w:line="240" w:lineRule="auto"/>
              <w:ind w:firstLine="420" w:firstLineChars="200"/>
              <w:jc w:val="both"/>
              <w:rPr>
                <w:rFonts w:hint="eastAsia" w:ascii="仿宋_GB2312" w:eastAsia="仿宋_GB2312"/>
                <w:kern w:val="0"/>
                <w:lang w:val="en-US" w:eastAsia="zh-CN"/>
              </w:rPr>
            </w:pPr>
            <w:r>
              <w:rPr>
                <w:rFonts w:hint="eastAsia" w:ascii="仿宋_GB2312" w:eastAsia="仿宋_GB2312"/>
                <w:kern w:val="0"/>
                <w:lang w:val="en-US" w:eastAsia="zh-CN"/>
              </w:rPr>
              <w:t>4</w:t>
            </w:r>
          </w:p>
        </w:tc>
        <w:tc>
          <w:tcPr>
            <w:tcW w:w="10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235"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057"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黄玲</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18274094777</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张靖</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p>
        </w:tc>
        <w:tc>
          <w:tcPr>
            <w:tcW w:w="4140" w:type="dxa"/>
            <w:gridSpan w:val="4"/>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sz w:val="44"/>
          <w:szCs w:val="44"/>
          <w:lang w:eastAsia="zh-CN"/>
        </w:rPr>
        <w:t>汨罗市文化市场综合行政执法大队</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12</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hint="eastAsia" w:ascii="方正小标宋简体" w:eastAsia="方正小标宋简体"/>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方正小标宋简体" w:eastAsia="方正小标宋简体"/>
          <w:sz w:val="40"/>
          <w:szCs w:val="40"/>
          <w:lang w:eastAsia="zh-CN"/>
        </w:rPr>
        <w:t>汨罗市文化市场综合行政执法大队</w:t>
      </w:r>
    </w:p>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pStyle w:val="9"/>
        <w:numPr>
          <w:ilvl w:val="0"/>
          <w:numId w:val="1"/>
        </w:numPr>
        <w:spacing w:line="360" w:lineRule="auto"/>
        <w:ind w:firstLine="640"/>
        <w:jc w:val="both"/>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 xml:space="preserve">基本情况 </w:t>
      </w:r>
    </w:p>
    <w:p>
      <w:pPr>
        <w:pStyle w:val="9"/>
        <w:numPr>
          <w:ilvl w:val="0"/>
          <w:numId w:val="0"/>
        </w:numPr>
        <w:spacing w:line="360" w:lineRule="auto"/>
        <w:ind w:firstLine="320" w:firstLineChars="1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（一）职能职责</w:t>
      </w:r>
    </w:p>
    <w:p>
      <w:pPr>
        <w:spacing w:line="360" w:lineRule="auto"/>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1、根据国家的有关法律法规和市委市政府的三定方案，负责全市文化、 广播电视、电影、新闻出版（版权）、文物、旅游等社会文化市场的日常监督管理工作，开展行政检查和行政执法，负责新闻出版市场扫黄打非的执法工作。</w:t>
      </w:r>
    </w:p>
    <w:p>
      <w:pPr>
        <w:spacing w:line="360" w:lineRule="auto"/>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2、负责对下放或委托给各乡镇的文化市场综合行政执法事项进行指导、协调与监督。</w:t>
      </w:r>
    </w:p>
    <w:p>
      <w:pPr>
        <w:spacing w:line="360" w:lineRule="auto"/>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3、负责文化市场综合行政执法与刑事司法衔接、移送涉嫌犯罪案件。</w:t>
      </w:r>
    </w:p>
    <w:p>
      <w:pPr>
        <w:spacing w:line="360" w:lineRule="auto"/>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4、协助或配合上级对文化市场重大复杂违法案件、跨县（市、区）文化市场违法案件的查处，组织或配合文化市场联合执法行动，依法查处上级交办、相关部门移交和群众投诉举报的违法案件。</w:t>
      </w:r>
    </w:p>
    <w:p>
      <w:pPr>
        <w:spacing w:line="360" w:lineRule="auto"/>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5、承担上级交办的其他事项。</w:t>
      </w:r>
    </w:p>
    <w:p>
      <w:pPr>
        <w:pStyle w:val="9"/>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（二）机构设置及人员情况</w:t>
      </w:r>
    </w:p>
    <w:p>
      <w:pPr>
        <w:spacing w:before="211" w:line="360" w:lineRule="auto"/>
        <w:ind w:firstLine="640"/>
        <w:jc w:val="both"/>
        <w:rPr>
          <w:rFonts w:ascii="方正黑体_GBK" w:hAnsi="仿宋" w:eastAsia="方正黑体_GBK" w:cs="仿宋"/>
          <w:snapToGrid w:val="0"/>
          <w:color w:val="000000"/>
          <w:sz w:val="32"/>
          <w:szCs w:val="32"/>
          <w:lang w:val="en-US" w:eastAsia="zh-CN" w:bidi="ar-SA"/>
        </w:rPr>
      </w:pPr>
      <w:r>
        <w:rPr>
          <w:rFonts w:hint="eastAsia" w:ascii="仿宋" w:hAnsi="仿宋" w:eastAsia="仿宋" w:cs="仿宋"/>
          <w:sz w:val="32"/>
          <w:szCs w:val="32"/>
          <w:lang w:eastAsia="zh-CN"/>
        </w:rPr>
        <w:t>汨罗市文化市场综合行政执法大队隶属汨罗市文化旅游广电局二级机构，副科级行政支持事业参公单位;共有人员编制数34人，2023年年末实际在职人数24人，退休人数3人，遗属人数3人，停薪留职2人;内设机构包括：办公室、队长室、文化娱乐执法中队、网吧网络执法中队、旅游文物执法中队、出版广电执法中队。</w:t>
      </w:r>
    </w:p>
    <w:p>
      <w:pPr>
        <w:spacing w:line="360" w:lineRule="auto"/>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0"/>
        <w:spacing w:line="360" w:lineRule="auto"/>
        <w:ind w:firstLine="643" w:firstLineChars="200"/>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10"/>
        <w:spacing w:line="360" w:lineRule="auto"/>
        <w:ind w:firstLine="640" w:firstLineChars="200"/>
        <w:rPr>
          <w:rFonts w:ascii="Times New Roman" w:hAnsi="Times New Roman" w:eastAsia="仿宋_GB2312"/>
          <w:kern w:val="0"/>
          <w:sz w:val="32"/>
          <w:szCs w:val="32"/>
          <w:lang w:eastAsia="zh-CN"/>
        </w:rPr>
      </w:pPr>
      <w:r>
        <w:rPr>
          <w:rFonts w:hint="eastAsia" w:ascii="仿宋" w:hAnsi="仿宋" w:eastAsia="仿宋" w:cs="仿宋"/>
          <w:sz w:val="32"/>
          <w:szCs w:val="32"/>
        </w:rPr>
        <w:t>2023年度财政拨款基本支出为296.79万元，其中：人员经费253.84万元，占基本支出的85.53%,主要包括基本工资、津贴补贴、绩效工资、机关事业单位基本养老保险缴费、职工基本医疗保险缴费、其他社会保障缴费、住房公积金、生活补助、奖励金、其他对个人和家庭的补助支出；公用经费42.95万元，占基本支出的14.47%，主要包括主要包括办公费、印刷费、咨询费、邮电费、差旅费、维修（护）费、租赁费、培训费、公务接待费、劳务费、工会经费、其他交通费用、其他商品和服务支出。</w:t>
      </w:r>
    </w:p>
    <w:p>
      <w:pPr>
        <w:pStyle w:val="9"/>
        <w:spacing w:line="360" w:lineRule="auto"/>
        <w:ind w:firstLine="640"/>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r>
        <w:rPr>
          <w:rFonts w:hint="eastAsia" w:ascii="Times New Roman" w:hAnsi="Times New Roman" w:eastAsia="仿宋_GB2312"/>
          <w:sz w:val="32"/>
          <w:szCs w:val="32"/>
          <w:lang w:eastAsia="zh-CN"/>
        </w:rPr>
        <w:t>2023年项目支出年初决算数为0万元，是指单位为完成特定行政工作任务或事业发展目标而发生的支出，包括有关业务工作经费和运行维护经费。</w:t>
      </w:r>
    </w:p>
    <w:p>
      <w:pPr>
        <w:pStyle w:val="9"/>
        <w:spacing w:line="360" w:lineRule="auto"/>
        <w:ind w:firstLine="64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pStyle w:val="9"/>
        <w:spacing w:line="360" w:lineRule="auto"/>
        <w:ind w:firstLine="640"/>
        <w:jc w:val="both"/>
        <w:rPr>
          <w:rFonts w:hint="eastAsia" w:ascii="方正黑体_GBK" w:eastAsia="方正黑体_GBK"/>
          <w:sz w:val="32"/>
          <w:szCs w:val="32"/>
          <w:lang w:eastAsia="zh-CN"/>
        </w:rPr>
      </w:pPr>
      <w:r>
        <w:rPr>
          <w:rFonts w:hint="eastAsia" w:ascii="Times New Roman" w:hAnsi="Times New Roman" w:eastAsia="仿宋_GB2312"/>
          <w:sz w:val="32"/>
          <w:szCs w:val="32"/>
          <w:lang w:eastAsia="zh-CN"/>
        </w:rPr>
        <w:t>2023年度本单位无政府性基金安排的支出。</w:t>
      </w:r>
    </w:p>
    <w:p>
      <w:pPr>
        <w:spacing w:line="600" w:lineRule="exact"/>
        <w:ind w:firstLine="640" w:firstLineChars="200"/>
        <w:jc w:val="both"/>
        <w:rPr>
          <w:rFonts w:ascii="方正黑体_GBK" w:eastAsia="方正黑体_GBK"/>
          <w:kern w:val="0"/>
          <w:sz w:val="32"/>
          <w:szCs w:val="32"/>
          <w:lang w:eastAsia="zh-CN"/>
        </w:rPr>
      </w:pPr>
    </w:p>
    <w:p>
      <w:pPr>
        <w:pStyle w:val="9"/>
        <w:numPr>
          <w:ilvl w:val="0"/>
          <w:numId w:val="2"/>
        </w:numPr>
        <w:spacing w:line="360" w:lineRule="auto"/>
        <w:ind w:firstLine="64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pPr>
        <w:pStyle w:val="9"/>
        <w:numPr>
          <w:ilvl w:val="0"/>
          <w:numId w:val="0"/>
        </w:numPr>
        <w:spacing w:line="360" w:lineRule="auto"/>
        <w:ind w:firstLine="640" w:firstLineChars="200"/>
        <w:jc w:val="both"/>
        <w:rPr>
          <w:rFonts w:ascii="方正黑体_GBK" w:eastAsia="方正黑体_GBK"/>
          <w:kern w:val="0"/>
          <w:sz w:val="32"/>
          <w:szCs w:val="32"/>
          <w:lang w:eastAsia="zh-CN"/>
        </w:rPr>
      </w:pPr>
      <w:r>
        <w:rPr>
          <w:rFonts w:hint="eastAsia" w:ascii="Times New Roman" w:hAnsi="Times New Roman" w:eastAsia="仿宋_GB2312"/>
          <w:sz w:val="32"/>
          <w:szCs w:val="32"/>
          <w:lang w:eastAsia="zh-CN"/>
        </w:rPr>
        <w:t>2023年度本单位无国有资本经营安排的支出。</w:t>
      </w:r>
    </w:p>
    <w:p>
      <w:pPr>
        <w:numPr>
          <w:ilvl w:val="0"/>
          <w:numId w:val="2"/>
        </w:numPr>
        <w:spacing w:line="360" w:lineRule="auto"/>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numPr>
          <w:ilvl w:val="0"/>
          <w:numId w:val="0"/>
        </w:numPr>
        <w:spacing w:line="360" w:lineRule="auto"/>
        <w:ind w:leftChars="200" w:firstLine="320" w:firstLineChars="100"/>
        <w:jc w:val="both"/>
        <w:rPr>
          <w:rFonts w:ascii="方正黑体_GBK" w:eastAsia="方正黑体_GBK"/>
          <w:kern w:val="0"/>
          <w:sz w:val="32"/>
          <w:szCs w:val="32"/>
          <w:lang w:eastAsia="zh-CN"/>
        </w:rPr>
      </w:pPr>
      <w:r>
        <w:rPr>
          <w:rFonts w:hint="eastAsia" w:ascii="Times New Roman" w:hAnsi="Times New Roman" w:eastAsia="仿宋_GB2312"/>
          <w:sz w:val="32"/>
          <w:szCs w:val="32"/>
          <w:lang w:eastAsia="zh-CN"/>
        </w:rPr>
        <w:t>2023年度本单位无社会保险基金安排的支出。</w:t>
      </w:r>
    </w:p>
    <w:p>
      <w:pPr>
        <w:spacing w:line="360" w:lineRule="auto"/>
        <w:ind w:firstLine="640" w:firstLineChars="200"/>
        <w:jc w:val="both"/>
        <w:rPr>
          <w:rFonts w:hint="default" w:ascii="方正黑体_GBK" w:eastAsia="方正黑体_GBK"/>
          <w:kern w:val="0"/>
          <w:sz w:val="32"/>
          <w:szCs w:val="32"/>
          <w:lang w:val="en-US" w:eastAsia="zh-CN"/>
        </w:rPr>
      </w:pPr>
      <w:r>
        <w:rPr>
          <w:rFonts w:hint="eastAsia" w:ascii="方正黑体_GBK" w:eastAsia="方正黑体_GBK"/>
          <w:kern w:val="0"/>
          <w:sz w:val="32"/>
          <w:szCs w:val="32"/>
          <w:lang w:eastAsia="zh-CN"/>
        </w:rPr>
        <w:t>六、部门整体支出绩效情况</w:t>
      </w:r>
      <w:r>
        <w:rPr>
          <w:rFonts w:hint="eastAsia" w:ascii="方正黑体_GBK" w:eastAsia="方正黑体_GBK"/>
          <w:kern w:val="0"/>
          <w:sz w:val="32"/>
          <w:szCs w:val="32"/>
          <w:lang w:val="en-US" w:eastAsia="zh-CN"/>
        </w:rPr>
        <w:t xml:space="preserve"> </w:t>
      </w:r>
    </w:p>
    <w:p>
      <w:pPr>
        <w:spacing w:line="360" w:lineRule="auto"/>
        <w:ind w:firstLine="640" w:firstLineChars="200"/>
        <w:rPr>
          <w:rFonts w:hint="eastAsia" w:ascii="仿宋" w:hAnsi="仿宋" w:eastAsia="仿宋" w:cs="仿宋"/>
          <w:sz w:val="32"/>
          <w:szCs w:val="32"/>
          <w:lang w:eastAsia="zh-CN"/>
        </w:rPr>
      </w:pPr>
      <w:bookmarkStart w:id="1" w:name="OLE_LINK3"/>
      <w:r>
        <w:rPr>
          <w:rFonts w:hint="eastAsia" w:ascii="仿宋" w:hAnsi="仿宋" w:eastAsia="仿宋" w:cs="仿宋"/>
          <w:sz w:val="32"/>
          <w:szCs w:val="32"/>
          <w:lang w:eastAsia="zh-CN"/>
        </w:rPr>
        <w:t>2023年，我单位根据上级相关要求部署，以党的十九大、二十大精神和习近平新时期中国特色社会主义思想为指导，全面落实意识形态工作主体责任，加强意识形态工作建设；强化文化旅游市场监管，依法严查文化旅游市场违法经营行为，确保我市文化旅游市场健康有序发展。</w:t>
      </w:r>
    </w:p>
    <w:p>
      <w:pPr>
        <w:spacing w:line="360" w:lineRule="auto"/>
        <w:ind w:firstLine="640"/>
        <w:rPr>
          <w:rFonts w:hint="eastAsia" w:ascii="仿宋" w:hAnsi="仿宋" w:eastAsia="仿宋" w:cs="仿宋"/>
          <w:sz w:val="32"/>
          <w:szCs w:val="32"/>
          <w:lang w:eastAsia="zh-CN"/>
        </w:rPr>
      </w:pPr>
      <w:r>
        <w:rPr>
          <w:rFonts w:hint="eastAsia" w:ascii="仿宋" w:hAnsi="仿宋" w:eastAsia="仿宋" w:cs="仿宋"/>
          <w:b/>
          <w:bCs/>
          <w:sz w:val="32"/>
          <w:szCs w:val="32"/>
          <w:lang w:eastAsia="zh-CN"/>
        </w:rPr>
        <w:t>（一）</w:t>
      </w:r>
      <w:r>
        <w:rPr>
          <w:rFonts w:hint="eastAsia" w:ascii="仿宋" w:hAnsi="仿宋" w:eastAsia="仿宋" w:cs="仿宋"/>
          <w:sz w:val="32"/>
          <w:szCs w:val="32"/>
          <w:lang w:eastAsia="zh-CN"/>
        </w:rPr>
        <w:t>工作开展情况</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文化市场日常监管与执法办案情况。通过日常巡查、“双随机一公开”、各项专项整治行动，（1）是开展了“扫黄打非”集中整治行动。近年来，认真开展了“护苗”、“固边”、“清源”、“净网”、“秋风”等专项整治行动。（2）开展了文化市场未成年保护“利剑”专项整治行动。对全市网吧、歌舞娱乐场所、单子游戏场所等重点领域进行监管，进行专项检查。（3）开展了营业性演出、娱乐市场专项整治行动。重点加强对旅游景区、校园周边、城乡结合部以及居民小区歌舞娱乐场所、游艺娱乐场所监管。严厉打击未经许可擅自从事娱乐场所经营活动、娱乐场所接纳未成年、电子游戏机在国家法定节假日之外向未成年提供的、娱乐场所超时营业的等违法违规行为。（4）开展了“不合理低价游”专项整治行动。（5）开展了“春雷”专项整治行动</w:t>
      </w:r>
      <w:r>
        <w:rPr>
          <w:rFonts w:ascii="仿宋" w:hAnsi="仿宋" w:eastAsia="仿宋" w:cs="仿宋"/>
          <w:sz w:val="32"/>
          <w:szCs w:val="32"/>
          <w:lang w:eastAsia="zh-CN"/>
        </w:rPr>
        <w:t>。（6）电竞酒店等新业态专项整治新行动。重点排查全市网吧</w:t>
      </w:r>
      <w:r>
        <w:rPr>
          <w:rFonts w:hint="eastAsia" w:ascii="仿宋" w:hAnsi="仿宋" w:eastAsia="仿宋" w:cs="仿宋"/>
          <w:sz w:val="32"/>
          <w:szCs w:val="32"/>
          <w:lang w:eastAsia="zh-CN"/>
        </w:rPr>
        <w:t>、</w:t>
      </w:r>
      <w:r>
        <w:rPr>
          <w:rFonts w:ascii="仿宋" w:hAnsi="仿宋" w:eastAsia="仿宋" w:cs="仿宋"/>
          <w:sz w:val="32"/>
          <w:szCs w:val="32"/>
          <w:lang w:eastAsia="zh-CN"/>
        </w:rPr>
        <w:t>娱乐场所</w:t>
      </w:r>
      <w:r>
        <w:rPr>
          <w:rFonts w:hint="eastAsia" w:ascii="仿宋" w:hAnsi="仿宋" w:eastAsia="仿宋" w:cs="仿宋"/>
          <w:sz w:val="32"/>
          <w:szCs w:val="32"/>
          <w:lang w:eastAsia="zh-CN"/>
        </w:rPr>
        <w:t>、</w:t>
      </w:r>
      <w:r>
        <w:rPr>
          <w:rFonts w:ascii="仿宋" w:hAnsi="仿宋" w:eastAsia="仿宋" w:cs="仿宋"/>
          <w:sz w:val="32"/>
          <w:szCs w:val="32"/>
          <w:lang w:eastAsia="zh-CN"/>
        </w:rPr>
        <w:t>图书</w:t>
      </w:r>
      <w:r>
        <w:rPr>
          <w:rFonts w:hint="eastAsia" w:ascii="仿宋" w:hAnsi="仿宋" w:eastAsia="仿宋" w:cs="仿宋"/>
          <w:sz w:val="32"/>
          <w:szCs w:val="32"/>
          <w:lang w:eastAsia="zh-CN"/>
        </w:rPr>
        <w:t>、</w:t>
      </w:r>
      <w:r>
        <w:rPr>
          <w:rFonts w:ascii="仿宋" w:hAnsi="仿宋" w:eastAsia="仿宋" w:cs="仿宋"/>
          <w:sz w:val="32"/>
          <w:szCs w:val="32"/>
          <w:lang w:eastAsia="zh-CN"/>
        </w:rPr>
        <w:t>音像</w:t>
      </w:r>
      <w:r>
        <w:rPr>
          <w:rFonts w:hint="eastAsia" w:ascii="仿宋" w:hAnsi="仿宋" w:eastAsia="仿宋" w:cs="仿宋"/>
          <w:sz w:val="32"/>
          <w:szCs w:val="32"/>
          <w:lang w:eastAsia="zh-CN"/>
        </w:rPr>
        <w:t>、</w:t>
      </w:r>
      <w:r>
        <w:rPr>
          <w:rFonts w:ascii="仿宋" w:hAnsi="仿宋" w:eastAsia="仿宋" w:cs="仿宋"/>
          <w:sz w:val="32"/>
          <w:szCs w:val="32"/>
          <w:lang w:eastAsia="zh-CN"/>
        </w:rPr>
        <w:t>印刷</w:t>
      </w:r>
      <w:r>
        <w:rPr>
          <w:rFonts w:hint="eastAsia" w:ascii="仿宋" w:hAnsi="仿宋" w:eastAsia="仿宋" w:cs="仿宋"/>
          <w:sz w:val="32"/>
          <w:szCs w:val="32"/>
          <w:lang w:eastAsia="zh-CN"/>
        </w:rPr>
        <w:t>、</w:t>
      </w:r>
      <w:r>
        <w:rPr>
          <w:rFonts w:ascii="仿宋" w:hAnsi="仿宋" w:eastAsia="仿宋" w:cs="仿宋"/>
          <w:sz w:val="32"/>
          <w:szCs w:val="32"/>
          <w:lang w:eastAsia="zh-CN"/>
        </w:rPr>
        <w:t>出版行</w:t>
      </w:r>
      <w:r>
        <w:rPr>
          <w:rFonts w:hint="eastAsia" w:ascii="仿宋" w:hAnsi="仿宋" w:eastAsia="仿宋" w:cs="仿宋"/>
          <w:sz w:val="32"/>
          <w:szCs w:val="32"/>
          <w:lang w:eastAsia="zh-CN"/>
        </w:rPr>
        <w:t>。</w:t>
      </w:r>
      <w:r>
        <w:rPr>
          <w:rFonts w:ascii="仿宋" w:hAnsi="仿宋" w:eastAsia="仿宋" w:cs="仿宋"/>
          <w:sz w:val="32"/>
          <w:szCs w:val="32"/>
          <w:lang w:eastAsia="zh-CN"/>
        </w:rPr>
        <w:t>督促文化市场各经营单位严格遵守文化市场法律法规</w:t>
      </w:r>
      <w:r>
        <w:rPr>
          <w:rFonts w:hint="eastAsia" w:ascii="仿宋" w:hAnsi="仿宋" w:eastAsia="仿宋" w:cs="仿宋"/>
          <w:sz w:val="32"/>
          <w:szCs w:val="32"/>
          <w:lang w:eastAsia="zh-CN"/>
        </w:rPr>
        <w:t>，</w:t>
      </w:r>
      <w:r>
        <w:rPr>
          <w:rFonts w:ascii="仿宋" w:hAnsi="仿宋" w:eastAsia="仿宋" w:cs="仿宋"/>
          <w:sz w:val="32"/>
          <w:szCs w:val="32"/>
          <w:lang w:eastAsia="zh-CN"/>
        </w:rPr>
        <w:t>完善并执行安全生产责任制</w:t>
      </w:r>
      <w:r>
        <w:rPr>
          <w:rFonts w:hint="eastAsia" w:ascii="仿宋" w:hAnsi="仿宋" w:eastAsia="仿宋" w:cs="仿宋"/>
          <w:sz w:val="32"/>
          <w:szCs w:val="32"/>
          <w:lang w:eastAsia="zh-CN"/>
        </w:rPr>
        <w:t>。</w:t>
      </w:r>
      <w:r>
        <w:rPr>
          <w:rFonts w:ascii="仿宋" w:hAnsi="仿宋" w:eastAsia="仿宋" w:cs="仿宋"/>
          <w:sz w:val="32"/>
          <w:szCs w:val="32"/>
          <w:lang w:eastAsia="zh-CN"/>
        </w:rPr>
        <w:t>针对在检查中发现的问题</w:t>
      </w:r>
      <w:r>
        <w:rPr>
          <w:rFonts w:hint="eastAsia" w:ascii="仿宋" w:hAnsi="仿宋" w:eastAsia="仿宋" w:cs="仿宋"/>
          <w:sz w:val="32"/>
          <w:szCs w:val="32"/>
          <w:lang w:eastAsia="zh-CN"/>
        </w:rPr>
        <w:t>，</w:t>
      </w:r>
      <w:r>
        <w:rPr>
          <w:rFonts w:ascii="仿宋" w:hAnsi="仿宋" w:eastAsia="仿宋" w:cs="仿宋"/>
          <w:sz w:val="32"/>
          <w:szCs w:val="32"/>
          <w:lang w:eastAsia="zh-CN"/>
        </w:rPr>
        <w:t>文化市场综合执法大队执法人员及时发现问题，并要求立刻整改</w:t>
      </w:r>
      <w:r>
        <w:rPr>
          <w:rFonts w:hint="eastAsia" w:ascii="仿宋" w:hAnsi="仿宋" w:eastAsia="仿宋" w:cs="仿宋"/>
          <w:sz w:val="32"/>
          <w:szCs w:val="32"/>
          <w:lang w:eastAsia="zh-CN"/>
        </w:rPr>
        <w:t>，情节严重的立案处理。2023年度我执法大队汇同相关部门共同开展了联合执法行动2次，共出动了执法人员2650人次，出动执法车辆280余次，检查了文化经营企业1320家次，3家互联网上网服务营业场所违规接纳未成年人4人次的行为和2家书店发行非法出版物行为得到了立案查处；对1家严重违法违规KTV进行取缔；对42家经营企业下达了安全隐患责令整改通知书；查缴了各类非法出版物共计200余件。</w:t>
      </w:r>
    </w:p>
    <w:p>
      <w:pPr>
        <w:spacing w:line="360" w:lineRule="auto"/>
        <w:ind w:left="640"/>
        <w:rPr>
          <w:rFonts w:hint="eastAsia" w:ascii="仿宋" w:hAnsi="仿宋" w:eastAsia="仿宋" w:cs="仿宋"/>
          <w:sz w:val="32"/>
          <w:szCs w:val="32"/>
          <w:lang w:eastAsia="zh-CN"/>
        </w:rPr>
      </w:pPr>
      <w:r>
        <w:rPr>
          <w:rFonts w:hint="eastAsia" w:ascii="仿宋" w:hAnsi="仿宋" w:eastAsia="仿宋" w:cs="仿宋"/>
          <w:sz w:val="32"/>
          <w:szCs w:val="32"/>
          <w:lang w:eastAsia="zh-CN"/>
        </w:rPr>
        <w:t>（二）文化市场安全生产工作。成立了以张靖为组长的文化市场安全生产领导小组，坚持“谁主管谁负责”“谁检查谁负责”的原则，明确安全管理的第一工作任务。将娱乐场所、网吧、营业性演出等场所分包到每个执法中队，每个执法队员，层层落实安全隐患，大排查整治责任制。对文化市场安全隐患排查整治始终坚持重点检查与一般抽查相结合，重点检查场所证照是否齐全，消防是否到位安全。</w:t>
      </w:r>
    </w:p>
    <w:p>
      <w:pPr>
        <w:spacing w:line="360" w:lineRule="auto"/>
        <w:ind w:left="640"/>
        <w:rPr>
          <w:rFonts w:hint="eastAsia" w:eastAsia="仿宋_GB2312"/>
          <w:sz w:val="32"/>
          <w:szCs w:val="32"/>
          <w:lang w:eastAsia="zh-CN"/>
        </w:rPr>
      </w:pPr>
      <w:r>
        <w:rPr>
          <w:rFonts w:hint="eastAsia" w:ascii="仿宋" w:hAnsi="仿宋" w:eastAsia="仿宋" w:cs="仿宋"/>
          <w:sz w:val="32"/>
          <w:szCs w:val="32"/>
          <w:lang w:eastAsia="zh-CN"/>
        </w:rPr>
        <w:t>（三）</w:t>
      </w:r>
      <w:r>
        <w:rPr>
          <w:rFonts w:ascii="仿宋" w:hAnsi="仿宋" w:eastAsia="仿宋" w:cs="仿宋"/>
          <w:sz w:val="32"/>
          <w:szCs w:val="32"/>
          <w:lang w:eastAsia="zh-CN"/>
        </w:rPr>
        <w:t>开展</w:t>
      </w:r>
      <w:r>
        <w:rPr>
          <w:rFonts w:hint="eastAsia" w:ascii="仿宋" w:hAnsi="仿宋" w:eastAsia="仿宋" w:cs="仿宋"/>
          <w:sz w:val="32"/>
          <w:szCs w:val="32"/>
          <w:lang w:eastAsia="zh-CN"/>
        </w:rPr>
        <w:t>“</w:t>
      </w:r>
      <w:r>
        <w:rPr>
          <w:rFonts w:ascii="仿宋" w:hAnsi="仿宋" w:eastAsia="仿宋" w:cs="仿宋"/>
          <w:sz w:val="32"/>
          <w:szCs w:val="32"/>
          <w:lang w:eastAsia="zh-CN"/>
        </w:rPr>
        <w:t>扫黄打非</w:t>
      </w:r>
      <w:r>
        <w:rPr>
          <w:rFonts w:hint="eastAsia" w:ascii="仿宋" w:hAnsi="仿宋" w:eastAsia="仿宋" w:cs="仿宋"/>
          <w:sz w:val="32"/>
          <w:szCs w:val="32"/>
          <w:lang w:eastAsia="zh-CN"/>
        </w:rPr>
        <w:t>”</w:t>
      </w:r>
      <w:r>
        <w:rPr>
          <w:rFonts w:ascii="仿宋" w:hAnsi="仿宋" w:eastAsia="仿宋" w:cs="仿宋"/>
          <w:sz w:val="32"/>
          <w:szCs w:val="32"/>
          <w:lang w:eastAsia="zh-CN"/>
        </w:rPr>
        <w:t>行动</w:t>
      </w:r>
      <w:r>
        <w:rPr>
          <w:rFonts w:hint="eastAsia" w:ascii="仿宋" w:hAnsi="仿宋" w:eastAsia="仿宋" w:cs="仿宋"/>
          <w:sz w:val="32"/>
          <w:szCs w:val="32"/>
          <w:lang w:eastAsia="zh-CN"/>
        </w:rPr>
        <w:t>。</w:t>
      </w:r>
      <w:r>
        <w:rPr>
          <w:rFonts w:ascii="仿宋" w:hAnsi="仿宋" w:eastAsia="仿宋" w:cs="仿宋"/>
          <w:sz w:val="32"/>
          <w:szCs w:val="32"/>
          <w:lang w:eastAsia="zh-CN"/>
        </w:rPr>
        <w:t>加强对印刷复制类。出版物印刷品企业的检查，严厉查处非法</w:t>
      </w:r>
      <w:r>
        <w:rPr>
          <w:rFonts w:hint="eastAsia" w:ascii="仿宋" w:hAnsi="仿宋" w:eastAsia="仿宋" w:cs="仿宋"/>
          <w:sz w:val="32"/>
          <w:szCs w:val="32"/>
          <w:lang w:eastAsia="zh-CN"/>
        </w:rPr>
        <w:t>复制、</w:t>
      </w:r>
      <w:r>
        <w:rPr>
          <w:rFonts w:ascii="仿宋" w:hAnsi="仿宋" w:eastAsia="仿宋" w:cs="仿宋"/>
          <w:sz w:val="32"/>
          <w:szCs w:val="32"/>
          <w:lang w:eastAsia="zh-CN"/>
        </w:rPr>
        <w:t>印刷行为。集中开展对图书</w:t>
      </w:r>
      <w:r>
        <w:rPr>
          <w:rFonts w:hint="eastAsia" w:ascii="仿宋" w:hAnsi="仿宋" w:eastAsia="仿宋" w:cs="仿宋"/>
          <w:sz w:val="32"/>
          <w:szCs w:val="32"/>
          <w:lang w:eastAsia="zh-CN"/>
        </w:rPr>
        <w:t>、</w:t>
      </w:r>
      <w:r>
        <w:rPr>
          <w:rFonts w:ascii="仿宋" w:hAnsi="仿宋" w:eastAsia="仿宋" w:cs="仿宋"/>
          <w:sz w:val="32"/>
          <w:szCs w:val="32"/>
          <w:lang w:eastAsia="zh-CN"/>
        </w:rPr>
        <w:t>音像制品市场等的执法工作，通过现场检查教辅材料</w:t>
      </w:r>
      <w:r>
        <w:rPr>
          <w:rFonts w:hint="eastAsia" w:ascii="仿宋" w:hAnsi="仿宋" w:eastAsia="仿宋" w:cs="仿宋"/>
          <w:sz w:val="32"/>
          <w:szCs w:val="32"/>
          <w:lang w:eastAsia="zh-CN"/>
        </w:rPr>
        <w:t>、</w:t>
      </w:r>
      <w:r>
        <w:rPr>
          <w:rFonts w:ascii="仿宋" w:hAnsi="仿宋" w:eastAsia="仿宋" w:cs="仿宋"/>
          <w:sz w:val="32"/>
          <w:szCs w:val="32"/>
          <w:lang w:eastAsia="zh-CN"/>
        </w:rPr>
        <w:t>音像制品等出版物的经营情况，及时发现并处理违规违法的出版销售企业</w:t>
      </w:r>
      <w:r>
        <w:rPr>
          <w:rFonts w:hint="eastAsia" w:ascii="仿宋" w:hAnsi="仿宋" w:eastAsia="仿宋" w:cs="仿宋"/>
          <w:sz w:val="32"/>
          <w:szCs w:val="32"/>
          <w:lang w:eastAsia="zh-CN"/>
        </w:rPr>
        <w:t>。</w:t>
      </w:r>
      <w:r>
        <w:rPr>
          <w:rFonts w:ascii="仿宋" w:hAnsi="仿宋" w:eastAsia="仿宋" w:cs="仿宋"/>
          <w:sz w:val="32"/>
          <w:szCs w:val="32"/>
          <w:lang w:eastAsia="zh-CN"/>
        </w:rPr>
        <w:t>严厉打击出版物批售企业销售侵权盗版出版物的行为</w:t>
      </w:r>
      <w:r>
        <w:rPr>
          <w:rFonts w:hint="eastAsia" w:ascii="仿宋" w:hAnsi="仿宋" w:eastAsia="仿宋" w:cs="仿宋"/>
          <w:sz w:val="32"/>
          <w:szCs w:val="32"/>
          <w:lang w:eastAsia="zh-CN"/>
        </w:rPr>
        <w:t>。</w:t>
      </w:r>
    </w:p>
    <w:bookmarkEnd w:id="1"/>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sz w:val="32"/>
          <w:szCs w:val="32"/>
          <w:lang w:eastAsia="zh-CN"/>
        </w:rPr>
      </w:pPr>
      <w:bookmarkStart w:id="2" w:name="OLE_LINK2"/>
      <w:r>
        <w:rPr>
          <w:rFonts w:hint="eastAsia" w:ascii="仿宋" w:hAnsi="仿宋" w:eastAsia="仿宋" w:cs="仿宋"/>
          <w:sz w:val="32"/>
          <w:szCs w:val="32"/>
          <w:lang w:eastAsia="zh-CN"/>
        </w:rPr>
        <w:t>1</w:t>
      </w:r>
      <w:r>
        <w:rPr>
          <w:rFonts w:hint="eastAsia" w:eastAsia="仿宋_GB2312"/>
          <w:sz w:val="32"/>
          <w:szCs w:val="32"/>
          <w:lang w:eastAsia="zh-CN"/>
        </w:rPr>
        <w:t>、细化预算编制工作，认真做好预算的编制。严格按照预算编制的相关制度和要求进行预算编制，进一步提高预算编制的科学性、严谨性和可控性。</w:t>
      </w:r>
    </w:p>
    <w:p>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color w:val="0C0C0C"/>
          <w:sz w:val="32"/>
          <w:szCs w:val="32"/>
          <w:shd w:val="clear" w:color="auto" w:fill="FFFFFF"/>
          <w:lang w:eastAsia="zh-CN"/>
        </w:rPr>
        <w:t>执法力量及办案程序需进一步加强；</w:t>
      </w:r>
    </w:p>
    <w:p>
      <w:pPr>
        <w:spacing w:line="600" w:lineRule="exact"/>
        <w:ind w:firstLine="640" w:firstLineChars="200"/>
        <w:jc w:val="both"/>
        <w:rPr>
          <w:rFonts w:hint="eastAsia" w:eastAsia="仿宋_GB2312"/>
          <w:sz w:val="32"/>
          <w:szCs w:val="32"/>
          <w:lang w:eastAsia="zh-CN"/>
        </w:rPr>
      </w:pPr>
      <w:r>
        <w:rPr>
          <w:rFonts w:hint="eastAsia" w:ascii="仿宋" w:hAnsi="仿宋" w:eastAsia="仿宋" w:cs="仿宋"/>
          <w:sz w:val="32"/>
          <w:szCs w:val="32"/>
          <w:lang w:eastAsia="zh-CN"/>
        </w:rPr>
        <w:t>3</w:t>
      </w:r>
      <w:r>
        <w:rPr>
          <w:rFonts w:hint="eastAsia" w:eastAsia="仿宋_GB2312"/>
          <w:sz w:val="32"/>
          <w:szCs w:val="32"/>
          <w:lang w:eastAsia="zh-CN"/>
        </w:rPr>
        <w:t>、文化市场综合执法办案经费不足，希望加大财政保障和支持力度，对政策性经费支出足额安排预算，保证刚性支出。</w:t>
      </w:r>
    </w:p>
    <w:bookmarkEnd w:id="2"/>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1.加强监督，强化文化旅游市场监管。</w:t>
      </w:r>
    </w:p>
    <w:p>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2.抓好日常监管，增强行业自律。</w:t>
      </w:r>
    </w:p>
    <w:p>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3.扩大宣传，营造全社会共同关心文化市场的良好氛围。</w:t>
      </w:r>
    </w:p>
    <w:p>
      <w:pPr>
        <w:spacing w:line="600" w:lineRule="exact"/>
        <w:ind w:firstLine="640" w:firstLineChars="200"/>
        <w:jc w:val="both"/>
        <w:rPr>
          <w:rFonts w:ascii="方正黑体_GBK" w:eastAsia="方正黑体_GBK"/>
          <w:kern w:val="0"/>
          <w:sz w:val="32"/>
          <w:szCs w:val="32"/>
          <w:lang w:eastAsia="zh-CN"/>
        </w:rPr>
      </w:pPr>
      <w:r>
        <w:rPr>
          <w:rFonts w:hint="eastAsia" w:ascii="仿宋" w:hAnsi="仿宋" w:eastAsia="仿宋" w:cs="仿宋"/>
          <w:sz w:val="32"/>
          <w:szCs w:val="32"/>
          <w:lang w:eastAsia="zh-CN"/>
        </w:rPr>
        <w:t>4.</w:t>
      </w:r>
      <w:r>
        <w:rPr>
          <w:rFonts w:hint="eastAsia" w:ascii="仿宋" w:hAnsi="仿宋" w:eastAsia="仿宋" w:cs="仿宋"/>
          <w:color w:val="0C0C0C"/>
          <w:sz w:val="32"/>
          <w:szCs w:val="32"/>
          <w:shd w:val="clear" w:color="auto" w:fill="FFFFFF"/>
          <w:lang w:eastAsia="zh-CN"/>
        </w:rPr>
        <w:t>提高绩效指标设置的准确性，提高文旅市场执法工作的满意度。</w:t>
      </w:r>
    </w:p>
    <w:p>
      <w:pPr>
        <w:spacing w:line="360" w:lineRule="auto"/>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360" w:lineRule="auto"/>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仿宋" w:hAnsi="仿宋" w:eastAsia="仿宋" w:cs="仿宋"/>
          <w:kern w:val="0"/>
          <w:sz w:val="32"/>
          <w:szCs w:val="32"/>
          <w:lang w:val="en-US" w:eastAsia="zh-CN"/>
        </w:rPr>
        <w:t>2023年</w:t>
      </w:r>
      <w:r>
        <w:rPr>
          <w:rFonts w:hint="eastAsia" w:ascii="Times New Roman" w:hAnsi="Times New Roman" w:eastAsia="仿宋_GB2312" w:cs="仿宋_GB2312"/>
          <w:color w:val="000000"/>
          <w:sz w:val="32"/>
          <w:szCs w:val="32"/>
          <w:lang w:val="en-US" w:eastAsia="zh-CN"/>
        </w:rPr>
        <w:t>度我单位努力做好财政预算收入、支出以及各项目的管理工作，将预算及时公开到相关的信息网络平台，并在执行过程中积极对执行情况进行监控，对预算的资金进行全方位的监督和管理，使每一笔资金都能起到最大的使用效益。结合我单位实际情况合理分配资金、提升资金的产出效果、节约成本与资源、提高部门的办事效率的目的。在部门预算整体支出绩效方面都按规定严格执行，合理安排支出，使财政资金发挥出最大的效益。</w:t>
      </w:r>
    </w:p>
    <w:p>
      <w:pPr>
        <w:spacing w:line="360" w:lineRule="auto"/>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本年度部门整体目标绩效完成情况良好。</w:t>
      </w:r>
    </w:p>
    <w:p>
      <w:pPr>
        <w:spacing w:line="360" w:lineRule="auto"/>
        <w:ind w:firstLine="640" w:firstLineChars="200"/>
        <w:jc w:val="both"/>
        <w:rPr>
          <w:rFonts w:hint="eastAsia" w:ascii="仿宋" w:hAnsi="仿宋" w:eastAsia="仿宋" w:cs="仿宋"/>
          <w:color w:val="000000"/>
          <w:sz w:val="32"/>
          <w:szCs w:val="32"/>
          <w:lang w:val="en-US" w:eastAsia="zh-CN"/>
        </w:rPr>
      </w:pPr>
      <w:r>
        <w:rPr>
          <w:rFonts w:hint="eastAsia" w:ascii="Times New Roman" w:hAnsi="Times New Roman" w:eastAsia="仿宋_GB2312" w:cs="仿宋_GB2312"/>
          <w:color w:val="000000"/>
          <w:sz w:val="32"/>
          <w:szCs w:val="32"/>
          <w:lang w:val="en-US" w:eastAsia="zh-CN"/>
        </w:rPr>
        <w:t>（一</w:t>
      </w:r>
      <w:r>
        <w:rPr>
          <w:rFonts w:hint="eastAsia" w:ascii="仿宋" w:hAnsi="仿宋" w:eastAsia="仿宋" w:cs="仿宋"/>
          <w:color w:val="000000"/>
          <w:sz w:val="32"/>
          <w:szCs w:val="32"/>
          <w:lang w:val="en-US" w:eastAsia="zh-CN"/>
        </w:rPr>
        <w:t>）产出指标</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1、数量指标达到以下目标：</w:t>
      </w:r>
      <w:r>
        <w:rPr>
          <w:rFonts w:hint="eastAsia" w:ascii="仿宋" w:hAnsi="仿宋" w:eastAsia="仿宋" w:cs="仿宋"/>
          <w:kern w:val="0"/>
          <w:sz w:val="32"/>
          <w:szCs w:val="32"/>
        </w:rPr>
        <w:t>完成上级文化执法部门规定的行政检查次数及办结案</w:t>
      </w:r>
      <w:r>
        <w:rPr>
          <w:rFonts w:hint="eastAsia" w:ascii="仿宋" w:hAnsi="仿宋" w:eastAsia="仿宋" w:cs="仿宋"/>
          <w:kern w:val="0"/>
          <w:sz w:val="32"/>
          <w:szCs w:val="32"/>
          <w:lang w:eastAsia="zh-CN"/>
        </w:rPr>
        <w:t>，</w:t>
      </w:r>
      <w:r>
        <w:rPr>
          <w:rFonts w:hint="eastAsia" w:ascii="仿宋" w:hAnsi="仿宋" w:eastAsia="仿宋" w:cs="仿宋"/>
          <w:sz w:val="32"/>
          <w:szCs w:val="32"/>
          <w:lang w:eastAsia="zh-CN"/>
        </w:rPr>
        <w:t>2023年度我</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汇同相关部门共同开展了联合执法行动2次，共出动了执法人员2650人次，出动执法车辆280余次，检查了文化经营企业1320家次，3家互联网上网服务营业场所违规接纳未成年人4人次的行为和2家书店发行非法出版物行为得到了立案查处；对1家严重违法违规KTV进行取缔；对42家经营企业下达了安全隐患责令整改通知书；查缴了各类非法出版物共计200余件。</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2、质量指标达到以下目标：市场巡查及办案过程中确保</w:t>
      </w:r>
      <w:r>
        <w:rPr>
          <w:rFonts w:hint="eastAsia" w:ascii="仿宋_GB2312" w:eastAsia="仿宋_GB2312"/>
          <w:kern w:val="0"/>
          <w:sz w:val="32"/>
          <w:szCs w:val="32"/>
          <w:lang w:val="en-US" w:eastAsia="zh-CN"/>
        </w:rPr>
        <w:t>依法依规依程序办理。</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3、时效指标达到以下目标：</w:t>
      </w:r>
      <w:r>
        <w:rPr>
          <w:rFonts w:hint="eastAsia" w:ascii="仿宋_GB2312" w:eastAsia="仿宋_GB2312"/>
          <w:kern w:val="0"/>
          <w:sz w:val="32"/>
          <w:szCs w:val="32"/>
        </w:rPr>
        <w:t>按上级文化主管部门规定进行，</w:t>
      </w:r>
      <w:r>
        <w:rPr>
          <w:rFonts w:hint="eastAsia" w:ascii="仿宋_GB2312" w:eastAsia="仿宋_GB2312"/>
          <w:kern w:val="0"/>
          <w:sz w:val="32"/>
          <w:szCs w:val="32"/>
          <w:lang w:val="en-US" w:eastAsia="zh-CN"/>
        </w:rPr>
        <w:t>2023年12月底</w:t>
      </w:r>
      <w:r>
        <w:rPr>
          <w:rFonts w:hint="eastAsia" w:ascii="仿宋_GB2312" w:eastAsia="仿宋_GB2312"/>
          <w:kern w:val="0"/>
          <w:sz w:val="32"/>
          <w:szCs w:val="32"/>
        </w:rPr>
        <w:t>全面完成目标任务。</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（二）效益指标</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1、经济效益指标达到以下目标：</w:t>
      </w:r>
      <w:r>
        <w:rPr>
          <w:rFonts w:hint="eastAsia" w:ascii="仿宋_GB2312" w:eastAsia="仿宋_GB2312"/>
          <w:kern w:val="0"/>
          <w:sz w:val="32"/>
          <w:szCs w:val="32"/>
        </w:rPr>
        <w:t>引导文化市场</w:t>
      </w:r>
      <w:r>
        <w:rPr>
          <w:rFonts w:hint="eastAsia" w:ascii="仿宋_GB2312" w:eastAsia="仿宋_GB2312"/>
          <w:kern w:val="0"/>
          <w:sz w:val="32"/>
          <w:szCs w:val="32"/>
          <w:lang w:val="en-US" w:eastAsia="zh-CN"/>
        </w:rPr>
        <w:t>安全</w:t>
      </w:r>
      <w:r>
        <w:rPr>
          <w:rFonts w:hint="eastAsia" w:ascii="仿宋_GB2312" w:eastAsia="仿宋_GB2312"/>
          <w:kern w:val="0"/>
          <w:sz w:val="32"/>
          <w:szCs w:val="32"/>
        </w:rPr>
        <w:t>有序发展，提升第三产业在经济发展中的比重。</w:t>
      </w:r>
    </w:p>
    <w:p>
      <w:pPr>
        <w:spacing w:line="600" w:lineRule="exact"/>
        <w:ind w:firstLine="640" w:firstLineChars="200"/>
        <w:jc w:val="both"/>
        <w:rPr>
          <w:rFonts w:hint="eastAsia" w:ascii="仿宋" w:hAnsi="仿宋" w:eastAsia="仿宋" w:cs="仿宋"/>
          <w:sz w:val="32"/>
          <w:szCs w:val="32"/>
          <w:lang w:eastAsia="zh-CN"/>
        </w:rPr>
      </w:pPr>
      <w:r>
        <w:rPr>
          <w:rFonts w:hint="eastAsia" w:ascii="Times New Roman" w:hAnsi="Times New Roman" w:eastAsia="仿宋_GB2312" w:cs="仿宋_GB2312"/>
          <w:color w:val="000000"/>
          <w:sz w:val="32"/>
          <w:szCs w:val="32"/>
          <w:lang w:val="en-US" w:eastAsia="zh-CN"/>
        </w:rPr>
        <w:t>2、社会效益指标达到以下目标：</w:t>
      </w:r>
      <w:r>
        <w:rPr>
          <w:rFonts w:hint="eastAsia" w:ascii="仿宋" w:hAnsi="仿宋" w:eastAsia="仿宋" w:cs="仿宋"/>
          <w:sz w:val="32"/>
          <w:szCs w:val="32"/>
          <w:lang w:eastAsia="zh-CN"/>
        </w:rPr>
        <w:t>确保全市文化市场安全有序发展，意识形态更加稳定。</w:t>
      </w:r>
    </w:p>
    <w:p>
      <w:pPr>
        <w:spacing w:line="600" w:lineRule="exact"/>
        <w:ind w:firstLine="640" w:firstLineChars="200"/>
        <w:jc w:val="both"/>
        <w:rPr>
          <w:rFonts w:hint="eastAsia" w:ascii="仿宋_GB2312" w:eastAsia="仿宋_GB2312"/>
          <w:kern w:val="0"/>
          <w:sz w:val="32"/>
          <w:szCs w:val="32"/>
        </w:rPr>
      </w:pPr>
      <w:r>
        <w:rPr>
          <w:rFonts w:hint="eastAsia" w:ascii="Times New Roman" w:hAnsi="Times New Roman" w:eastAsia="仿宋_GB2312" w:cs="仿宋_GB2312"/>
          <w:color w:val="000000"/>
          <w:sz w:val="32"/>
          <w:szCs w:val="32"/>
          <w:lang w:val="en-US" w:eastAsia="zh-CN"/>
        </w:rPr>
        <w:t>3、生态效益指标达到以下目标：</w:t>
      </w:r>
      <w:r>
        <w:rPr>
          <w:rFonts w:hint="eastAsia" w:ascii="仿宋_GB2312" w:eastAsia="仿宋_GB2312"/>
          <w:sz w:val="32"/>
          <w:szCs w:val="32"/>
          <w:lang w:eastAsia="zh-CN"/>
        </w:rPr>
        <w:t>为广大市民创造一个健康无毒、绿色、阳光的文化市场环境。</w:t>
      </w:r>
    </w:p>
    <w:p>
      <w:pPr>
        <w:spacing w:line="600" w:lineRule="exact"/>
        <w:ind w:firstLine="640" w:firstLineChars="200"/>
        <w:jc w:val="both"/>
        <w:rPr>
          <w:rFonts w:hint="eastAsia" w:ascii="仿宋_GB2312" w:eastAsia="仿宋_GB2312"/>
          <w:sz w:val="32"/>
          <w:szCs w:val="32"/>
          <w:lang w:eastAsia="zh-CN"/>
        </w:rPr>
      </w:pPr>
      <w:r>
        <w:rPr>
          <w:rFonts w:hint="eastAsia" w:ascii="Times New Roman" w:hAnsi="Times New Roman" w:eastAsia="仿宋_GB2312" w:cs="仿宋_GB2312"/>
          <w:color w:val="000000"/>
          <w:sz w:val="32"/>
          <w:szCs w:val="32"/>
          <w:lang w:val="en-US" w:eastAsia="zh-CN"/>
        </w:rPr>
        <w:t>4、可持续影响指标达到以下目标：提升</w:t>
      </w:r>
      <w:r>
        <w:rPr>
          <w:rFonts w:hint="eastAsia" w:ascii="仿宋_GB2312" w:eastAsia="仿宋_GB2312"/>
          <w:sz w:val="32"/>
          <w:szCs w:val="32"/>
          <w:lang w:eastAsia="zh-CN"/>
        </w:rPr>
        <w:t>文化执法工作公众知晓度 ，积极推动文化市场创新，为文化市场发展提供新的增长点。</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（三）满意度指标</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服务对象满意度指标达到以下目标：</w:t>
      </w:r>
      <w:r>
        <w:rPr>
          <w:rFonts w:hint="eastAsia" w:ascii="仿宋_GB2312" w:eastAsia="仿宋_GB2312"/>
          <w:kern w:val="0"/>
          <w:sz w:val="32"/>
          <w:szCs w:val="32"/>
        </w:rPr>
        <w:t>及时解决广大市民关注关心的文化市场管理问题，积极服务群众</w:t>
      </w:r>
      <w:r>
        <w:rPr>
          <w:rFonts w:hint="eastAsia" w:ascii="仿宋_GB2312" w:eastAsia="仿宋_GB2312"/>
          <w:kern w:val="0"/>
          <w:sz w:val="32"/>
          <w:szCs w:val="32"/>
          <w:lang w:eastAsia="zh-CN"/>
        </w:rPr>
        <w:t>，</w:t>
      </w:r>
      <w:r>
        <w:rPr>
          <w:rFonts w:hint="eastAsia" w:ascii="Times New Roman" w:hAnsi="Times New Roman" w:eastAsia="仿宋_GB2312" w:cs="仿宋_GB2312"/>
          <w:color w:val="000000"/>
          <w:sz w:val="32"/>
          <w:szCs w:val="32"/>
          <w:lang w:val="en-US" w:eastAsia="zh-CN"/>
        </w:rPr>
        <w:t>满意度大于98%。</w:t>
      </w:r>
    </w:p>
    <w:p>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（四）成本指标</w:t>
      </w:r>
    </w:p>
    <w:p>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经济成本指标达到以下目标：厉行节约，经济成本严格控制在预算范围内。</w:t>
      </w:r>
    </w:p>
    <w:p>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社会成本指标达到以下目标：对社会发展可能造成的负面影响无。</w:t>
      </w:r>
    </w:p>
    <w:p>
      <w:pPr>
        <w:spacing w:line="600" w:lineRule="exact"/>
        <w:ind w:firstLine="640" w:firstLineChars="200"/>
        <w:jc w:val="both"/>
        <w:rPr>
          <w:rFonts w:ascii="方正黑体_GBK" w:eastAsia="方正黑体_GBK"/>
          <w:sz w:val="32"/>
          <w:szCs w:val="32"/>
          <w:lang w:eastAsia="zh-CN"/>
        </w:rPr>
      </w:pPr>
      <w:r>
        <w:rPr>
          <w:rFonts w:hint="eastAsia" w:ascii="Times New Roman" w:hAnsi="Times New Roman" w:eastAsia="仿宋_GB2312" w:cs="仿宋_GB2312"/>
          <w:color w:val="000000"/>
          <w:sz w:val="32"/>
          <w:szCs w:val="32"/>
          <w:lang w:val="en-US" w:eastAsia="zh-CN"/>
        </w:rPr>
        <w:t>生态环境成本指标：对自然生态环境造成的负面影响无。</w:t>
      </w:r>
    </w:p>
    <w:p>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sz w:val="32"/>
          <w:szCs w:val="32"/>
          <w:lang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38AA6"/>
    <w:multiLevelType w:val="singleLevel"/>
    <w:tmpl w:val="29238AA6"/>
    <w:lvl w:ilvl="0" w:tentative="0">
      <w:start w:val="1"/>
      <w:numFmt w:val="chineseCounting"/>
      <w:suff w:val="nothing"/>
      <w:lvlText w:val="%1、"/>
      <w:lvlJc w:val="left"/>
      <w:rPr>
        <w:rFonts w:hint="eastAsia"/>
      </w:rPr>
    </w:lvl>
  </w:abstractNum>
  <w:abstractNum w:abstractNumId="1">
    <w:nsid w:val="5FC3D69F"/>
    <w:multiLevelType w:val="singleLevel"/>
    <w:tmpl w:val="5FC3D69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Q2NTc2YWU4ZTIwNjg1Y2M1YzU3ZTk2ZjljYjFkNjEifQ=="/>
    <w:docVar w:name="KSO_WPS_MARK_KEY" w:val="51df4231-a443-45c5-b587-c34b79c6c3e8"/>
  </w:docVars>
  <w:rsids>
    <w:rsidRoot w:val="00000000"/>
    <w:rsid w:val="004C0647"/>
    <w:rsid w:val="01AF3811"/>
    <w:rsid w:val="03795BF7"/>
    <w:rsid w:val="086E756B"/>
    <w:rsid w:val="0ACF37E5"/>
    <w:rsid w:val="0B400BC6"/>
    <w:rsid w:val="0E68228D"/>
    <w:rsid w:val="0EA6787F"/>
    <w:rsid w:val="15276E52"/>
    <w:rsid w:val="16FA2423"/>
    <w:rsid w:val="17953476"/>
    <w:rsid w:val="19D32FBC"/>
    <w:rsid w:val="1E6A4395"/>
    <w:rsid w:val="22421347"/>
    <w:rsid w:val="229C43E2"/>
    <w:rsid w:val="25557A3D"/>
    <w:rsid w:val="26BB3CAD"/>
    <w:rsid w:val="26EA5ED7"/>
    <w:rsid w:val="27A93B82"/>
    <w:rsid w:val="2AE00186"/>
    <w:rsid w:val="2B3109E2"/>
    <w:rsid w:val="308216BE"/>
    <w:rsid w:val="311443EA"/>
    <w:rsid w:val="342B5DA2"/>
    <w:rsid w:val="34FE1149"/>
    <w:rsid w:val="3A550786"/>
    <w:rsid w:val="3B7A130F"/>
    <w:rsid w:val="46B34549"/>
    <w:rsid w:val="494A1329"/>
    <w:rsid w:val="4E960990"/>
    <w:rsid w:val="4F8B6063"/>
    <w:rsid w:val="52FA3F96"/>
    <w:rsid w:val="55850F17"/>
    <w:rsid w:val="57AE6D93"/>
    <w:rsid w:val="5FB623A7"/>
    <w:rsid w:val="6E3851B0"/>
    <w:rsid w:val="784167CA"/>
    <w:rsid w:val="7A97023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5788</Words>
  <Characters>6177</Characters>
  <TotalTime>2840</TotalTime>
  <ScaleCrop>false</ScaleCrop>
  <LinksUpToDate>false</LinksUpToDate>
  <CharactersWithSpaces>6328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2024-10-18T07:54:33Z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2052-11.1.0.12763</vt:lpwstr>
  </property>
  <property fmtid="{D5CDD505-2E9C-101B-9397-08002B2CF9AE}" pid="6" name="ICV">
    <vt:lpwstr>A1E9AC54BF58440288AD196632C2A254_12</vt:lpwstr>
  </property>
</Properties>
</file>