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top"/>
          </w:tcPr>
          <w:p w14:paraId="4056B26D">
            <w:pPr>
              <w:pStyle w:val="8"/>
              <w:spacing w:before="165" w:line="183" w:lineRule="auto"/>
              <w:ind w:left="1022" w:left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2039" w:type="dxa"/>
            <w:gridSpan w:val="2"/>
            <w:vAlign w:val="top"/>
          </w:tcPr>
          <w:p w14:paraId="1D47B169">
            <w:pPr>
              <w:pStyle w:val="8"/>
              <w:spacing w:before="166" w:line="182" w:lineRule="auto"/>
              <w:ind w:left="1305" w:left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983" w:type="dxa"/>
            <w:gridSpan w:val="2"/>
            <w:vAlign w:val="top"/>
          </w:tcPr>
          <w:p w14:paraId="06F2846E">
            <w:pPr>
              <w:pStyle w:val="8"/>
              <w:spacing w:before="165" w:line="183" w:lineRule="auto"/>
              <w:ind w:left="778" w:leftChars="0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83.33%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top"/>
          </w:tcPr>
          <w:p w14:paraId="1C1EF02E">
            <w:pPr>
              <w:pStyle w:val="8"/>
              <w:spacing w:before="236" w:line="183" w:lineRule="auto"/>
              <w:ind w:left="1022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1D6514EA">
            <w:pPr>
              <w:pStyle w:val="8"/>
              <w:tabs>
                <w:tab w:val="left" w:pos="898"/>
              </w:tabs>
              <w:spacing w:before="236" w:line="183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0.5</w:t>
            </w:r>
          </w:p>
        </w:tc>
        <w:tc>
          <w:tcPr>
            <w:tcW w:w="1983" w:type="dxa"/>
            <w:gridSpan w:val="2"/>
            <w:vAlign w:val="top"/>
          </w:tcPr>
          <w:p w14:paraId="7DFA6482">
            <w:pPr>
              <w:pStyle w:val="8"/>
              <w:spacing w:before="236" w:line="183" w:lineRule="auto"/>
              <w:ind w:left="105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top"/>
          </w:tcPr>
          <w:p w14:paraId="2BB3E60E">
            <w:pPr>
              <w:pStyle w:val="8"/>
              <w:spacing w:before="256" w:line="183" w:lineRule="auto"/>
              <w:ind w:left="1022" w:left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 w14:paraId="7474BB6E">
            <w:pPr>
              <w:pStyle w:val="8"/>
              <w:spacing w:before="256" w:line="183" w:lineRule="auto"/>
              <w:ind w:left="1305" w:leftChars="0"/>
              <w:jc w:val="both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top"/>
          </w:tcPr>
          <w:p w14:paraId="71BD7494">
            <w:pPr>
              <w:pStyle w:val="8"/>
              <w:spacing w:before="256" w:line="183" w:lineRule="auto"/>
              <w:ind w:left="1058" w:leftChars="0"/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top"/>
          </w:tcPr>
          <w:p w14:paraId="31BDC46A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79420B7F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0A161583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top"/>
          </w:tcPr>
          <w:p w14:paraId="6581D34A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4D0A1ED9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5A740743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top"/>
          </w:tcPr>
          <w:p w14:paraId="6F82C849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402D38BC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0229920A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top"/>
          </w:tcPr>
          <w:p w14:paraId="23AA2EC5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672289AD">
            <w:pPr>
              <w:pStyle w:val="8"/>
              <w:spacing w:before="229" w:line="183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0.5</w:t>
            </w:r>
          </w:p>
        </w:tc>
        <w:tc>
          <w:tcPr>
            <w:tcW w:w="1983" w:type="dxa"/>
            <w:gridSpan w:val="2"/>
            <w:vAlign w:val="top"/>
          </w:tcPr>
          <w:p w14:paraId="7985B411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top"/>
          </w:tcPr>
          <w:p w14:paraId="6B7C6FFA">
            <w:pPr>
              <w:pStyle w:val="8"/>
              <w:spacing w:before="239" w:line="183" w:lineRule="auto"/>
              <w:ind w:left="1022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56A401C1">
            <w:pPr>
              <w:pStyle w:val="8"/>
              <w:spacing w:before="239" w:line="183" w:lineRule="auto"/>
              <w:ind w:left="1305" w:leftChars="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7E496EB6">
            <w:pPr>
              <w:pStyle w:val="8"/>
              <w:spacing w:before="239" w:line="183" w:lineRule="auto"/>
              <w:ind w:left="105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top"/>
          </w:tcPr>
          <w:p w14:paraId="5C6C607C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142DDA3A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2E8DC00D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top"/>
          </w:tcPr>
          <w:p w14:paraId="7757DF50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31C696EB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1F7D72B8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top"/>
          </w:tcPr>
          <w:p w14:paraId="482AEA10">
            <w:pPr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 w14:paraId="18F75CDE">
            <w:pPr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top"/>
          </w:tcPr>
          <w:p w14:paraId="4D19413F">
            <w:pPr>
              <w:jc w:val="left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top"/>
          </w:tcPr>
          <w:p w14:paraId="4A5B86CE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050E075D">
            <w:pPr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983" w:type="dxa"/>
            <w:gridSpan w:val="2"/>
            <w:vAlign w:val="top"/>
          </w:tcPr>
          <w:p w14:paraId="7357305D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top"/>
          </w:tcPr>
          <w:p w14:paraId="2C631A9B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7BB02F1D">
            <w:pPr>
              <w:pStyle w:val="8"/>
              <w:spacing w:before="242" w:line="183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0.5</w:t>
            </w:r>
          </w:p>
        </w:tc>
        <w:tc>
          <w:tcPr>
            <w:tcW w:w="1983" w:type="dxa"/>
            <w:gridSpan w:val="2"/>
            <w:vAlign w:val="top"/>
          </w:tcPr>
          <w:p w14:paraId="087A3549">
            <w:pPr>
              <w:pStyle w:val="8"/>
              <w:spacing w:before="241" w:line="184" w:lineRule="auto"/>
              <w:ind w:left="83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0.142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top"/>
          </w:tcPr>
          <w:p w14:paraId="7BF1871E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31E21FE8">
            <w:pPr>
              <w:pStyle w:val="8"/>
              <w:spacing w:before="231" w:line="184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1.4</w:t>
            </w:r>
          </w:p>
        </w:tc>
        <w:tc>
          <w:tcPr>
            <w:tcW w:w="1983" w:type="dxa"/>
            <w:gridSpan w:val="2"/>
            <w:vAlign w:val="top"/>
          </w:tcPr>
          <w:p w14:paraId="4FD74531">
            <w:pPr>
              <w:pStyle w:val="8"/>
              <w:spacing w:before="231" w:line="184" w:lineRule="auto"/>
              <w:ind w:left="94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1.4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top"/>
          </w:tcPr>
          <w:p w14:paraId="228A6C55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467174B3">
            <w:pPr>
              <w:pStyle w:val="8"/>
              <w:spacing w:before="233" w:line="183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0.5</w:t>
            </w:r>
          </w:p>
        </w:tc>
        <w:tc>
          <w:tcPr>
            <w:tcW w:w="1983" w:type="dxa"/>
            <w:gridSpan w:val="2"/>
            <w:vAlign w:val="top"/>
          </w:tcPr>
          <w:p w14:paraId="550E4F9D">
            <w:pPr>
              <w:pStyle w:val="8"/>
              <w:spacing w:before="233" w:line="183" w:lineRule="auto"/>
              <w:ind w:left="94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0.5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top"/>
          </w:tcPr>
          <w:p w14:paraId="0BB04A1B">
            <w:pPr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2039" w:type="dxa"/>
            <w:gridSpan w:val="2"/>
            <w:vAlign w:val="top"/>
          </w:tcPr>
          <w:p w14:paraId="18AD1802">
            <w:pPr>
              <w:pStyle w:val="8"/>
              <w:spacing w:before="243" w:line="184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10</w:t>
            </w:r>
          </w:p>
        </w:tc>
        <w:tc>
          <w:tcPr>
            <w:tcW w:w="1983" w:type="dxa"/>
            <w:gridSpan w:val="2"/>
            <w:vAlign w:val="top"/>
          </w:tcPr>
          <w:p w14:paraId="4363E711">
            <w:pPr>
              <w:pStyle w:val="8"/>
              <w:spacing w:before="244" w:line="183" w:lineRule="auto"/>
              <w:ind w:left="1058" w:leftChars="0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top"/>
          </w:tcPr>
          <w:p w14:paraId="56E7EB72">
            <w:pPr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 w14:paraId="50A3B14E">
            <w:pPr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top"/>
          </w:tcPr>
          <w:p w14:paraId="5A7B6931">
            <w:pPr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全面贯彻落实党的十八届三中全会精神，建设节约型、绿色机关，树立好“过紧日子”思想。严格遵守中央八项规定，厉行节约。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55D8D2B3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331"/>
        <w:gridCol w:w="1216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tabs>
                <w:tab w:val="left" w:pos="2401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spacing w:val="1"/>
              </w:rPr>
              <w:t>汨罗市文化旅游发展中心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31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16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331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</w:rPr>
              <w:t>53.81</w:t>
            </w:r>
          </w:p>
        </w:tc>
        <w:tc>
          <w:tcPr>
            <w:tcW w:w="1216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</w:rPr>
              <w:t>54.65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</w:rPr>
              <w:t>54.65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54.65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54.65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spacing w:val="-1"/>
              </w:rPr>
              <w:t>建立健全汨罗市文旅招商项目库，招引一批品质高，业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态新，体量大，带动性强的项目和重大文旅企业进入文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旅产业领域。联动景区景点，文旅企业建立新媒体矩阵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。加强文旅宣推。加强文旅宣推。实施走出去战</w:t>
            </w:r>
            <w:r>
              <w:rPr>
                <w:spacing w:val="-5"/>
              </w:rPr>
              <w:t>略，做</w:t>
            </w:r>
            <w:r>
              <w:t xml:space="preserve">  </w:t>
            </w:r>
            <w:r>
              <w:rPr>
                <w:spacing w:val="-1"/>
              </w:rPr>
              <w:t>好旅游营销对外交流。举办好各项文旅活动，促进文旅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消费，提振市场信心。</w:t>
            </w:r>
          </w:p>
        </w:tc>
        <w:tc>
          <w:tcPr>
            <w:tcW w:w="4260" w:type="dxa"/>
            <w:gridSpan w:val="4"/>
            <w:vAlign w:val="center"/>
          </w:tcPr>
          <w:p w14:paraId="2672CE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320" w:lineRule="exact"/>
              <w:ind w:left="25"/>
              <w:textAlignment w:val="baseline"/>
            </w:pPr>
            <w:r>
              <w:t>一、2023年度特色和亮点工作</w:t>
            </w:r>
          </w:p>
          <w:p w14:paraId="7FC0B5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320" w:lineRule="exact"/>
              <w:ind w:left="25"/>
              <w:textAlignment w:val="baseline"/>
            </w:pPr>
            <w:r>
              <w:rPr>
                <w:rFonts w:hint="eastAsia" w:eastAsia="宋体"/>
                <w:lang w:val="en-US" w:eastAsia="zh-CN"/>
              </w:rPr>
              <w:t>1</w:t>
            </w:r>
            <w:r>
              <w:rPr>
                <w:spacing w:val="-13"/>
              </w:rPr>
              <w:t>.屈子</w:t>
            </w:r>
            <w:r>
              <w:rPr>
                <w:spacing w:val="-12"/>
              </w:rPr>
              <w:t>文化园清廉文化教育基地荣获“清廉湖南红色文旅”优秀阵地，“汨罗廉</w:t>
            </w:r>
            <w:r>
              <w:rPr>
                <w:spacing w:val="-8"/>
              </w:rPr>
              <w:t>洁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教育基地宣传片”荣获优秀内容；</w:t>
            </w:r>
          </w:p>
          <w:p w14:paraId="0CAD4B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320" w:lineRule="exact"/>
              <w:ind w:left="25"/>
              <w:textAlignment w:val="baseline"/>
            </w:pPr>
            <w:r>
              <w:t>2.汨罗江粽子《端午</w:t>
            </w:r>
            <w:r>
              <w:rPr>
                <w:spacing w:val="-17"/>
              </w:rPr>
              <w:t xml:space="preserve"> </w:t>
            </w:r>
            <w:r>
              <w:t>·</w:t>
            </w:r>
            <w:r>
              <w:rPr>
                <w:spacing w:val="-84"/>
              </w:rPr>
              <w:t xml:space="preserve"> </w:t>
            </w:r>
            <w:r>
              <w:t>故事会》荣获全省2023年湖南旅游商品大赛金奖；</w:t>
            </w:r>
          </w:p>
          <w:p w14:paraId="2DDB71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20" w:lineRule="exact"/>
              <w:ind w:left="25"/>
              <w:textAlignment w:val="baseline"/>
            </w:pPr>
            <w:r>
              <w:rPr>
                <w:spacing w:val="-8"/>
              </w:rPr>
              <w:t>3.汨罗长乐甜酒奶茶门店、神鼎山露营基地列入首批湖南文旅消费“新生代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·新</w:t>
            </w:r>
            <w:r>
              <w:t xml:space="preserve"> </w:t>
            </w:r>
            <w:r>
              <w:rPr>
                <w:spacing w:val="16"/>
              </w:rPr>
              <w:t>场景”名单；</w:t>
            </w:r>
          </w:p>
          <w:p w14:paraId="11B156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0" w:lineRule="exact"/>
              <w:ind w:left="25"/>
              <w:textAlignment w:val="baseline"/>
            </w:pPr>
            <w:r>
              <w:rPr>
                <w:spacing w:val="-11"/>
              </w:rPr>
              <w:t>4.汨罗江食品有限公司出品的“汨罗粽子”列入最受消费者喜爱的“湖南旅游名吃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”;</w:t>
            </w:r>
          </w:p>
          <w:p w14:paraId="63B8CF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0" w:lineRule="exact"/>
              <w:ind w:left="25" w:right="8"/>
              <w:jc w:val="both"/>
              <w:textAlignment w:val="baseline"/>
            </w:pPr>
            <w:r>
              <w:t>5.将湖南智峰山旅游管理有限公司、汨罗龙舟旅</w:t>
            </w:r>
            <w:r>
              <w:rPr>
                <w:spacing w:val="-1"/>
              </w:rPr>
              <w:t>行社有限责任公司、汨罗市众</w:t>
            </w:r>
            <w:r>
              <w:t xml:space="preserve"> 杰广告有限公司、湖南吾上文化传媒股份有限公司4家企业列入2023年湖南省</w:t>
            </w:r>
            <w:r>
              <w:rPr>
                <w:spacing w:val="17"/>
              </w:rPr>
              <w:t xml:space="preserve"> </w:t>
            </w:r>
            <w:r>
              <w:t>旅游企业融资担保风险代偿补偿“白名单”。</w:t>
            </w:r>
          </w:p>
          <w:p w14:paraId="059F5A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320" w:lineRule="exact"/>
              <w:ind w:left="25"/>
              <w:textAlignment w:val="baseline"/>
            </w:pPr>
            <w:r>
              <w:rPr>
                <w:spacing w:val="-1"/>
              </w:rPr>
              <w:t>二、2023年主要工作成效</w:t>
            </w:r>
          </w:p>
          <w:p w14:paraId="75E2AF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320" w:lineRule="exact"/>
              <w:ind w:left="25" w:firstLine="437" w:firstLineChars="223"/>
              <w:textAlignment w:val="baseline"/>
            </w:pPr>
            <w:r>
              <w:rPr>
                <w:spacing w:val="-7"/>
              </w:rPr>
              <w:t>一是在文旅活动上造声势。落实好“稳经济、促消费、激活</w:t>
            </w:r>
            <w:r>
              <w:rPr>
                <w:spacing w:val="-8"/>
              </w:rPr>
              <w:t>力”要求，持续开展</w:t>
            </w:r>
            <w:r>
              <w:t xml:space="preserve"> </w:t>
            </w:r>
            <w:r>
              <w:rPr>
                <w:spacing w:val="-1"/>
              </w:rPr>
              <w:t>各类活动，激发汨罗文旅市场活力。</w:t>
            </w:r>
          </w:p>
          <w:p w14:paraId="5FFCE6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20" w:lineRule="exact"/>
              <w:ind w:left="25" w:firstLine="408" w:firstLineChars="200"/>
              <w:textAlignment w:val="baseline"/>
            </w:pPr>
            <w:r>
              <w:rPr>
                <w:spacing w:val="-3"/>
              </w:rPr>
              <w:t>二是在文旅项目上抓引导。把招商引资作为发展汨罗文旅的“一号工程”,大力</w:t>
            </w:r>
            <w:r>
              <w:t xml:space="preserve"> </w:t>
            </w:r>
            <w:r>
              <w:rPr>
                <w:spacing w:val="-1"/>
              </w:rPr>
              <w:t>招商引进。</w:t>
            </w:r>
          </w:p>
          <w:p w14:paraId="4E8188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20" w:lineRule="exact"/>
              <w:ind w:left="25" w:right="4"/>
              <w:textAlignment w:val="baseline"/>
            </w:pPr>
            <w:r>
              <w:t>三是在文旅消费上重创新。注重旅游与文化、旅游与非遗</w:t>
            </w:r>
            <w:r>
              <w:rPr>
                <w:spacing w:val="-1"/>
              </w:rPr>
              <w:t>、旅游与乡村、旅游</w:t>
            </w:r>
            <w:r>
              <w:t xml:space="preserve"> 与体育的结合，致力于发展文旅新业态。</w:t>
            </w:r>
          </w:p>
          <w:p w14:paraId="6B4C45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20" w:lineRule="exact"/>
              <w:ind w:left="25" w:right="13" w:firstLine="422" w:firstLineChars="203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四是在文旅推广上树形象。深化区域推广合作；扎实开展新媒体推广大力加强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对外交流</w:t>
            </w:r>
            <w:r>
              <w:rPr>
                <w:rFonts w:hint="eastAsia" w:eastAsia="宋体"/>
                <w:spacing w:val="-2"/>
                <w:lang w:eastAsia="zh-CN"/>
              </w:rPr>
              <w:t>。</w:t>
            </w:r>
          </w:p>
          <w:p w14:paraId="3D67F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baseline"/>
              <w:rPr>
                <w:rFonts w:ascii="仿宋_GB2312" w:eastAsia="仿宋_GB2312"/>
                <w:kern w:val="0"/>
              </w:rPr>
            </w:pPr>
            <w:r>
              <w:t>五是在遗留问题上保稳定。按照原电影公司</w:t>
            </w:r>
            <w:r>
              <w:rPr>
                <w:spacing w:val="-1"/>
              </w:rPr>
              <w:t>改制安排，配合全市文明创建，投</w:t>
            </w:r>
            <w:r>
              <w:t xml:space="preserve"> 入5万元完成宿舍区危房拆除、围墙修缮；结合巡视</w:t>
            </w:r>
            <w:r>
              <w:rPr>
                <w:spacing w:val="-1"/>
              </w:rPr>
              <w:t>工作，积极稳妥化解农村</w:t>
            </w:r>
            <w:r>
              <w:t xml:space="preserve">  电影放映员、公益电影放映反馈问题。目前，正在筹备对宿舍区改造</w:t>
            </w:r>
            <w:r>
              <w:rPr>
                <w:spacing w:val="-1"/>
              </w:rPr>
              <w:t>工作。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331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16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331" w:type="dxa"/>
            <w:vAlign w:val="center"/>
          </w:tcPr>
          <w:p w14:paraId="785EE4BB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申报规上文化企业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8家以上</w:t>
            </w:r>
          </w:p>
        </w:tc>
        <w:tc>
          <w:tcPr>
            <w:tcW w:w="1216" w:type="dxa"/>
            <w:vAlign w:val="center"/>
          </w:tcPr>
          <w:p w14:paraId="2A374824">
            <w:pPr>
              <w:pStyle w:val="8"/>
              <w:spacing w:before="236" w:line="220" w:lineRule="auto"/>
              <w:ind w:left="233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≥8家</w:t>
            </w:r>
          </w:p>
        </w:tc>
        <w:tc>
          <w:tcPr>
            <w:tcW w:w="1269" w:type="dxa"/>
            <w:vAlign w:val="center"/>
          </w:tcPr>
          <w:p w14:paraId="708D788A">
            <w:pPr>
              <w:pStyle w:val="8"/>
              <w:spacing w:before="236" w:line="220" w:lineRule="auto"/>
              <w:ind w:left="19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10家</w:t>
            </w:r>
          </w:p>
        </w:tc>
        <w:tc>
          <w:tcPr>
            <w:tcW w:w="699" w:type="dxa"/>
            <w:vAlign w:val="center"/>
          </w:tcPr>
          <w:p w14:paraId="567F5E54">
            <w:pPr>
              <w:pStyle w:val="8"/>
              <w:spacing w:before="288" w:line="182" w:lineRule="auto"/>
              <w:ind w:left="20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center"/>
          </w:tcPr>
          <w:p w14:paraId="2717B7C4">
            <w:pPr>
              <w:pStyle w:val="8"/>
              <w:spacing w:before="288" w:line="182" w:lineRule="auto"/>
              <w:ind w:left="2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22F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D8219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18220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31" w:type="dxa"/>
            <w:vAlign w:val="center"/>
          </w:tcPr>
          <w:p w14:paraId="149B508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打造1-2个特色文旅露 营基地项目</w:t>
            </w:r>
          </w:p>
        </w:tc>
        <w:tc>
          <w:tcPr>
            <w:tcW w:w="1216" w:type="dxa"/>
            <w:vAlign w:val="center"/>
          </w:tcPr>
          <w:p w14:paraId="2D0F4A9F">
            <w:pPr>
              <w:pStyle w:val="8"/>
              <w:spacing w:before="217" w:line="219" w:lineRule="auto"/>
              <w:ind w:left="233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≥1个</w:t>
            </w:r>
          </w:p>
        </w:tc>
        <w:tc>
          <w:tcPr>
            <w:tcW w:w="1269" w:type="dxa"/>
            <w:vAlign w:val="center"/>
          </w:tcPr>
          <w:p w14:paraId="7AB67211">
            <w:pPr>
              <w:pStyle w:val="8"/>
              <w:spacing w:before="217" w:line="219" w:lineRule="auto"/>
              <w:ind w:left="244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4个</w:t>
            </w:r>
          </w:p>
        </w:tc>
        <w:tc>
          <w:tcPr>
            <w:tcW w:w="699" w:type="dxa"/>
            <w:vAlign w:val="center"/>
          </w:tcPr>
          <w:p w14:paraId="6626FAF9">
            <w:pPr>
              <w:pStyle w:val="8"/>
              <w:spacing w:before="269" w:line="182" w:lineRule="auto"/>
              <w:ind w:left="20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center"/>
          </w:tcPr>
          <w:p w14:paraId="592A4ACA">
            <w:pPr>
              <w:pStyle w:val="8"/>
              <w:spacing w:before="269" w:line="182" w:lineRule="auto"/>
              <w:ind w:left="2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651F2A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E97BF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31" w:type="dxa"/>
            <w:vAlign w:val="center"/>
          </w:tcPr>
          <w:p w14:paraId="35E485C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力争落地2个招商引资 项 目</w:t>
            </w:r>
          </w:p>
        </w:tc>
        <w:tc>
          <w:tcPr>
            <w:tcW w:w="1216" w:type="dxa"/>
            <w:vAlign w:val="center"/>
          </w:tcPr>
          <w:p w14:paraId="15CE1D7F">
            <w:pPr>
              <w:pStyle w:val="8"/>
              <w:spacing w:before="218" w:line="219" w:lineRule="auto"/>
              <w:ind w:left="233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≥2个</w:t>
            </w:r>
          </w:p>
        </w:tc>
        <w:tc>
          <w:tcPr>
            <w:tcW w:w="1269" w:type="dxa"/>
            <w:vAlign w:val="center"/>
          </w:tcPr>
          <w:p w14:paraId="346D111F">
            <w:pPr>
              <w:pStyle w:val="8"/>
              <w:spacing w:before="218" w:line="219" w:lineRule="auto"/>
              <w:ind w:left="19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10个</w:t>
            </w:r>
          </w:p>
        </w:tc>
        <w:tc>
          <w:tcPr>
            <w:tcW w:w="699" w:type="dxa"/>
            <w:vAlign w:val="center"/>
          </w:tcPr>
          <w:p w14:paraId="4812C5E9">
            <w:pPr>
              <w:pStyle w:val="8"/>
              <w:spacing w:before="270" w:line="182" w:lineRule="auto"/>
              <w:ind w:left="20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pStyle w:val="8"/>
              <w:spacing w:before="270" w:line="182" w:lineRule="auto"/>
              <w:ind w:left="25" w:left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331" w:type="dxa"/>
            <w:vAlign w:val="center"/>
          </w:tcPr>
          <w:p w14:paraId="5FFE2D1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办好2023年国际文化旅游节及相关文旅节</w:t>
            </w:r>
          </w:p>
          <w:p w14:paraId="1B53B0F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会活动</w:t>
            </w:r>
          </w:p>
        </w:tc>
        <w:tc>
          <w:tcPr>
            <w:tcW w:w="1216" w:type="dxa"/>
            <w:vAlign w:val="center"/>
          </w:tcPr>
          <w:p w14:paraId="54694D7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向世界展示汨罗“端午源头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·</w:t>
            </w:r>
            <w:r>
              <w:rPr>
                <w:rFonts w:ascii="仿宋_GB2312" w:eastAsia="仿宋_GB2312"/>
                <w:kern w:val="0"/>
              </w:rPr>
              <w:t>龙舟故里”的独特魅力</w:t>
            </w:r>
          </w:p>
        </w:tc>
        <w:tc>
          <w:tcPr>
            <w:tcW w:w="1269" w:type="dxa"/>
            <w:vAlign w:val="center"/>
          </w:tcPr>
          <w:p w14:paraId="53562B5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29AA8A5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3A91FC2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1AF3B64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6C34E23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04DF166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04E37BB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6E4A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166F20A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31" w:type="dxa"/>
            <w:vAlign w:val="center"/>
          </w:tcPr>
          <w:p w14:paraId="3BA53E08">
            <w:pPr>
              <w:pStyle w:val="8"/>
              <w:spacing w:before="99" w:line="216" w:lineRule="auto"/>
              <w:ind w:right="88" w:right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提升文旅业影响力 、</w:t>
            </w: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竞</w:t>
            </w:r>
            <w: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争力</w:t>
            </w:r>
          </w:p>
        </w:tc>
        <w:tc>
          <w:tcPr>
            <w:tcW w:w="1216" w:type="dxa"/>
            <w:vAlign w:val="center"/>
          </w:tcPr>
          <w:p w14:paraId="33DF5A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  <w:lang w:val="en-US" w:eastAsia="en-US"/>
              </w:rPr>
              <w:t>100%</w:t>
            </w:r>
          </w:p>
        </w:tc>
        <w:tc>
          <w:tcPr>
            <w:tcW w:w="1269" w:type="dxa"/>
            <w:vAlign w:val="center"/>
          </w:tcPr>
          <w:p w14:paraId="4F080A08">
            <w:pPr>
              <w:pStyle w:val="8"/>
              <w:spacing w:before="270" w:line="184" w:lineRule="auto"/>
              <w:ind w:left="204" w:left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100%</w:t>
            </w:r>
          </w:p>
        </w:tc>
        <w:tc>
          <w:tcPr>
            <w:tcW w:w="699" w:type="dxa"/>
            <w:vAlign w:val="center"/>
          </w:tcPr>
          <w:p w14:paraId="155F4AED">
            <w:pPr>
              <w:pStyle w:val="8"/>
              <w:spacing w:before="272" w:line="182" w:lineRule="auto"/>
              <w:ind w:left="205" w:left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pStyle w:val="8"/>
              <w:spacing w:before="272" w:line="182" w:lineRule="auto"/>
              <w:ind w:left="25" w:left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331" w:type="dxa"/>
            <w:vAlign w:val="center"/>
          </w:tcPr>
          <w:p w14:paraId="6C71C9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目标任务完成及时率</w:t>
            </w:r>
          </w:p>
        </w:tc>
        <w:tc>
          <w:tcPr>
            <w:tcW w:w="1216" w:type="dxa"/>
            <w:vAlign w:val="center"/>
          </w:tcPr>
          <w:p w14:paraId="5679278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按时间节点高效完成任务</w:t>
            </w:r>
          </w:p>
        </w:tc>
        <w:tc>
          <w:tcPr>
            <w:tcW w:w="1269" w:type="dxa"/>
            <w:vAlign w:val="center"/>
          </w:tcPr>
          <w:p w14:paraId="788A65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34FD645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448A922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66117E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01347D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1D43B55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7A3949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3C2747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43D858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331" w:type="dxa"/>
            <w:vAlign w:val="center"/>
          </w:tcPr>
          <w:p w14:paraId="3261195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规上文化产业总产值 增长率</w:t>
            </w:r>
          </w:p>
        </w:tc>
        <w:tc>
          <w:tcPr>
            <w:tcW w:w="1216" w:type="dxa"/>
            <w:vAlign w:val="center"/>
          </w:tcPr>
          <w:p w14:paraId="078289F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≥5%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31" w:type="dxa"/>
            <w:vAlign w:val="center"/>
          </w:tcPr>
          <w:p w14:paraId="50A34D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旅游收入增长率</w:t>
            </w:r>
          </w:p>
        </w:tc>
        <w:tc>
          <w:tcPr>
            <w:tcW w:w="1216" w:type="dxa"/>
            <w:vAlign w:val="center"/>
          </w:tcPr>
          <w:p w14:paraId="54DB100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≥10%</w:t>
            </w: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331" w:type="dxa"/>
            <w:vAlign w:val="center"/>
          </w:tcPr>
          <w:p w14:paraId="5D9BC27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培育践行社会主义核 心价值观</w:t>
            </w:r>
          </w:p>
        </w:tc>
        <w:tc>
          <w:tcPr>
            <w:tcW w:w="1216" w:type="dxa"/>
            <w:vAlign w:val="center"/>
          </w:tcPr>
          <w:p w14:paraId="6E8C487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331" w:type="dxa"/>
            <w:vAlign w:val="center"/>
          </w:tcPr>
          <w:p w14:paraId="4DC6068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绿色和发展协调共生</w:t>
            </w:r>
          </w:p>
        </w:tc>
        <w:tc>
          <w:tcPr>
            <w:tcW w:w="1216" w:type="dxa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331" w:type="dxa"/>
            <w:shd w:val="clear"/>
            <w:vAlign w:val="center"/>
          </w:tcPr>
          <w:p w14:paraId="1B548B4C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增加了人民群众的文 化生活品质</w:t>
            </w:r>
          </w:p>
        </w:tc>
        <w:tc>
          <w:tcPr>
            <w:tcW w:w="1216" w:type="dxa"/>
            <w:shd w:val="clear"/>
            <w:vAlign w:val="center"/>
          </w:tcPr>
          <w:p w14:paraId="055B34ED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/>
            <w:vAlign w:val="center"/>
          </w:tcPr>
          <w:p w14:paraId="46B41467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/>
            <w:vAlign w:val="center"/>
          </w:tcPr>
          <w:p w14:paraId="447C4D99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shd w:val="clear"/>
            <w:vAlign w:val="center"/>
          </w:tcPr>
          <w:p w14:paraId="194389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0123C7FC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331" w:type="dxa"/>
            <w:shd w:val="clear"/>
            <w:vAlign w:val="center"/>
          </w:tcPr>
          <w:p w14:paraId="4F2AFDD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服务对 象满意 度指标</w:t>
            </w:r>
          </w:p>
        </w:tc>
        <w:tc>
          <w:tcPr>
            <w:tcW w:w="1216" w:type="dxa"/>
            <w:shd w:val="clear"/>
            <w:vAlign w:val="center"/>
          </w:tcPr>
          <w:p w14:paraId="6D76778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38C4AC85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群众满意度</w:t>
            </w:r>
          </w:p>
        </w:tc>
        <w:tc>
          <w:tcPr>
            <w:tcW w:w="1269" w:type="dxa"/>
            <w:shd w:val="clear"/>
            <w:vAlign w:val="center"/>
          </w:tcPr>
          <w:p w14:paraId="3FA81D5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20B4A865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95%</w:t>
            </w:r>
          </w:p>
        </w:tc>
        <w:tc>
          <w:tcPr>
            <w:tcW w:w="699" w:type="dxa"/>
            <w:shd w:val="clear"/>
            <w:vAlign w:val="center"/>
          </w:tcPr>
          <w:p w14:paraId="2489100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3C5EDA65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100%</w:t>
            </w:r>
          </w:p>
        </w:tc>
        <w:tc>
          <w:tcPr>
            <w:tcW w:w="869" w:type="dxa"/>
            <w:shd w:val="clear"/>
            <w:vAlign w:val="center"/>
          </w:tcPr>
          <w:p w14:paraId="01B970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642BD743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10</w:t>
            </w:r>
          </w:p>
        </w:tc>
        <w:tc>
          <w:tcPr>
            <w:tcW w:w="1423" w:type="dxa"/>
            <w:shd w:val="clear"/>
            <w:vAlign w:val="center"/>
          </w:tcPr>
          <w:p w14:paraId="3EDCC7E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  <w:p w14:paraId="0A6E282B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val="en-US" w:eastAsia="en-US"/>
              </w:rPr>
            </w:pPr>
            <w:r>
              <w:rPr>
                <w:rFonts w:ascii="仿宋_GB2312" w:eastAsia="仿宋_GB2312"/>
                <w:kern w:val="0"/>
              </w:rPr>
              <w:t>10</w:t>
            </w: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331" w:type="dxa"/>
            <w:vAlign w:val="center"/>
          </w:tcPr>
          <w:p w14:paraId="63B7EC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预算成本控制情况</w:t>
            </w:r>
          </w:p>
        </w:tc>
        <w:tc>
          <w:tcPr>
            <w:tcW w:w="1216" w:type="dxa"/>
            <w:vAlign w:val="center"/>
          </w:tcPr>
          <w:p w14:paraId="15ECA8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≤53.81万 元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54.65万 元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8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年中项目调整及相关资金追加</w:t>
            </w: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331" w:type="dxa"/>
            <w:vAlign w:val="center"/>
          </w:tcPr>
          <w:p w14:paraId="4C2510A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资金利用率</w:t>
            </w:r>
          </w:p>
        </w:tc>
        <w:tc>
          <w:tcPr>
            <w:tcW w:w="1216" w:type="dxa"/>
            <w:vAlign w:val="center"/>
          </w:tcPr>
          <w:p w14:paraId="09361E4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53.81万元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54.65万 元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331" w:type="dxa"/>
            <w:vAlign w:val="center"/>
          </w:tcPr>
          <w:p w14:paraId="304051C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对生态环境是否有负 面影响</w:t>
            </w:r>
          </w:p>
        </w:tc>
        <w:tc>
          <w:tcPr>
            <w:tcW w:w="1216" w:type="dxa"/>
            <w:vAlign w:val="center"/>
          </w:tcPr>
          <w:p w14:paraId="789CDCB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无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无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/>
                <w:kern w:val="0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E47177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BCC4A3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6169C5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BB8791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3784AD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D60B2E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8AC08B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74E90FF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80FB7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FBE674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686F4D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0BBF1F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B59694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7DCDAE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0F7EC2EE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2745941B">
      <w:pPr>
        <w:spacing w:before="140" w:line="221" w:lineRule="auto"/>
        <w:ind w:left="159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z w:val="43"/>
          <w:szCs w:val="43"/>
        </w:rPr>
        <w:t>2023年度汨罗市文化旅游发展中心</w:t>
      </w:r>
    </w:p>
    <w:p w14:paraId="489C19CC">
      <w:pPr>
        <w:spacing w:before="189" w:line="222" w:lineRule="auto"/>
        <w:ind w:left="356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7"/>
          <w:sz w:val="43"/>
          <w:szCs w:val="43"/>
        </w:rPr>
        <w:t>部门整体支出</w:t>
      </w:r>
    </w:p>
    <w:p w14:paraId="0ED3FF24">
      <w:pPr>
        <w:spacing w:before="179" w:line="221" w:lineRule="auto"/>
        <w:ind w:left="356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3"/>
          <w:sz w:val="43"/>
          <w:szCs w:val="43"/>
        </w:rPr>
        <w:t>绩效自评报告</w:t>
      </w:r>
    </w:p>
    <w:p w14:paraId="65B04A2D">
      <w:pPr>
        <w:pStyle w:val="2"/>
        <w:spacing w:line="246" w:lineRule="auto"/>
      </w:pPr>
    </w:p>
    <w:p w14:paraId="5694A375">
      <w:pPr>
        <w:pStyle w:val="2"/>
        <w:spacing w:line="246" w:lineRule="auto"/>
      </w:pPr>
    </w:p>
    <w:p w14:paraId="6C702EAE">
      <w:pPr>
        <w:pStyle w:val="2"/>
        <w:spacing w:line="246" w:lineRule="auto"/>
      </w:pPr>
    </w:p>
    <w:p w14:paraId="0D982CD8">
      <w:pPr>
        <w:pStyle w:val="2"/>
        <w:spacing w:line="246" w:lineRule="auto"/>
      </w:pPr>
    </w:p>
    <w:p w14:paraId="7A2B551A">
      <w:pPr>
        <w:pStyle w:val="2"/>
        <w:spacing w:line="246" w:lineRule="auto"/>
      </w:pPr>
    </w:p>
    <w:p w14:paraId="1C0C372F">
      <w:pPr>
        <w:pStyle w:val="2"/>
        <w:spacing w:line="246" w:lineRule="auto"/>
      </w:pPr>
    </w:p>
    <w:p w14:paraId="11BC11EB">
      <w:pPr>
        <w:pStyle w:val="2"/>
        <w:spacing w:line="247" w:lineRule="auto"/>
      </w:pPr>
    </w:p>
    <w:p w14:paraId="39C2D292">
      <w:pPr>
        <w:pStyle w:val="2"/>
        <w:spacing w:line="247" w:lineRule="auto"/>
      </w:pPr>
    </w:p>
    <w:p w14:paraId="005D847D">
      <w:pPr>
        <w:pStyle w:val="2"/>
        <w:spacing w:line="247" w:lineRule="auto"/>
      </w:pPr>
    </w:p>
    <w:p w14:paraId="65612C02">
      <w:pPr>
        <w:pStyle w:val="2"/>
        <w:spacing w:line="247" w:lineRule="auto"/>
      </w:pPr>
    </w:p>
    <w:p w14:paraId="31D3F1B0">
      <w:pPr>
        <w:pStyle w:val="2"/>
        <w:spacing w:line="247" w:lineRule="auto"/>
      </w:pPr>
    </w:p>
    <w:p w14:paraId="6A736720">
      <w:pPr>
        <w:pStyle w:val="2"/>
        <w:spacing w:line="247" w:lineRule="auto"/>
      </w:pPr>
    </w:p>
    <w:p w14:paraId="464C128D">
      <w:pPr>
        <w:pStyle w:val="2"/>
        <w:spacing w:line="247" w:lineRule="auto"/>
      </w:pPr>
    </w:p>
    <w:p w14:paraId="20193255">
      <w:pPr>
        <w:pStyle w:val="2"/>
        <w:spacing w:line="247" w:lineRule="auto"/>
      </w:pPr>
    </w:p>
    <w:p w14:paraId="5DCBC294">
      <w:pPr>
        <w:pStyle w:val="2"/>
        <w:spacing w:line="247" w:lineRule="auto"/>
      </w:pPr>
    </w:p>
    <w:p w14:paraId="40B1D093">
      <w:pPr>
        <w:pStyle w:val="2"/>
        <w:spacing w:line="247" w:lineRule="auto"/>
      </w:pPr>
    </w:p>
    <w:p w14:paraId="219CA431">
      <w:pPr>
        <w:pStyle w:val="2"/>
        <w:spacing w:line="247" w:lineRule="auto"/>
      </w:pPr>
    </w:p>
    <w:p w14:paraId="07F2CCDE">
      <w:pPr>
        <w:spacing w:before="94" w:line="221" w:lineRule="auto"/>
        <w:ind w:left="224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33"/>
          <w:sz w:val="29"/>
          <w:szCs w:val="29"/>
        </w:rPr>
        <w:t>部门(单位)名称：</w:t>
      </w:r>
      <w:r>
        <w:rPr>
          <w:rFonts w:ascii="仿宋" w:hAnsi="仿宋" w:eastAsia="仿宋" w:cs="仿宋"/>
          <w:b/>
          <w:bCs/>
          <w:spacing w:val="-33"/>
          <w:sz w:val="29"/>
          <w:szCs w:val="29"/>
          <w:u w:val="single" w:color="auto"/>
        </w:rPr>
        <w:t>泊罗市文化旅游发展中心</w:t>
      </w:r>
    </w:p>
    <w:p w14:paraId="2D719A4C">
      <w:pPr>
        <w:spacing w:before="256" w:line="222" w:lineRule="auto"/>
        <w:ind w:left="35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2024年5月23日</w:t>
      </w:r>
    </w:p>
    <w:p w14:paraId="77462651">
      <w:pPr>
        <w:spacing w:before="252" w:line="224" w:lineRule="auto"/>
        <w:ind w:left="3559"/>
        <w:rPr>
          <w:rFonts w:hint="eastAsia" w:ascii="黑体" w:hAnsi="黑体" w:eastAsia="仿宋" w:cs="黑体"/>
          <w:sz w:val="23"/>
          <w:szCs w:val="23"/>
          <w:lang w:eastAsia="zh-CN"/>
        </w:rPr>
        <w:sectPr>
          <w:footerReference r:id="rId8" w:type="default"/>
          <w:pgSz w:w="11900" w:h="18120"/>
          <w:pgMar w:top="1540" w:right="830" w:bottom="1" w:left="1785" w:header="0" w:footer="0" w:gutter="0"/>
          <w:cols w:space="720" w:num="1"/>
        </w:sectPr>
      </w:pPr>
      <w:r>
        <w:rPr>
          <w:rFonts w:ascii="仿宋" w:hAnsi="仿宋" w:eastAsia="仿宋" w:cs="仿宋"/>
          <w:b/>
          <w:bCs/>
          <w:spacing w:val="26"/>
          <w:sz w:val="29"/>
          <w:szCs w:val="29"/>
        </w:rPr>
        <w:t>(此页为封</w:t>
      </w:r>
      <w:r>
        <w:rPr>
          <w:rFonts w:hint="eastAsia" w:ascii="仿宋" w:hAnsi="仿宋" w:eastAsia="仿宋" w:cs="仿宋"/>
          <w:b/>
          <w:bCs/>
          <w:spacing w:val="26"/>
          <w:sz w:val="29"/>
          <w:szCs w:val="29"/>
          <w:lang w:eastAsia="zh-CN"/>
        </w:rPr>
        <w:t>面）</w:t>
      </w:r>
    </w:p>
    <w:p w14:paraId="12BD206E">
      <w:pPr>
        <w:spacing w:before="134" w:line="260" w:lineRule="auto"/>
        <w:ind w:right="1741" w:firstLine="2965" w:firstLineChars="700"/>
        <w:jc w:val="both"/>
        <w:rPr>
          <w:rFonts w:ascii="黑体" w:hAnsi="黑体" w:eastAsia="黑体" w:cs="黑体"/>
          <w:spacing w:val="15"/>
          <w:sz w:val="41"/>
          <w:szCs w:val="41"/>
        </w:rPr>
      </w:pPr>
      <w:r>
        <w:rPr>
          <w:rFonts w:ascii="宋体" w:hAnsi="宋体" w:eastAsia="宋体" w:cs="宋体"/>
          <w:b/>
          <w:bCs/>
          <w:spacing w:val="6"/>
          <w:sz w:val="41"/>
          <w:szCs w:val="41"/>
        </w:rPr>
        <w:t>2023</w:t>
      </w:r>
      <w:r>
        <w:rPr>
          <w:rFonts w:ascii="黑体" w:hAnsi="黑体" w:eastAsia="黑体" w:cs="黑体"/>
          <w:b/>
          <w:bCs/>
          <w:spacing w:val="6"/>
          <w:sz w:val="41"/>
          <w:szCs w:val="41"/>
        </w:rPr>
        <w:t>年度汨罗市文化旅游发展中心</w:t>
      </w:r>
    </w:p>
    <w:p w14:paraId="384E4B36">
      <w:pPr>
        <w:spacing w:before="134" w:line="260" w:lineRule="auto"/>
        <w:ind w:right="1741" w:firstLine="4484" w:firstLineChars="1100"/>
        <w:jc w:val="both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2"/>
          <w:sz w:val="41"/>
          <w:szCs w:val="41"/>
        </w:rPr>
        <w:t>部门整体支出绩效</w:t>
      </w:r>
    </w:p>
    <w:p w14:paraId="2FEAE0C3">
      <w:pPr>
        <w:spacing w:before="65" w:line="222" w:lineRule="auto"/>
        <w:ind w:left="4915"/>
        <w:jc w:val="both"/>
        <w:rPr>
          <w:rFonts w:ascii="黑体" w:hAnsi="黑体" w:eastAsia="黑体" w:cs="黑体"/>
          <w:sz w:val="41"/>
          <w:szCs w:val="41"/>
        </w:rPr>
      </w:pP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自</w:t>
      </w:r>
      <w:r>
        <w:rPr>
          <w:rFonts w:ascii="黑体" w:hAnsi="黑体" w:eastAsia="黑体" w:cs="黑体"/>
          <w:spacing w:val="92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评</w:t>
      </w:r>
      <w:r>
        <w:rPr>
          <w:rFonts w:ascii="黑体" w:hAnsi="黑体" w:eastAsia="黑体" w:cs="黑体"/>
          <w:spacing w:val="90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报</w:t>
      </w:r>
      <w:r>
        <w:rPr>
          <w:rFonts w:ascii="黑体" w:hAnsi="黑体" w:eastAsia="黑体" w:cs="黑体"/>
          <w:spacing w:val="100"/>
          <w:sz w:val="41"/>
          <w:szCs w:val="41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41"/>
          <w:szCs w:val="41"/>
        </w:rPr>
        <w:t>告</w:t>
      </w:r>
    </w:p>
    <w:p w14:paraId="5C9F36A8">
      <w:pPr>
        <w:pStyle w:val="2"/>
        <w:spacing w:line="268" w:lineRule="auto"/>
        <w:jc w:val="both"/>
      </w:pPr>
    </w:p>
    <w:p w14:paraId="159E57D3">
      <w:pPr>
        <w:pStyle w:val="2"/>
        <w:spacing w:line="268" w:lineRule="auto"/>
      </w:pPr>
    </w:p>
    <w:p w14:paraId="62B52108">
      <w:pPr>
        <w:pStyle w:val="2"/>
        <w:spacing w:line="268" w:lineRule="auto"/>
      </w:pPr>
    </w:p>
    <w:p w14:paraId="6E5E48E1">
      <w:pPr>
        <w:spacing w:before="97" w:line="222" w:lineRule="auto"/>
        <w:ind w:left="268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一</w:t>
      </w:r>
      <w:r>
        <w:rPr>
          <w:rFonts w:ascii="黑体" w:hAnsi="黑体" w:eastAsia="黑体" w:cs="黑体"/>
          <w:spacing w:val="-7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0"/>
          <w:szCs w:val="30"/>
        </w:rPr>
        <w:t>、部门(单位)基本情况</w:t>
      </w:r>
    </w:p>
    <w:p w14:paraId="235FBF48">
      <w:pPr>
        <w:spacing w:before="199" w:line="222" w:lineRule="auto"/>
        <w:ind w:left="28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(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一)职能职责</w:t>
      </w:r>
    </w:p>
    <w:p w14:paraId="04CC99CB">
      <w:pPr>
        <w:spacing w:before="198" w:line="355" w:lineRule="auto"/>
        <w:ind w:left="2129" w:right="733" w:firstLine="550"/>
        <w:rPr>
          <w:rFonts w:ascii="仿宋" w:hAnsi="仿宋" w:eastAsia="仿宋" w:cs="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1212215</wp:posOffset>
                </wp:positionV>
                <wp:extent cx="184785" cy="25463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87531A">
                            <w:pPr>
                              <w:spacing w:before="19" w:line="222" w:lineRule="auto"/>
                              <w:jc w:val="center"/>
                              <w:rPr>
                                <w:rFonts w:ascii="仿宋" w:hAnsi="仿宋" w:eastAsia="仿宋" w:cs="仿宋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95.45pt;height:20.05pt;width:14.55pt;z-index:251659264;mso-width-relative:page;mso-height-relative:page;" filled="f" stroked="f" coordsize="21600,21600" o:gfxdata="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WovLXYAAAACQEAAA8AAAAAAAAAAQAgAAAAIgAAAGRycy9kb3ducmV2LnhtbFBLAQIU&#10;ABQAAAAIAIdO4kAg+RnWugEAAHE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87531A">
                      <w:pPr>
                        <w:spacing w:before="19" w:line="222" w:lineRule="auto"/>
                        <w:jc w:val="center"/>
                        <w:rPr>
                          <w:rFonts w:ascii="仿宋" w:hAnsi="仿宋" w:eastAsia="仿宋" w:cs="仿宋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pacing w:val="12"/>
          <w:sz w:val="30"/>
          <w:szCs w:val="30"/>
        </w:rPr>
        <w:t>根据岳阳市委办、市政府办《关于印发&lt;岳阳市事业单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位机构改革实施意见(修订稿)&gt;的通知》(岳办发(2019)号)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精神，制定本规定，汩罗市文化旅游发展中心为公益一类事业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单位，隶属汩罗市文化旅游广电局。主要工作职责如下：</w:t>
      </w:r>
    </w:p>
    <w:p w14:paraId="329D8E86">
      <w:pPr>
        <w:spacing w:before="42" w:line="357" w:lineRule="auto"/>
        <w:ind w:left="2129" w:right="996" w:firstLine="55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1.</w:t>
      </w:r>
      <w:r>
        <w:rPr>
          <w:rFonts w:ascii="仿宋" w:hAnsi="仿宋" w:eastAsia="仿宋" w:cs="仿宋"/>
          <w:spacing w:val="4"/>
          <w:sz w:val="30"/>
          <w:szCs w:val="30"/>
        </w:rPr>
        <w:t>负责拟订全市旅游市场开发战略，指导、促进全市文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旅产业相关门类和新型业态的发展。</w:t>
      </w:r>
    </w:p>
    <w:p w14:paraId="20FE2C47">
      <w:pPr>
        <w:spacing w:before="2" w:line="348" w:lineRule="auto"/>
        <w:ind w:left="2129" w:right="967" w:firstLine="5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2.主要承担本市文旅产业促进和文旅经济发展研究，开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展文旅统计数据的监测、收集和分析。</w:t>
      </w:r>
    </w:p>
    <w:p w14:paraId="28E6AA25">
      <w:pPr>
        <w:spacing w:before="36" w:line="349" w:lineRule="auto"/>
        <w:ind w:left="2129" w:right="999" w:firstLine="55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3.</w:t>
      </w:r>
      <w:r>
        <w:rPr>
          <w:rFonts w:ascii="仿宋" w:hAnsi="仿宋" w:eastAsia="仿宋" w:cs="仿宋"/>
          <w:spacing w:val="4"/>
          <w:sz w:val="30"/>
          <w:szCs w:val="30"/>
        </w:rPr>
        <w:t>负责全市文旅品牌的培养和推介，负责全市旅游线路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的规划和包装，组织实施全市旅游宣传和重</w:t>
      </w:r>
      <w:r>
        <w:rPr>
          <w:rFonts w:ascii="仿宋" w:hAnsi="仿宋" w:eastAsia="仿宋" w:cs="仿宋"/>
          <w:sz w:val="30"/>
          <w:szCs w:val="30"/>
        </w:rPr>
        <w:t>大促销活动。</w:t>
      </w:r>
    </w:p>
    <w:p w14:paraId="158C947D">
      <w:pPr>
        <w:spacing w:before="37" w:line="222" w:lineRule="auto"/>
        <w:ind w:left="267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4.负责全市相关文旅活动的指导、策划、实施。</w:t>
      </w:r>
    </w:p>
    <w:p w14:paraId="5AB7D23D">
      <w:pPr>
        <w:spacing w:before="213" w:line="358" w:lineRule="auto"/>
        <w:ind w:left="2129" w:right="1015" w:firstLine="55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3"/>
          <w:sz w:val="30"/>
          <w:szCs w:val="30"/>
        </w:rPr>
        <w:t>5.</w:t>
      </w:r>
      <w:r>
        <w:rPr>
          <w:rFonts w:ascii="仿宋" w:hAnsi="仿宋" w:eastAsia="仿宋" w:cs="仿宋"/>
          <w:spacing w:val="3"/>
          <w:sz w:val="30"/>
          <w:szCs w:val="30"/>
        </w:rPr>
        <w:t>负责全市文旅纪念品的开发，协调指导文旅商品的生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产和销售。</w:t>
      </w:r>
    </w:p>
    <w:p w14:paraId="461F624A">
      <w:pPr>
        <w:spacing w:before="45" w:line="222" w:lineRule="auto"/>
        <w:ind w:left="2880"/>
        <w:rPr>
          <w:rFonts w:hint="default" w:ascii="黑体" w:hAnsi="黑体" w:eastAsia="仿宋" w:cs="黑体"/>
          <w:sz w:val="24"/>
          <w:szCs w:val="24"/>
          <w:lang w:val="en-US" w:eastAsia="zh-CN"/>
        </w:rPr>
        <w:sectPr>
          <w:pgSz w:w="11900" w:h="18140"/>
          <w:pgMar w:top="1541" w:right="870" w:bottom="282" w:left="49" w:header="0" w:footer="0" w:gutter="0"/>
          <w:cols w:space="720" w:num="1"/>
        </w:sectPr>
      </w:pPr>
      <w:r>
        <w:rPr>
          <w:rFonts w:ascii="仿宋" w:hAnsi="仿宋" w:eastAsia="仿宋" w:cs="仿宋"/>
          <w:spacing w:val="22"/>
          <w:sz w:val="30"/>
          <w:szCs w:val="30"/>
        </w:rPr>
        <w:t>(二)机构设置</w:t>
      </w:r>
      <w:r>
        <w:rPr>
          <w:rFonts w:hint="eastAsia" w:ascii="仿宋" w:hAnsi="仿宋" w:eastAsia="仿宋" w:cs="仿宋"/>
          <w:spacing w:val="22"/>
          <w:sz w:val="30"/>
          <w:szCs w:val="30"/>
          <w:lang w:val="en-US" w:eastAsia="zh-CN"/>
        </w:rPr>
        <w:t xml:space="preserve">   </w:t>
      </w:r>
    </w:p>
    <w:p w14:paraId="7C579A4F">
      <w:pPr>
        <w:spacing w:before="146" w:line="344" w:lineRule="auto"/>
        <w:ind w:right="10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汩罗市文化旅游发展中心全额拨款事业编制6名，其中 </w:t>
      </w:r>
      <w:r>
        <w:rPr>
          <w:rFonts w:ascii="仿宋" w:hAnsi="仿宋" w:eastAsia="仿宋" w:cs="仿宋"/>
          <w:spacing w:val="-5"/>
          <w:sz w:val="32"/>
          <w:szCs w:val="32"/>
        </w:rPr>
        <w:t>主任1名，专业技术人员5名。</w:t>
      </w:r>
    </w:p>
    <w:p w14:paraId="07027E8A">
      <w:pPr>
        <w:spacing w:before="25" w:line="221" w:lineRule="auto"/>
        <w:ind w:left="6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二、一般公共预算支出情况</w:t>
      </w:r>
    </w:p>
    <w:p w14:paraId="0E43D4A9">
      <w:pPr>
        <w:spacing w:before="211" w:line="226" w:lineRule="auto"/>
        <w:ind w:left="90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(</w:t>
      </w:r>
      <w:r>
        <w:rPr>
          <w:rFonts w:ascii="楷体" w:hAnsi="楷体" w:eastAsia="楷体" w:cs="楷体"/>
          <w:spacing w:val="-80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一</w:t>
      </w:r>
      <w:r>
        <w:rPr>
          <w:rFonts w:ascii="楷体" w:hAnsi="楷体" w:eastAsia="楷体" w:cs="楷体"/>
          <w:spacing w:val="-9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-5"/>
          <w:sz w:val="32"/>
          <w:szCs w:val="32"/>
        </w:rPr>
        <w:t>基本支出情况</w:t>
      </w:r>
    </w:p>
    <w:p w14:paraId="08BA3B78">
      <w:pPr>
        <w:spacing w:before="205" w:line="221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2023年度我单位财政拨款基本支出为54.65万元，其</w:t>
      </w:r>
      <w:r>
        <w:rPr>
          <w:rFonts w:ascii="仿宋" w:hAnsi="仿宋" w:eastAsia="仿宋" w:cs="仿宋"/>
          <w:spacing w:val="-7"/>
          <w:sz w:val="32"/>
          <w:szCs w:val="32"/>
        </w:rPr>
        <w:t>中：</w:t>
      </w:r>
    </w:p>
    <w:p w14:paraId="6467C12E">
      <w:pPr>
        <w:spacing w:before="224" w:line="337" w:lineRule="auto"/>
        <w:ind w:left="114" w:right="9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人员经费45.6万元，占基本支出的83.44%,主要</w:t>
      </w:r>
      <w:r>
        <w:rPr>
          <w:rFonts w:ascii="仿宋" w:hAnsi="仿宋" w:eastAsia="仿宋" w:cs="仿宋"/>
          <w:spacing w:val="-7"/>
          <w:sz w:val="32"/>
          <w:szCs w:val="32"/>
        </w:rPr>
        <w:t>包括基本工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7"/>
          <w:sz w:val="32"/>
          <w:szCs w:val="32"/>
        </w:rPr>
        <w:t>资、津贴补贴、绩效工资、机关事业单位基本养老保险缴费、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职工基本医疗保险缴费、其他社会保障缴费、住房公积金、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生活补助、奖励金、其他对个人和家庭的补助支出；公用经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费9.05万元，占基本支出的16.56%,主要包括</w:t>
      </w:r>
      <w:r>
        <w:rPr>
          <w:rFonts w:ascii="仿宋" w:hAnsi="仿宋" w:eastAsia="仿宋" w:cs="仿宋"/>
          <w:spacing w:val="-4"/>
          <w:sz w:val="32"/>
          <w:szCs w:val="32"/>
        </w:rPr>
        <w:t>主要包括办公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费、印刷费、咨询费、邮电费、差旅费、维修(护)费、租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赁费、培训费、公务接待费、劳务费、工会经费、其他交通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费用、其他商品和服务支出。</w:t>
      </w:r>
    </w:p>
    <w:p w14:paraId="5D7CF3FE">
      <w:pPr>
        <w:spacing w:before="63" w:line="222" w:lineRule="auto"/>
        <w:ind w:left="8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(二)项目支出情况</w:t>
      </w:r>
    </w:p>
    <w:p w14:paraId="7D11CF47">
      <w:pPr>
        <w:spacing w:before="201" w:line="221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2023年度我单位无项目支出。</w:t>
      </w:r>
    </w:p>
    <w:p w14:paraId="319AF49B">
      <w:pPr>
        <w:spacing w:before="216" w:line="222" w:lineRule="auto"/>
        <w:ind w:left="6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三、政府性基金预算支出情况</w:t>
      </w:r>
    </w:p>
    <w:p w14:paraId="23D9A456">
      <w:pPr>
        <w:spacing w:before="215" w:line="220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2023年度我单位无政府性基金预算拨款支出。</w:t>
      </w:r>
    </w:p>
    <w:p w14:paraId="59401090">
      <w:pPr>
        <w:spacing w:before="229" w:line="222" w:lineRule="auto"/>
        <w:ind w:left="6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四、国有资本经营预算支出情况</w:t>
      </w:r>
    </w:p>
    <w:p w14:paraId="67ED5B2D">
      <w:pPr>
        <w:spacing w:before="196" w:line="221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2023年度我单位无国有资本经营预算拨款支出。</w:t>
      </w:r>
    </w:p>
    <w:p w14:paraId="2D1F9141">
      <w:pPr>
        <w:spacing w:before="236" w:line="222" w:lineRule="auto"/>
        <w:ind w:left="6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五、社会保险基金预算支出情况</w:t>
      </w:r>
    </w:p>
    <w:p w14:paraId="3B75F7FC">
      <w:pPr>
        <w:spacing w:before="216" w:line="221" w:lineRule="auto"/>
        <w:ind w:left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2023年度我单位无社会保险基金预算拨款支出。</w:t>
      </w:r>
    </w:p>
    <w:p w14:paraId="71CAD34B">
      <w:pPr>
        <w:spacing w:before="205" w:line="221" w:lineRule="auto"/>
        <w:ind w:left="6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六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、部门整体支出绩效情况</w:t>
      </w:r>
    </w:p>
    <w:p w14:paraId="26BA4C97">
      <w:pPr>
        <w:pStyle w:val="2"/>
        <w:spacing w:line="244" w:lineRule="auto"/>
      </w:pPr>
    </w:p>
    <w:p w14:paraId="2C6FF3C8">
      <w:pPr>
        <w:pStyle w:val="2"/>
        <w:spacing w:line="245" w:lineRule="auto"/>
      </w:pPr>
    </w:p>
    <w:p w14:paraId="13EBD76E">
      <w:pPr>
        <w:pStyle w:val="2"/>
        <w:spacing w:line="245" w:lineRule="auto"/>
      </w:pPr>
    </w:p>
    <w:p w14:paraId="2ACAA7A7">
      <w:pPr>
        <w:pStyle w:val="2"/>
        <w:spacing w:line="245" w:lineRule="auto"/>
      </w:pPr>
    </w:p>
    <w:p w14:paraId="0AE6AD46">
      <w:pPr>
        <w:pStyle w:val="2"/>
        <w:spacing w:line="245" w:lineRule="auto"/>
      </w:pPr>
    </w:p>
    <w:p w14:paraId="7A7AD0B6">
      <w:pPr>
        <w:pStyle w:val="2"/>
        <w:spacing w:line="245" w:lineRule="auto"/>
      </w:pPr>
    </w:p>
    <w:p w14:paraId="4897D89E">
      <w:pPr>
        <w:spacing w:line="221" w:lineRule="auto"/>
        <w:rPr>
          <w:rFonts w:ascii="黑体" w:hAnsi="黑体" w:eastAsia="黑体" w:cs="黑体"/>
          <w:sz w:val="24"/>
          <w:szCs w:val="24"/>
        </w:rPr>
        <w:sectPr>
          <w:pgSz w:w="11900" w:h="18140"/>
          <w:pgMar w:top="1541" w:right="870" w:bottom="282" w:left="1785" w:header="0" w:footer="0" w:gutter="0"/>
          <w:cols w:space="720" w:num="1"/>
        </w:sectPr>
      </w:pPr>
    </w:p>
    <w:p w14:paraId="70340BBF">
      <w:pPr>
        <w:spacing w:before="317" w:line="319" w:lineRule="auto"/>
        <w:ind w:left="155" w:right="1108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2023年度汨罗市文化旅游发展中心整体绩效目标完成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情况：</w:t>
      </w:r>
    </w:p>
    <w:p w14:paraId="31FBB16C">
      <w:pPr>
        <w:spacing w:before="95" w:line="222" w:lineRule="auto"/>
        <w:ind w:left="8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一、2023年度特色和亮点工作</w:t>
      </w:r>
    </w:p>
    <w:p w14:paraId="30AE1650">
      <w:pPr>
        <w:spacing w:before="182" w:line="322" w:lineRule="auto"/>
        <w:ind w:left="155" w:right="1146" w:firstLine="80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1.</w:t>
      </w:r>
      <w:r>
        <w:rPr>
          <w:rFonts w:ascii="仿宋" w:hAnsi="仿宋" w:eastAsia="仿宋" w:cs="仿宋"/>
          <w:spacing w:val="-13"/>
          <w:sz w:val="31"/>
          <w:szCs w:val="31"/>
        </w:rPr>
        <w:t>屈子文化园清廉文化教育基地荣获“清廉湖南红色文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旅”优秀阵地，“汨罗廉洁教育基地宣传片”荣获优秀内容；</w:t>
      </w:r>
    </w:p>
    <w:p w14:paraId="317CDBC2">
      <w:pPr>
        <w:spacing w:before="56" w:line="307" w:lineRule="auto"/>
        <w:ind w:left="155" w:right="1148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2.汨罗江粽子《端午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·故事会》荣获全省2023年湖南旅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游商品大赛金奖；</w:t>
      </w:r>
    </w:p>
    <w:p w14:paraId="59C47FD8">
      <w:pPr>
        <w:spacing w:before="53" w:line="320" w:lineRule="auto"/>
        <w:ind w:left="364" w:right="1142" w:firstLine="4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3.汨罗长乐甜酒奶茶门店、神鼎山露营基地列入首批湖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8"/>
          <w:sz w:val="31"/>
          <w:szCs w:val="31"/>
        </w:rPr>
        <w:t>南文旅消费“新生代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8"/>
          <w:sz w:val="31"/>
          <w:szCs w:val="31"/>
        </w:rPr>
        <w:t>·新场景”名单；</w:t>
      </w:r>
    </w:p>
    <w:p w14:paraId="1EF1D349">
      <w:pPr>
        <w:spacing w:before="29" w:line="309" w:lineRule="auto"/>
        <w:ind w:left="155" w:right="1214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4.汨罗江食品有限公司出品的“汨罗粽子”列入最受消费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者喜爱的“湖南旅游名吃”;</w:t>
      </w:r>
    </w:p>
    <w:p w14:paraId="4A7FE234">
      <w:pPr>
        <w:spacing w:before="42" w:line="308" w:lineRule="auto"/>
        <w:ind w:left="155" w:right="1178" w:firstLine="68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9"/>
          <w:sz w:val="31"/>
          <w:szCs w:val="31"/>
        </w:rPr>
        <w:t>5.</w:t>
      </w:r>
      <w:r>
        <w:rPr>
          <w:rFonts w:ascii="仿宋" w:hAnsi="仿宋" w:eastAsia="仿宋" w:cs="仿宋"/>
          <w:spacing w:val="-9"/>
          <w:sz w:val="31"/>
          <w:szCs w:val="31"/>
        </w:rPr>
        <w:t>将湖南智峰山旅游管理有限公司、汨罗龙舟旅行社有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限责任公司、汨罗市众杰广告有限公司、湖南吾上文化传媒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股份有限公司4家企业列入2023年湖南省旅游企业融资担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5"/>
          <w:sz w:val="31"/>
          <w:szCs w:val="31"/>
        </w:rPr>
        <w:t>保风险代偿补偿“白名单”。</w:t>
      </w:r>
    </w:p>
    <w:p w14:paraId="69A830F0">
      <w:pPr>
        <w:spacing w:before="89" w:line="221" w:lineRule="auto"/>
        <w:ind w:left="8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二、2023年主要工作成效</w:t>
      </w:r>
    </w:p>
    <w:p w14:paraId="5F9B8809">
      <w:pPr>
        <w:spacing w:before="192" w:line="318" w:lineRule="auto"/>
        <w:ind w:left="155" w:right="1107" w:firstLine="68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一是在文旅活动上造声势。</w:t>
      </w:r>
      <w:r>
        <w:rPr>
          <w:rFonts w:ascii="仿宋" w:hAnsi="仿宋" w:eastAsia="仿宋" w:cs="仿宋"/>
          <w:spacing w:val="-7"/>
          <w:sz w:val="31"/>
          <w:szCs w:val="31"/>
        </w:rPr>
        <w:t>落实好“稳经济、促消费、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激活力”要求，持续开展各类活动，激发汨罗文旅市场活力。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圆满举办好湖南国际文化旅游节。争取省厅支持，将湖南重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1"/>
          <w:sz w:val="31"/>
          <w:szCs w:val="31"/>
        </w:rPr>
        <w:t>大文旅活动品牌“国际文化旅游节”落户汨罗，契合屈原逝世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6"/>
          <w:sz w:val="31"/>
          <w:szCs w:val="31"/>
        </w:rPr>
        <w:t>2300周年，以“三湘四水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6"/>
          <w:sz w:val="31"/>
          <w:szCs w:val="31"/>
        </w:rPr>
        <w:t>·相约湖南、天下洞庭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6"/>
          <w:sz w:val="31"/>
          <w:szCs w:val="31"/>
        </w:rPr>
        <w:t>·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6"/>
          <w:sz w:val="31"/>
          <w:szCs w:val="31"/>
        </w:rPr>
        <w:t>舟游汩罗”为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31"/>
          <w:szCs w:val="31"/>
        </w:rPr>
        <w:t>主题，采取“4+6”模式，圆满举办2023年湖南国际文化旅游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节暨纪念屈原逝世2300周年系列活动，呈现出举办规格高、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主题活动多、推介声势大三大特点，达到了打造一场直播大</w:t>
      </w:r>
    </w:p>
    <w:p w14:paraId="6C5043B4">
      <w:pPr>
        <w:pStyle w:val="2"/>
        <w:spacing w:line="269" w:lineRule="auto"/>
      </w:pPr>
    </w:p>
    <w:p w14:paraId="2910188D">
      <w:pPr>
        <w:pStyle w:val="2"/>
        <w:spacing w:line="270" w:lineRule="auto"/>
      </w:pPr>
    </w:p>
    <w:p w14:paraId="42608232">
      <w:pPr>
        <w:spacing w:before="1" w:line="40" w:lineRule="exact"/>
        <w:rPr>
          <w:rFonts w:ascii="黑体" w:hAnsi="黑体" w:eastAsia="黑体" w:cs="黑体"/>
          <w:sz w:val="24"/>
          <w:szCs w:val="24"/>
        </w:rPr>
        <w:sectPr>
          <w:pgSz w:w="11900" w:h="18140"/>
          <w:pgMar w:top="1541" w:right="870" w:bottom="282" w:left="1785" w:header="0" w:footer="0" w:gutter="0"/>
          <w:cols w:space="720" w:num="1"/>
        </w:sectPr>
      </w:pPr>
    </w:p>
    <w:p w14:paraId="07443DE3">
      <w:pPr>
        <w:spacing w:before="236" w:line="316" w:lineRule="auto"/>
        <w:ind w:right="9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事件、留下一幕旅游实景剧、做实一批文旅产业的三个目的。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在端午三天假期，来汨游客达到5万人，文旅消费2000余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9"/>
          <w:sz w:val="32"/>
          <w:szCs w:val="32"/>
        </w:rPr>
        <w:t>万，节会成为拉动旅游最有效的手段。创新举办文旅促消费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系列活动。结合时节和资源，广泛开展“韵满罗城、月月有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21"/>
          <w:sz w:val="32"/>
          <w:szCs w:val="32"/>
        </w:rPr>
        <w:t>节”文旅主题活动，先后组织举办了川山燕塘樱花节、三江镇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4"/>
          <w:sz w:val="32"/>
          <w:szCs w:val="32"/>
        </w:rPr>
        <w:t>油菜花节、古培岳峰尖登山节、“5.19”中国旅游日暨白水西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1"/>
          <w:sz w:val="32"/>
          <w:szCs w:val="32"/>
        </w:rPr>
        <w:t>长蓝莓采摘季，2023年汨罗市夏季村晚暨达摩秘境开业仪式、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第二届汨罗市丰收节等系列活动20余场次，用春之约、夏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2"/>
          <w:sz w:val="32"/>
          <w:szCs w:val="32"/>
        </w:rPr>
        <w:t>之夜、秋之韵、冬之味闹热乡村旅游市场。</w:t>
      </w:r>
    </w:p>
    <w:p w14:paraId="1C55B839">
      <w:pPr>
        <w:spacing w:before="59" w:line="314" w:lineRule="auto"/>
        <w:ind w:right="1115" w:firstLine="714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3"/>
          <w:sz w:val="32"/>
          <w:szCs w:val="32"/>
        </w:rPr>
        <w:t>二是在文旅项目上抓引导。</w:t>
      </w:r>
      <w:r>
        <w:rPr>
          <w:rFonts w:ascii="仿宋" w:hAnsi="仿宋" w:eastAsia="仿宋" w:cs="仿宋"/>
          <w:spacing w:val="-13"/>
          <w:sz w:val="32"/>
          <w:szCs w:val="32"/>
        </w:rPr>
        <w:t>把招商引资作为发展汨罗文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旅的“一号工程”,大力招商引进</w:t>
      </w:r>
      <w:r>
        <w:rPr>
          <w:rFonts w:ascii="楷体" w:hAnsi="楷体" w:eastAsia="楷体" w:cs="楷体"/>
          <w:spacing w:val="-19"/>
          <w:sz w:val="32"/>
          <w:szCs w:val="32"/>
        </w:rPr>
        <w:t>。做好项目对接</w:t>
      </w:r>
      <w:r>
        <w:rPr>
          <w:rFonts w:ascii="仿宋" w:hAnsi="仿宋" w:eastAsia="仿宋" w:cs="仿宋"/>
          <w:spacing w:val="-19"/>
          <w:sz w:val="32"/>
          <w:szCs w:val="32"/>
        </w:rPr>
        <w:t>。加强与贸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促会、文旅集团、景区景点、各镇的联系沟通，提前摸排，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将一批品质高、业态新、体量大、带动性强的文旅项目列入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《汨罗市文旅招商项目库》,其中综合性项目10个、民宿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项目6个、乡村旅游项目7个、旅游基础建设项目2个，力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争做到精准施策、有的放矢。</w:t>
      </w:r>
    </w:p>
    <w:p w14:paraId="19A8079B">
      <w:pPr>
        <w:spacing w:before="82" w:line="318" w:lineRule="auto"/>
        <w:ind w:right="103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</w:rPr>
        <w:t>致力项目落地。</w:t>
      </w:r>
      <w:r>
        <w:rPr>
          <w:rFonts w:ascii="仿宋" w:hAnsi="仿宋" w:eastAsia="仿宋" w:cs="仿宋"/>
          <w:spacing w:val="-2"/>
          <w:sz w:val="32"/>
          <w:szCs w:val="32"/>
        </w:rPr>
        <w:t>今年，累计签约文旅项目16个，签约资金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30亿元。落实建设资金5个亿，建成长乐古镇研学实践基地、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神鼎山鹅景湾营地、龙竞中心直播基地、竹林山庄、华美达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酒店、情怀谷乡村旅游、达摩秘境、玉池山居、花博园、岳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峰尖爬行公园等11个项目，在全市基本形成了重大项目引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领发展，小微项目全面发展的全新产业格局。</w:t>
      </w:r>
    </w:p>
    <w:p w14:paraId="6C9E5D55">
      <w:pPr>
        <w:spacing w:before="48" w:line="319" w:lineRule="auto"/>
        <w:ind w:right="1127" w:firstLine="614"/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三是在文旅消费上重创新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。</w:t>
      </w:r>
      <w:r>
        <w:rPr>
          <w:rFonts w:ascii="仿宋" w:hAnsi="仿宋" w:eastAsia="仿宋" w:cs="仿宋"/>
          <w:spacing w:val="-10"/>
          <w:sz w:val="32"/>
          <w:szCs w:val="32"/>
        </w:rPr>
        <w:t>注重旅游与文化、旅游与非 遗、旅游与乡村、旅游与体育的结合，致力</w:t>
      </w:r>
      <w:r>
        <w:rPr>
          <w:rFonts w:ascii="仿宋" w:hAnsi="仿宋" w:eastAsia="仿宋" w:cs="仿宋"/>
          <w:spacing w:val="-10"/>
          <w:sz w:val="32"/>
          <w:szCs w:val="32"/>
        </w:rPr>
        <w:t>于发展文旅新业</w:t>
      </w:r>
    </w:p>
    <w:p w14:paraId="035554F7">
      <w:pPr>
        <w:spacing w:before="48" w:line="319" w:lineRule="auto"/>
        <w:ind w:right="1127" w:firstLine="614"/>
        <w:rPr>
          <w:rFonts w:ascii="仿宋" w:hAnsi="仿宋" w:eastAsia="仿宋" w:cs="仿宋"/>
          <w:spacing w:val="-10"/>
          <w:sz w:val="32"/>
          <w:szCs w:val="32"/>
        </w:rPr>
      </w:pPr>
    </w:p>
    <w:p w14:paraId="1C3F7B18">
      <w:pPr>
        <w:spacing w:before="48" w:line="319" w:lineRule="auto"/>
        <w:ind w:right="1127"/>
        <w:rPr>
          <w:rFonts w:ascii="仿宋" w:hAnsi="仿宋" w:eastAsia="仿宋" w:cs="仿宋"/>
          <w:spacing w:val="-10"/>
          <w:sz w:val="32"/>
          <w:szCs w:val="32"/>
        </w:rPr>
        <w:sectPr>
          <w:pgSz w:w="11900" w:h="18140"/>
          <w:pgMar w:top="1541" w:right="880" w:bottom="282" w:left="1780" w:header="0" w:footer="0" w:gutter="0"/>
          <w:cols w:space="720" w:num="1"/>
        </w:sectPr>
      </w:pPr>
    </w:p>
    <w:p w14:paraId="209C318B">
      <w:pPr>
        <w:spacing w:before="48" w:line="319" w:lineRule="auto"/>
        <w:ind w:right="11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态。推出了一批新线路。依托厚重的历史文化习俗资源，优 美的生态自然山水禀赋，推出湘风楚韵之旅、G240 农耕文  化之旅、革命老区溯源之旅、康养休闲民宿之旅四条精品旅 游线路，让游客感受文化汨罗、田园汨罗、生态</w:t>
      </w:r>
      <w:r>
        <w:rPr>
          <w:rFonts w:ascii="仿宋" w:hAnsi="仿宋" w:eastAsia="仿宋" w:cs="仿宋"/>
          <w:spacing w:val="-9"/>
          <w:sz w:val="31"/>
          <w:szCs w:val="31"/>
        </w:rPr>
        <w:t>汨罗、红色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汨罗之美。拓展了一批新市场。契合第二届岳阳市旅发大会，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组织市直部门、乡镇工会主席，城区中小学校、各镇联校负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责人，家委会成员，举办了汨罗市秋季研学启</w:t>
      </w:r>
      <w:r>
        <w:rPr>
          <w:rFonts w:ascii="仿宋" w:hAnsi="仿宋" w:eastAsia="仿宋" w:cs="仿宋"/>
          <w:spacing w:val="-10"/>
          <w:sz w:val="31"/>
          <w:szCs w:val="31"/>
        </w:rPr>
        <w:t>动式，发出研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学倡议，推介研学课程，为汨罗全面铺开研学旅游奠定基础。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加强与高校的对接，与全国20家高校签订产学研合作协议，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吸引高校学子纷纷打卡汨罗。据统计，2023年，全市累计接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待研学学生团队400余个，学生8万余人次。打造了一批新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业态。建成了玉池山达摩秘境、玉池山居、竹林山庄等乡村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0"/>
          <w:sz w:val="31"/>
          <w:szCs w:val="31"/>
        </w:rPr>
        <w:t>民宿项目；协助举办了长乐烧烤夜市、汨罗江夜市，引进美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9"/>
          <w:sz w:val="31"/>
          <w:szCs w:val="31"/>
        </w:rPr>
        <w:t>食、民宿、古玩等业态进驻，举行新市风情街开街</w:t>
      </w:r>
      <w:r>
        <w:rPr>
          <w:rFonts w:ascii="仿宋" w:hAnsi="仿宋" w:eastAsia="仿宋" w:cs="仿宋"/>
          <w:spacing w:val="-10"/>
          <w:sz w:val="31"/>
          <w:szCs w:val="31"/>
        </w:rPr>
        <w:t>仪式，发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展汨罗夜间文化业态，丰富夜间文化消费；与腾讯公司合作，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发展电竞旅游、剧本杀沉浸式项目，打造好“年轻人的文旅新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6"/>
          <w:sz w:val="31"/>
          <w:szCs w:val="31"/>
        </w:rPr>
        <w:t>业态”。</w:t>
      </w:r>
    </w:p>
    <w:p w14:paraId="48070AC9">
      <w:pPr>
        <w:tabs>
          <w:tab w:val="left" w:pos="429"/>
        </w:tabs>
        <w:spacing w:before="35" w:line="329" w:lineRule="auto"/>
        <w:ind w:left="69" w:right="1475" w:firstLine="634"/>
        <w:sectPr>
          <w:pgSz w:w="12070" w:h="18230"/>
          <w:pgMar w:top="1549" w:right="880" w:bottom="362" w:left="1810" w:header="0" w:footer="0" w:gutter="0"/>
          <w:cols w:space="720" w:num="1"/>
        </w:sectPr>
      </w:pPr>
      <w:r>
        <w:rPr>
          <w:rFonts w:ascii="楷体" w:hAnsi="楷体" w:eastAsia="楷体" w:cs="楷体"/>
          <w:b/>
          <w:bCs/>
          <w:spacing w:val="-12"/>
          <w:sz w:val="31"/>
          <w:szCs w:val="31"/>
        </w:rPr>
        <w:t>四是在文旅推广上树形象。</w:t>
      </w:r>
      <w:r>
        <w:rPr>
          <w:rFonts w:ascii="仿宋" w:hAnsi="仿宋" w:eastAsia="仿宋" w:cs="仿宋"/>
          <w:spacing w:val="-12"/>
          <w:sz w:val="31"/>
          <w:szCs w:val="31"/>
        </w:rPr>
        <w:t>深化区域推广合作。将岳阳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"/>
          <w:sz w:val="31"/>
          <w:szCs w:val="31"/>
        </w:rPr>
        <w:t>湘西线作为主推线路，组织驻华使节，港澳地区、国内知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名客源地旅行社代表近100人进行了湖南精品旅游线路采风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踩线活动，进一步打响“三湘四水、相约湖南”“天下洞庭、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舟游汨罗”旅游品牌。深化好“世界有条汨罗江”联盟机制，加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强与周边县市区的联络，为岳阳南部区域融合打</w:t>
      </w:r>
      <w:r>
        <w:rPr>
          <w:rFonts w:ascii="仿宋" w:hAnsi="仿宋" w:eastAsia="仿宋" w:cs="仿宋"/>
          <w:spacing w:val="-10"/>
          <w:sz w:val="31"/>
          <w:szCs w:val="31"/>
        </w:rPr>
        <w:t>下基础。扎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实开展新媒体推广。搭建“汨罗文旅”公众号</w:t>
      </w:r>
      <w:r>
        <w:rPr>
          <w:rFonts w:ascii="仿宋" w:hAnsi="仿宋" w:eastAsia="仿宋" w:cs="仿宋"/>
          <w:spacing w:val="-22"/>
          <w:sz w:val="31"/>
          <w:szCs w:val="31"/>
        </w:rPr>
        <w:t>、视频号平台</w: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48895</wp:posOffset>
            </wp:positionV>
            <wp:extent cx="1473200" cy="635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3183" cy="6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-22"/>
          <w:sz w:val="31"/>
          <w:szCs w:val="31"/>
          <w:lang w:eastAsia="zh-CN"/>
        </w:rPr>
        <w:t>，</w:t>
      </w:r>
    </w:p>
    <w:p w14:paraId="51C3EA05">
      <w:pPr>
        <w:tabs>
          <w:tab w:val="left" w:pos="429"/>
        </w:tabs>
        <w:spacing w:before="35" w:line="329" w:lineRule="auto"/>
        <w:ind w:right="14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0"/>
          <w:sz w:val="31"/>
          <w:szCs w:val="31"/>
        </w:rPr>
        <w:t>加强景区景点、乡镇合作，着力开展线上文旅宣推，设计推 出汨罗主题研学线路3条，推出了“哇呀哇”“刘爹讲故事”“我  在汨罗有间房”系列，全年累计发布自创视频100余条，推文 80余篇。大力加强对外交流。组织景区景点、文旅企业参加湖南旅游东北三省推介会、湖南省2022年(冬季)乡村文 化旅游节(郴州汝城)、2023年</w:t>
      </w:r>
      <w:r>
        <w:rPr>
          <w:rFonts w:ascii="仿宋" w:hAnsi="仿宋" w:eastAsia="仿宋" w:cs="仿宋"/>
          <w:spacing w:val="14"/>
          <w:sz w:val="32"/>
          <w:szCs w:val="32"/>
        </w:rPr>
        <w:t>湖南(春季)乡村文化旅游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节(怀化通道)、“5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·</w:t>
      </w:r>
      <w:r>
        <w:rPr>
          <w:rFonts w:ascii="仿宋" w:hAnsi="仿宋" w:eastAsia="仿宋" w:cs="仿宋"/>
          <w:spacing w:val="-1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19中国旅游日”湖南</w:t>
      </w:r>
      <w:r>
        <w:rPr>
          <w:rFonts w:ascii="仿宋" w:hAnsi="仿宋" w:eastAsia="仿宋" w:cs="仿宋"/>
          <w:spacing w:val="-20"/>
          <w:sz w:val="32"/>
          <w:szCs w:val="32"/>
        </w:rPr>
        <w:t>宣传活动暨崑山文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化旅游推广季(邵阳常宁)、第31届深圳国际礼品展、2023 </w:t>
      </w:r>
      <w:r>
        <w:rPr>
          <w:rFonts w:ascii="仿宋" w:hAnsi="仿宋" w:eastAsia="仿宋" w:cs="仿宋"/>
          <w:spacing w:val="-9"/>
          <w:sz w:val="32"/>
          <w:szCs w:val="32"/>
        </w:rPr>
        <w:t>湖南红色旅游节、中国红色旅游博览会及第二届湖南省旅游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发展大会文化产业博览会、旅游博览会、投融资大会等10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余场文旅推介节会，积极提升汨罗文旅知名度和美誉度。</w:t>
      </w:r>
    </w:p>
    <w:p w14:paraId="03F8750B">
      <w:pPr>
        <w:spacing w:before="140" w:line="314" w:lineRule="auto"/>
        <w:ind w:left="94" w:right="1028" w:firstLine="599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-7"/>
          <w:sz w:val="32"/>
          <w:szCs w:val="32"/>
        </w:rPr>
        <w:t>五是在遗留问题上保稳定。</w:t>
      </w:r>
      <w:r>
        <w:rPr>
          <w:rFonts w:ascii="仿宋" w:hAnsi="仿宋" w:eastAsia="仿宋" w:cs="仿宋"/>
          <w:spacing w:val="-7"/>
          <w:sz w:val="32"/>
          <w:szCs w:val="32"/>
        </w:rPr>
        <w:t>按照原电影公司改制安排，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配合全市文明创建，投入5万元完成宿舍区危房拆除、围墙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修缮；结合巡视工作，积极稳妥化解农村电影放映员、公益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电影放映反馈问题。目前，正在筹备对宿舍区改造工作。</w:t>
      </w:r>
    </w:p>
    <w:p w14:paraId="3A59F399">
      <w:pPr>
        <w:spacing w:before="93" w:line="222" w:lineRule="auto"/>
        <w:ind w:left="6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整体绩效目标完成较好。</w:t>
      </w:r>
    </w:p>
    <w:p w14:paraId="7A1CD897">
      <w:pPr>
        <w:spacing w:before="213" w:line="222" w:lineRule="auto"/>
        <w:ind w:left="69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七、存在的问题及原因分析</w:t>
      </w:r>
    </w:p>
    <w:p w14:paraId="132D9459">
      <w:pPr>
        <w:spacing w:before="227" w:line="284" w:lineRule="auto"/>
        <w:ind w:left="94" w:right="1054" w:firstLine="59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1、</w:t>
      </w:r>
      <w:r>
        <w:rPr>
          <w:rFonts w:ascii="仿宋" w:hAnsi="仿宋" w:eastAsia="仿宋" w:cs="仿宋"/>
          <w:spacing w:val="-1"/>
          <w:sz w:val="32"/>
          <w:szCs w:val="32"/>
        </w:rPr>
        <w:t>决算数大于预算数且无项目资金，主要原因是</w:t>
      </w:r>
      <w:r>
        <w:rPr>
          <w:rFonts w:ascii="仿宋" w:hAnsi="仿宋" w:eastAsia="仿宋" w:cs="仿宋"/>
          <w:spacing w:val="-2"/>
          <w:sz w:val="32"/>
          <w:szCs w:val="32"/>
        </w:rPr>
        <w:t>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预算不足，上争项目口径少。</w:t>
      </w:r>
    </w:p>
    <w:p w14:paraId="3ECC212F">
      <w:pPr>
        <w:spacing w:before="224" w:line="221" w:lineRule="auto"/>
        <w:ind w:left="694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2、</w:t>
      </w:r>
      <w:r>
        <w:rPr>
          <w:rFonts w:ascii="仿宋" w:hAnsi="仿宋" w:eastAsia="仿宋" w:cs="仿宋"/>
          <w:spacing w:val="-7"/>
          <w:sz w:val="32"/>
          <w:szCs w:val="32"/>
        </w:rPr>
        <w:t>文旅行业无文件政策支出，文旅事业推进无抓手。</w:t>
      </w:r>
    </w:p>
    <w:p w14:paraId="006C4F45">
      <w:pPr>
        <w:spacing w:before="236" w:line="222" w:lineRule="auto"/>
        <w:ind w:left="69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八</w:t>
      </w:r>
      <w:r>
        <w:rPr>
          <w:rFonts w:ascii="黑体" w:hAnsi="黑体" w:eastAsia="黑体" w:cs="黑体"/>
          <w:spacing w:val="-6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、下一步改进措施</w:t>
      </w:r>
    </w:p>
    <w:p w14:paraId="12251800">
      <w:pPr>
        <w:spacing w:before="220" w:line="222" w:lineRule="auto"/>
        <w:ind w:left="694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1、</w:t>
      </w:r>
      <w:r>
        <w:rPr>
          <w:rFonts w:ascii="仿宋" w:hAnsi="仿宋" w:eastAsia="仿宋" w:cs="仿宋"/>
          <w:spacing w:val="-7"/>
          <w:sz w:val="32"/>
          <w:szCs w:val="32"/>
        </w:rPr>
        <w:t>拓展资金渠道，向上争取文旅项目资金。</w:t>
      </w:r>
    </w:p>
    <w:p w14:paraId="6A84B46A">
      <w:pPr>
        <w:spacing w:before="211" w:line="221" w:lineRule="auto"/>
        <w:ind w:left="694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2、</w:t>
      </w:r>
      <w:r>
        <w:rPr>
          <w:rFonts w:ascii="仿宋" w:hAnsi="仿宋" w:eastAsia="仿宋" w:cs="仿宋"/>
          <w:spacing w:val="-7"/>
          <w:sz w:val="32"/>
          <w:szCs w:val="32"/>
        </w:rPr>
        <w:t>规范文旅行业，建立长效机制。</w:t>
      </w:r>
    </w:p>
    <w:p w14:paraId="13C87852">
      <w:pPr>
        <w:spacing w:before="220" w:line="221" w:lineRule="auto"/>
        <w:ind w:left="6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九、部门整体支出绩效自评结果拟应用和公开情况</w:t>
      </w:r>
    </w:p>
    <w:p w14:paraId="2290681A">
      <w:pPr>
        <w:pStyle w:val="2"/>
        <w:spacing w:line="250" w:lineRule="auto"/>
      </w:pPr>
    </w:p>
    <w:p w14:paraId="08084E7F">
      <w:pPr>
        <w:pStyle w:val="2"/>
        <w:spacing w:line="250" w:lineRule="auto"/>
      </w:pPr>
    </w:p>
    <w:p w14:paraId="22988A6D">
      <w:pPr>
        <w:spacing w:line="204" w:lineRule="auto"/>
        <w:rPr>
          <w:rFonts w:ascii="黑体" w:hAnsi="黑体" w:eastAsia="黑体" w:cs="黑体"/>
          <w:sz w:val="24"/>
          <w:szCs w:val="24"/>
        </w:rPr>
        <w:sectPr>
          <w:pgSz w:w="11900" w:h="18140"/>
          <w:pgMar w:top="1541" w:right="870" w:bottom="282" w:left="1785" w:header="0" w:footer="0" w:gutter="0"/>
          <w:cols w:space="720" w:num="1"/>
        </w:sectPr>
      </w:pPr>
    </w:p>
    <w:p w14:paraId="37E8E10A">
      <w:pPr>
        <w:spacing w:before="200" w:line="225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已公开</w:t>
      </w:r>
    </w:p>
    <w:p w14:paraId="02988EF7">
      <w:pPr>
        <w:spacing w:before="256" w:line="222" w:lineRule="auto"/>
        <w:ind w:left="589"/>
        <w:outlineLvl w:val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十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、其他需要说明的情况</w:t>
      </w:r>
    </w:p>
    <w:p w14:paraId="357B0C20">
      <w:pPr>
        <w:spacing w:before="200" w:line="225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无</w:t>
      </w:r>
    </w:p>
    <w:p w14:paraId="68DFC991">
      <w:pPr>
        <w:pStyle w:val="2"/>
        <w:spacing w:line="346" w:lineRule="auto"/>
      </w:pPr>
    </w:p>
    <w:p w14:paraId="668AB040">
      <w:pPr>
        <w:pStyle w:val="2"/>
        <w:spacing w:line="347" w:lineRule="auto"/>
      </w:pPr>
    </w:p>
    <w:p w14:paraId="649E33BF">
      <w:pPr>
        <w:spacing w:before="99" w:line="222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报告需要以下附件：</w:t>
      </w:r>
    </w:p>
    <w:p w14:paraId="642DE7E9">
      <w:pPr>
        <w:spacing w:before="71" w:line="222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1、</w:t>
      </w:r>
      <w:r>
        <w:rPr>
          <w:rFonts w:ascii="仿宋" w:hAnsi="仿宋" w:eastAsia="仿宋" w:cs="仿宋"/>
          <w:spacing w:val="-2"/>
          <w:sz w:val="30"/>
          <w:szCs w:val="30"/>
        </w:rPr>
        <w:t>部门整体支出绩效评价基础数据表</w:t>
      </w:r>
    </w:p>
    <w:p w14:paraId="1BAA73BC">
      <w:pPr>
        <w:spacing w:before="229" w:line="222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2、</w:t>
      </w:r>
      <w:r>
        <w:rPr>
          <w:rFonts w:ascii="仿宋" w:hAnsi="仿宋" w:eastAsia="仿宋" w:cs="仿宋"/>
          <w:spacing w:val="-2"/>
          <w:sz w:val="30"/>
          <w:szCs w:val="30"/>
        </w:rPr>
        <w:t>部门整体支出绩效自评表</w:t>
      </w:r>
    </w:p>
    <w:p w14:paraId="218893F4">
      <w:pPr>
        <w:spacing w:before="252" w:line="222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3、</w:t>
      </w:r>
      <w:r>
        <w:rPr>
          <w:rFonts w:ascii="仿宋" w:hAnsi="仿宋" w:eastAsia="仿宋" w:cs="仿宋"/>
          <w:spacing w:val="8"/>
          <w:sz w:val="30"/>
          <w:szCs w:val="30"/>
        </w:rPr>
        <w:t>项目支出绩效自评表(每个一级项目支出一张表)</w:t>
      </w:r>
    </w:p>
    <w:p w14:paraId="56A12671">
      <w:pPr>
        <w:spacing w:before="205" w:line="22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4、</w:t>
      </w:r>
      <w:r>
        <w:rPr>
          <w:rFonts w:ascii="仿宋" w:hAnsi="仿宋" w:eastAsia="仿宋" w:cs="仿宋"/>
          <w:spacing w:val="-1"/>
          <w:sz w:val="30"/>
          <w:szCs w:val="30"/>
        </w:rPr>
        <w:t>政府性基金预算支出情况表</w:t>
      </w:r>
    </w:p>
    <w:p w14:paraId="2EEF2BA4">
      <w:pPr>
        <w:spacing w:before="234" w:line="222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5、</w:t>
      </w:r>
      <w:r>
        <w:rPr>
          <w:rFonts w:ascii="仿宋" w:hAnsi="仿宋" w:eastAsia="仿宋" w:cs="仿宋"/>
          <w:spacing w:val="-2"/>
          <w:sz w:val="30"/>
          <w:szCs w:val="30"/>
        </w:rPr>
        <w:t>国有资本经营预算支出情况表</w:t>
      </w:r>
    </w:p>
    <w:p w14:paraId="07301F29">
      <w:pPr>
        <w:spacing w:before="229" w:line="221" w:lineRule="auto"/>
        <w:ind w:left="59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6、</w:t>
      </w:r>
      <w:r>
        <w:rPr>
          <w:rFonts w:ascii="仿宋" w:hAnsi="仿宋" w:eastAsia="仿宋" w:cs="仿宋"/>
          <w:spacing w:val="-2"/>
          <w:sz w:val="30"/>
          <w:szCs w:val="30"/>
        </w:rPr>
        <w:t>社会保险基金预算支出情况表</w:t>
      </w:r>
    </w:p>
    <w:p w14:paraId="0A0811D7">
      <w:pPr>
        <w:pStyle w:val="2"/>
        <w:spacing w:line="245" w:lineRule="auto"/>
      </w:pPr>
    </w:p>
    <w:p w14:paraId="7AD6444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A19A">
    <w:pPr>
      <w:pStyle w:val="2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5Y2FlMGRkMTA0ODk4ZjcwYTZiYTQ3YjUwNDc2MmM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FB623A7"/>
    <w:rsid w:val="6C7403DA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1893</Words>
  <Characters>1955</Characters>
  <TotalTime>3</TotalTime>
  <ScaleCrop>false</ScaleCrop>
  <LinksUpToDate>false</LinksUpToDate>
  <CharactersWithSpaces>2119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翁阳慧</cp:lastModifiedBy>
  <cp:lastPrinted>2024-05-21T14:05:00Z</cp:lastPrinted>
  <dcterms:modified xsi:type="dcterms:W3CDTF">2024-10-21T07:37:25Z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753E37CEB10045BC8F69779593E9DCA6_13</vt:lpwstr>
  </property>
</Properties>
</file>