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14</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left"/>
              <w:rPr>
                <w:rFonts w:ascii="仿宋_GB2312" w:eastAsia="仿宋_GB2312"/>
                <w:kern w:val="0"/>
              </w:rPr>
            </w:pPr>
            <w:r>
              <w:rPr>
                <w:rFonts w:hint="eastAsia" w:ascii="仿宋_GB2312" w:eastAsia="仿宋_GB2312"/>
                <w:kern w:val="0"/>
              </w:rPr>
              <w:t>2.67</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1.5</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pPr>
              <w:spacing w:line="240" w:lineRule="auto"/>
              <w:ind w:firstLine="420" w:firstLineChars="0"/>
              <w:jc w:val="left"/>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2.67</w:t>
            </w:r>
          </w:p>
        </w:tc>
        <w:tc>
          <w:tcPr>
            <w:tcW w:w="2039" w:type="dxa"/>
            <w:gridSpan w:val="2"/>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1.5</w:t>
            </w:r>
          </w:p>
        </w:tc>
        <w:tc>
          <w:tcPr>
            <w:tcW w:w="1983" w:type="dxa"/>
            <w:gridSpan w:val="2"/>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档案保管保护费</w:t>
            </w:r>
          </w:p>
        </w:tc>
        <w:tc>
          <w:tcPr>
            <w:tcW w:w="2116" w:type="dxa"/>
            <w:gridSpan w:val="2"/>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15</w:t>
            </w:r>
          </w:p>
        </w:tc>
        <w:tc>
          <w:tcPr>
            <w:tcW w:w="2039"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c>
          <w:tcPr>
            <w:tcW w:w="1983" w:type="dxa"/>
            <w:gridSpan w:val="2"/>
            <w:shd w:val="clear" w:color="auto" w:fill="auto"/>
            <w:vAlign w:val="center"/>
          </w:tcPr>
          <w:p>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34.7</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38.53</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44.05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3.57</w:t>
            </w:r>
          </w:p>
        </w:tc>
        <w:tc>
          <w:tcPr>
            <w:tcW w:w="2039"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1.95</w:t>
            </w:r>
          </w:p>
        </w:tc>
        <w:tc>
          <w:tcPr>
            <w:tcW w:w="1983"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0.26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6.75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rPr>
              <w:t>0.2</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50</w:t>
            </w:r>
          </w:p>
        </w:tc>
        <w:tc>
          <w:tcPr>
            <w:tcW w:w="1983" w:type="dxa"/>
            <w:gridSpan w:val="2"/>
            <w:shd w:val="clear" w:color="auto" w:fill="auto"/>
            <w:vAlign w:val="center"/>
          </w:tcPr>
          <w:p>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14.73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230.31</w:t>
            </w:r>
          </w:p>
        </w:tc>
        <w:tc>
          <w:tcPr>
            <w:tcW w:w="2039"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201.75</w:t>
            </w:r>
          </w:p>
        </w:tc>
        <w:tc>
          <w:tcPr>
            <w:tcW w:w="1983" w:type="dxa"/>
            <w:gridSpan w:val="2"/>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182.9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left"/>
              <w:textAlignment w:val="baseline"/>
              <w:rPr>
                <w:rFonts w:ascii="Arial" w:hAnsi="Arial" w:eastAsia="Arial" w:cs="Arial"/>
                <w:snapToGrid w:val="0"/>
                <w:color w:val="000000"/>
                <w:sz w:val="21"/>
                <w:szCs w:val="21"/>
                <w:lang w:val="en-US" w:eastAsia="en-US" w:bidi="ar-SA"/>
              </w:rPr>
            </w:pPr>
            <w:r>
              <w:rPr>
                <w:rFonts w:hint="eastAsia" w:ascii="仿宋_GB2312" w:eastAsia="仿宋_GB2312"/>
                <w:kern w:val="0"/>
                <w:lang w:val="en-US" w:eastAsia="en-US"/>
              </w:rPr>
              <w:t>严格执行中央八项规定，严格管控三公经费支出，厉行节约，“三公经费”支出按时在“湖南互联网+”平台上公示。扎实抓好机关节能降耗，一是严格用电管理。倡导在自然光照较好的条件下不使用照明灯具，使用照明工具时保证人走灯灭，杜绝"长明灯"等能耗空放现象。二是严格用水管理。人走时及时关闭关紧水龙头，杜绝"长流水"和"跑、冒、滴、漏"现象。</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黄曼</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13787846356</w:t>
      </w:r>
      <w:r>
        <w:rPr>
          <w:rFonts w:ascii="仿宋_GB2312" w:hAnsi="宋体" w:eastAsia="仿宋_GB2312" w:cs="宋体"/>
          <w:snapToGrid w:val="0"/>
          <w:color w:val="000000"/>
          <w:sz w:val="21"/>
          <w:szCs w:val="21"/>
          <w:lang w:val="en-US" w:eastAsia="zh-CN" w:bidi="ar-SA"/>
        </w:rPr>
        <w:t xml:space="preserve">            单位负责人签字：</w:t>
      </w:r>
      <w:r>
        <w:rPr>
          <w:rFonts w:hint="eastAsia" w:eastAsiaTheme="minorEastAsia"/>
          <w:sz w:val="20"/>
          <w:szCs w:val="20"/>
          <w:lang w:eastAsia="zh-CN"/>
        </w:rPr>
        <w:t>赵寒丰</w:t>
      </w:r>
      <w:bookmarkStart w:id="1" w:name="_GoBack"/>
      <w:bookmarkEnd w:id="1"/>
    </w:p>
    <w:p>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pPr>
        <w:spacing w:line="237" w:lineRule="exact"/>
        <w:ind w:firstLine="420"/>
        <w:jc w:val="left"/>
        <w:rPr>
          <w:kern w:val="0"/>
          <w:lang w:eastAsia="zh-CN"/>
        </w:rPr>
      </w:pPr>
    </w:p>
    <w:tbl>
      <w:tblPr>
        <w:tblStyle w:val="8"/>
        <w:tblW w:w="10104"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01"/>
        <w:gridCol w:w="1029"/>
        <w:gridCol w:w="1500"/>
        <w:gridCol w:w="1115"/>
        <w:gridCol w:w="1570"/>
        <w:gridCol w:w="543"/>
        <w:gridCol w:w="915"/>
        <w:gridCol w:w="13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9030" w:type="dxa"/>
            <w:gridSpan w:val="8"/>
            <w:vAlign w:val="center"/>
          </w:tcPr>
          <w:p>
            <w:pPr>
              <w:spacing w:line="240" w:lineRule="auto"/>
              <w:ind w:firstLine="420"/>
              <w:jc w:val="center"/>
              <w:rPr>
                <w:rFonts w:ascii="仿宋_GB2312" w:eastAsia="仿宋_GB2312"/>
                <w:kern w:val="0"/>
              </w:rPr>
            </w:pPr>
            <w:r>
              <w:rPr>
                <w:rFonts w:hint="eastAsia" w:ascii="仿宋_GB2312" w:eastAsia="仿宋_GB2312"/>
                <w:kern w:val="0"/>
              </w:rPr>
              <w:t>汨罗市档案馆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30" w:type="dxa"/>
            <w:gridSpan w:val="2"/>
            <w:vAlign w:val="center"/>
          </w:tcPr>
          <w:p>
            <w:pPr>
              <w:spacing w:line="240" w:lineRule="auto"/>
              <w:ind w:firstLine="420"/>
              <w:jc w:val="center"/>
              <w:rPr>
                <w:rFonts w:ascii="仿宋_GB2312" w:eastAsia="仿宋_GB2312"/>
                <w:kern w:val="0"/>
              </w:rPr>
            </w:pPr>
          </w:p>
        </w:tc>
        <w:tc>
          <w:tcPr>
            <w:tcW w:w="1500"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115"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570"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543"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915"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357"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30"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500" w:type="dxa"/>
            <w:vAlign w:val="center"/>
          </w:tcPr>
          <w:p>
            <w:pPr>
              <w:spacing w:line="240" w:lineRule="auto"/>
              <w:ind w:firstLine="420"/>
              <w:jc w:val="center"/>
              <w:rPr>
                <w:rFonts w:ascii="仿宋_GB2312" w:eastAsia="仿宋_GB2312"/>
                <w:kern w:val="0"/>
              </w:rPr>
            </w:pPr>
            <w:r>
              <w:rPr>
                <w:rFonts w:hint="eastAsia" w:ascii="仿宋_GB2312" w:eastAsia="仿宋_GB2312"/>
                <w:kern w:val="0"/>
              </w:rPr>
              <w:t>216.75</w:t>
            </w:r>
          </w:p>
        </w:tc>
        <w:tc>
          <w:tcPr>
            <w:tcW w:w="1115" w:type="dxa"/>
            <w:vAlign w:val="center"/>
          </w:tcPr>
          <w:p>
            <w:pPr>
              <w:spacing w:line="240" w:lineRule="auto"/>
              <w:ind w:firstLine="420"/>
              <w:jc w:val="center"/>
              <w:rPr>
                <w:rFonts w:ascii="仿宋_GB2312" w:eastAsia="仿宋_GB2312"/>
                <w:kern w:val="0"/>
              </w:rPr>
            </w:pPr>
            <w:r>
              <w:rPr>
                <w:rFonts w:hint="eastAsia" w:ascii="仿宋_GB2312" w:eastAsia="仿宋_GB2312"/>
                <w:kern w:val="0"/>
              </w:rPr>
              <w:t>279.61</w:t>
            </w:r>
          </w:p>
        </w:tc>
        <w:tc>
          <w:tcPr>
            <w:tcW w:w="1570" w:type="dxa"/>
            <w:vAlign w:val="center"/>
          </w:tcPr>
          <w:p>
            <w:pPr>
              <w:spacing w:line="240" w:lineRule="auto"/>
              <w:ind w:firstLine="420"/>
              <w:jc w:val="center"/>
              <w:rPr>
                <w:rFonts w:ascii="仿宋_GB2312" w:eastAsia="仿宋_GB2312"/>
                <w:kern w:val="0"/>
              </w:rPr>
            </w:pPr>
            <w:r>
              <w:rPr>
                <w:rFonts w:hint="eastAsia" w:ascii="仿宋_GB2312" w:eastAsia="仿宋_GB2312"/>
                <w:kern w:val="0"/>
              </w:rPr>
              <w:t>279.61</w:t>
            </w:r>
          </w:p>
        </w:tc>
        <w:tc>
          <w:tcPr>
            <w:tcW w:w="543"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915"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rPr>
              <w:t>10</w:t>
            </w:r>
            <w:r>
              <w:rPr>
                <w:rFonts w:hint="eastAsia" w:ascii="仿宋_GB2312" w:eastAsia="仿宋_GB2312"/>
                <w:kern w:val="0"/>
                <w:lang w:val="en-US" w:eastAsia="zh-CN"/>
              </w:rPr>
              <w:t>0%</w:t>
            </w:r>
          </w:p>
        </w:tc>
        <w:tc>
          <w:tcPr>
            <w:tcW w:w="1357"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38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其中：一般公共预算：279.61</w:t>
            </w:r>
          </w:p>
        </w:tc>
        <w:tc>
          <w:tcPr>
            <w:tcW w:w="4385" w:type="dxa"/>
            <w:gridSpan w:val="4"/>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其中：基本支出：182.90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38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项目支出：96.72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385"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385"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385"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single" w:color="auto" w:sz="4" w:space="0"/>
            </w:tcBorders>
            <w:vAlign w:val="center"/>
          </w:tcPr>
          <w:p>
            <w:pPr>
              <w:spacing w:line="240" w:lineRule="auto"/>
              <w:ind w:firstLine="420"/>
              <w:jc w:val="center"/>
              <w:rPr>
                <w:rFonts w:ascii="仿宋_GB2312" w:eastAsia="仿宋_GB2312"/>
                <w:kern w:val="0"/>
              </w:rPr>
            </w:pPr>
          </w:p>
        </w:tc>
        <w:tc>
          <w:tcPr>
            <w:tcW w:w="4645" w:type="dxa"/>
            <w:gridSpan w:val="4"/>
            <w:tcBorders>
              <w:bottom w:val="single" w:color="auto" w:sz="4" w:space="0"/>
            </w:tcBorders>
            <w:vAlign w:val="center"/>
          </w:tcPr>
          <w:p>
            <w:pPr>
              <w:spacing w:line="240" w:lineRule="auto"/>
              <w:ind w:firstLine="420"/>
              <w:jc w:val="center"/>
              <w:rPr>
                <w:rFonts w:ascii="仿宋_GB2312" w:eastAsia="仿宋_GB2312"/>
                <w:kern w:val="0"/>
              </w:rPr>
            </w:pPr>
          </w:p>
        </w:tc>
        <w:tc>
          <w:tcPr>
            <w:tcW w:w="4385" w:type="dxa"/>
            <w:gridSpan w:val="4"/>
            <w:tcBorders>
              <w:bottom w:val="single" w:color="auto" w:sz="4" w:space="0"/>
            </w:tcBorders>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top w:val="single" w:color="auto" w:sz="4" w:space="0"/>
              <w:left w:val="single" w:color="auto" w:sz="4" w:space="0"/>
            </w:tcBorders>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01" w:type="dxa"/>
            <w:tcBorders>
              <w:top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tcBorders>
              <w:top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500" w:type="dxa"/>
            <w:tcBorders>
              <w:top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115" w:type="dxa"/>
            <w:tcBorders>
              <w:top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570" w:type="dxa"/>
            <w:tcBorders>
              <w:top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543" w:type="dxa"/>
            <w:tcBorders>
              <w:top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915" w:type="dxa"/>
            <w:tcBorders>
              <w:top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357" w:type="dxa"/>
            <w:tcBorders>
              <w:top w:val="single" w:color="auto" w:sz="4" w:space="0"/>
              <w:right w:val="single" w:color="auto" w:sz="4" w:space="0"/>
            </w:tcBorders>
            <w:vAlign w:val="center"/>
          </w:tcPr>
          <w:p>
            <w:pPr>
              <w:spacing w:line="240" w:lineRule="auto"/>
              <w:jc w:val="both"/>
              <w:rPr>
                <w:rFonts w:ascii="仿宋_GB2312" w:eastAsia="仿宋_GB2312"/>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lang w:eastAsia="zh-CN"/>
              </w:rPr>
            </w:pPr>
          </w:p>
        </w:tc>
        <w:tc>
          <w:tcPr>
            <w:tcW w:w="1001"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pPr>
              <w:spacing w:line="240" w:lineRule="auto"/>
              <w:jc w:val="left"/>
              <w:rPr>
                <w:rFonts w:ascii="仿宋_GB2312" w:eastAsia="仿宋_GB2312"/>
                <w:kern w:val="0"/>
              </w:rPr>
            </w:pPr>
            <w:r>
              <w:rPr>
                <w:rFonts w:hint="eastAsia" w:ascii="仿宋_GB2312" w:hAnsi="宋体" w:eastAsia="仿宋_GB2312" w:cs="宋体"/>
                <w:kern w:val="0"/>
              </w:rPr>
              <w:t>数量指标</w:t>
            </w:r>
          </w:p>
        </w:tc>
        <w:tc>
          <w:tcPr>
            <w:tcW w:w="1500" w:type="dxa"/>
            <w:vAlign w:val="center"/>
          </w:tcPr>
          <w:p>
            <w:pPr>
              <w:spacing w:line="240" w:lineRule="auto"/>
              <w:jc w:val="left"/>
              <w:rPr>
                <w:rFonts w:ascii="仿宋_GB2312" w:eastAsia="仿宋_GB2312"/>
                <w:kern w:val="0"/>
              </w:rPr>
            </w:pPr>
            <w:r>
              <w:rPr>
                <w:rFonts w:hint="eastAsia" w:ascii="仿宋_GB2312" w:eastAsia="仿宋_GB2312"/>
                <w:kern w:val="0"/>
              </w:rPr>
              <w:t>档案利用服务</w:t>
            </w:r>
          </w:p>
        </w:tc>
        <w:tc>
          <w:tcPr>
            <w:tcW w:w="1115" w:type="dxa"/>
            <w:vAlign w:val="center"/>
          </w:tcPr>
          <w:p>
            <w:pPr>
              <w:spacing w:line="240" w:lineRule="auto"/>
              <w:jc w:val="both"/>
              <w:rPr>
                <w:rFonts w:ascii="仿宋_GB2312" w:eastAsia="仿宋_GB2312"/>
                <w:kern w:val="0"/>
              </w:rPr>
            </w:pPr>
            <w:r>
              <w:rPr>
                <w:rFonts w:hint="eastAsia" w:ascii="仿宋_GB2312" w:eastAsia="仿宋_GB2312"/>
                <w:kern w:val="0"/>
              </w:rPr>
              <w:t>900人次</w:t>
            </w:r>
          </w:p>
        </w:tc>
        <w:tc>
          <w:tcPr>
            <w:tcW w:w="1570"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1000</w:t>
            </w:r>
          </w:p>
        </w:tc>
        <w:tc>
          <w:tcPr>
            <w:tcW w:w="543"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91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57" w:type="dxa"/>
            <w:tcBorders>
              <w:right w:val="single" w:color="auto" w:sz="4" w:space="0"/>
            </w:tcBorders>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01"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500" w:type="dxa"/>
            <w:vAlign w:val="center"/>
          </w:tcPr>
          <w:p>
            <w:pPr>
              <w:spacing w:line="240" w:lineRule="auto"/>
              <w:jc w:val="left"/>
              <w:rPr>
                <w:rFonts w:ascii="仿宋_GB2312" w:eastAsia="仿宋_GB2312"/>
                <w:kern w:val="0"/>
              </w:rPr>
            </w:pPr>
            <w:r>
              <w:rPr>
                <w:rFonts w:hint="eastAsia" w:ascii="仿宋_GB2312" w:eastAsia="仿宋_GB2312"/>
                <w:kern w:val="0"/>
              </w:rPr>
              <w:t>档案接收与征集</w:t>
            </w:r>
          </w:p>
        </w:tc>
        <w:tc>
          <w:tcPr>
            <w:tcW w:w="1115" w:type="dxa"/>
            <w:vAlign w:val="center"/>
          </w:tcPr>
          <w:p>
            <w:pPr>
              <w:spacing w:line="240" w:lineRule="auto"/>
              <w:ind w:firstLine="420"/>
              <w:jc w:val="center"/>
              <w:rPr>
                <w:rFonts w:ascii="仿宋_GB2312" w:eastAsia="仿宋_GB2312"/>
                <w:kern w:val="0"/>
              </w:rPr>
            </w:pPr>
            <w:r>
              <w:rPr>
                <w:rFonts w:hint="eastAsia" w:ascii="仿宋_GB2312" w:eastAsia="仿宋_GB2312"/>
                <w:kern w:val="0"/>
              </w:rPr>
              <w:t>60</w:t>
            </w:r>
          </w:p>
        </w:tc>
        <w:tc>
          <w:tcPr>
            <w:tcW w:w="1570"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5</w:t>
            </w:r>
            <w:r>
              <w:rPr>
                <w:rFonts w:hint="eastAsia" w:ascii="仿宋_GB2312" w:eastAsia="仿宋_GB2312"/>
                <w:kern w:val="0"/>
              </w:rPr>
              <w:t>0</w:t>
            </w:r>
          </w:p>
        </w:tc>
        <w:tc>
          <w:tcPr>
            <w:tcW w:w="543" w:type="dxa"/>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5</w:t>
            </w:r>
          </w:p>
        </w:tc>
        <w:tc>
          <w:tcPr>
            <w:tcW w:w="91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357" w:type="dxa"/>
            <w:tcBorders>
              <w:right w:val="single" w:color="auto" w:sz="4" w:space="0"/>
            </w:tcBorders>
            <w:vAlign w:val="center"/>
          </w:tcPr>
          <w:p>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时效性需加强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01"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500" w:type="dxa"/>
            <w:vAlign w:val="center"/>
          </w:tcPr>
          <w:p>
            <w:pPr>
              <w:spacing w:line="240" w:lineRule="auto"/>
              <w:jc w:val="both"/>
              <w:rPr>
                <w:rFonts w:ascii="仿宋_GB2312" w:eastAsia="仿宋_GB2312"/>
                <w:kern w:val="0"/>
              </w:rPr>
            </w:pPr>
            <w:r>
              <w:rPr>
                <w:rFonts w:hint="eastAsia" w:ascii="仿宋_GB2312" w:eastAsia="仿宋_GB2312"/>
                <w:kern w:val="0"/>
              </w:rPr>
              <w:t>档案数字化</w:t>
            </w:r>
          </w:p>
        </w:tc>
        <w:tc>
          <w:tcPr>
            <w:tcW w:w="1115" w:type="dxa"/>
            <w:vAlign w:val="center"/>
          </w:tcPr>
          <w:p>
            <w:pPr>
              <w:spacing w:line="240" w:lineRule="auto"/>
              <w:jc w:val="both"/>
              <w:rPr>
                <w:rFonts w:ascii="仿宋_GB2312" w:eastAsia="仿宋_GB2312"/>
                <w:kern w:val="0"/>
              </w:rPr>
            </w:pPr>
            <w:r>
              <w:rPr>
                <w:rFonts w:hint="eastAsia" w:ascii="仿宋_GB2312" w:eastAsia="仿宋_GB2312"/>
                <w:kern w:val="0"/>
              </w:rPr>
              <w:t>实现零突破</w:t>
            </w:r>
          </w:p>
        </w:tc>
        <w:tc>
          <w:tcPr>
            <w:tcW w:w="1570" w:type="dxa"/>
            <w:vAlign w:val="center"/>
          </w:tcPr>
          <w:p>
            <w:pPr>
              <w:spacing w:line="240" w:lineRule="auto"/>
              <w:jc w:val="both"/>
              <w:rPr>
                <w:rFonts w:ascii="仿宋_GB2312" w:eastAsia="仿宋_GB2312"/>
                <w:kern w:val="0"/>
              </w:rPr>
            </w:pPr>
            <w:r>
              <w:rPr>
                <w:rFonts w:hint="eastAsia" w:ascii="仿宋_GB2312" w:eastAsia="仿宋_GB2312"/>
                <w:kern w:val="0"/>
              </w:rPr>
              <w:t>建成馆藏档案数字化管理系统。</w:t>
            </w:r>
          </w:p>
        </w:tc>
        <w:tc>
          <w:tcPr>
            <w:tcW w:w="543"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 xml:space="preserve">   5</w:t>
            </w:r>
          </w:p>
        </w:tc>
        <w:tc>
          <w:tcPr>
            <w:tcW w:w="915"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357" w:type="dxa"/>
            <w:tcBorders>
              <w:right w:val="single" w:color="auto" w:sz="4" w:space="0"/>
            </w:tcBorders>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01"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500" w:type="dxa"/>
            <w:vAlign w:val="center"/>
          </w:tcPr>
          <w:p>
            <w:pPr>
              <w:spacing w:line="240" w:lineRule="auto"/>
              <w:jc w:val="both"/>
              <w:rPr>
                <w:rFonts w:hint="eastAsia" w:ascii="仿宋_GB2312" w:eastAsia="仿宋_GB2312"/>
                <w:kern w:val="0"/>
              </w:rPr>
            </w:pPr>
            <w:r>
              <w:rPr>
                <w:rFonts w:hint="eastAsia" w:ascii="仿宋_GB2312" w:eastAsia="仿宋_GB2312"/>
                <w:kern w:val="0"/>
              </w:rPr>
              <w:t>档案编研</w:t>
            </w:r>
          </w:p>
        </w:tc>
        <w:tc>
          <w:tcPr>
            <w:tcW w:w="1115" w:type="dxa"/>
            <w:vAlign w:val="center"/>
          </w:tcPr>
          <w:p>
            <w:pPr>
              <w:spacing w:line="240" w:lineRule="auto"/>
              <w:jc w:val="both"/>
              <w:rPr>
                <w:rFonts w:ascii="仿宋_GB2312" w:eastAsia="仿宋_GB2312"/>
                <w:kern w:val="0"/>
              </w:rPr>
            </w:pPr>
            <w:r>
              <w:rPr>
                <w:rFonts w:hint="eastAsia" w:ascii="仿宋_GB2312" w:eastAsia="仿宋_GB2312"/>
                <w:kern w:val="0"/>
              </w:rPr>
              <w:t>影响广泛</w:t>
            </w:r>
          </w:p>
        </w:tc>
        <w:tc>
          <w:tcPr>
            <w:tcW w:w="1570" w:type="dxa"/>
            <w:vAlign w:val="center"/>
          </w:tcPr>
          <w:p>
            <w:pPr>
              <w:spacing w:line="240" w:lineRule="auto"/>
              <w:jc w:val="both"/>
              <w:rPr>
                <w:rFonts w:ascii="仿宋_GB2312" w:eastAsia="仿宋_GB2312"/>
                <w:kern w:val="0"/>
              </w:rPr>
            </w:pPr>
            <w:r>
              <w:rPr>
                <w:rFonts w:hint="eastAsia" w:ascii="仿宋_GB2312" w:eastAsia="仿宋_GB2312"/>
                <w:kern w:val="0"/>
              </w:rPr>
              <w:t>在全市开展纪念屈原逝世2300周年系列活动之际，推出屈原碑林手稿线上展览，反响较好，转发、点赞和阅览量数千。</w:t>
            </w:r>
          </w:p>
        </w:tc>
        <w:tc>
          <w:tcPr>
            <w:tcW w:w="543"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1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57" w:type="dxa"/>
            <w:tcBorders>
              <w:right w:val="single" w:color="auto" w:sz="4" w:space="0"/>
            </w:tcBorders>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6"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01"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vMerge w:val="continue"/>
            <w:tcBorders>
              <w:top w:val="nil"/>
            </w:tcBorders>
            <w:vAlign w:val="center"/>
          </w:tcPr>
          <w:p>
            <w:pPr>
              <w:spacing w:line="240" w:lineRule="auto"/>
              <w:ind w:firstLine="420"/>
              <w:jc w:val="center"/>
              <w:rPr>
                <w:rFonts w:ascii="仿宋_GB2312" w:eastAsia="仿宋_GB2312"/>
                <w:kern w:val="0"/>
              </w:rPr>
            </w:pPr>
          </w:p>
        </w:tc>
        <w:tc>
          <w:tcPr>
            <w:tcW w:w="1500" w:type="dxa"/>
            <w:vAlign w:val="center"/>
          </w:tcPr>
          <w:p>
            <w:pPr>
              <w:spacing w:line="240" w:lineRule="auto"/>
              <w:jc w:val="left"/>
              <w:rPr>
                <w:rFonts w:ascii="仿宋_GB2312" w:eastAsia="仿宋_GB2312"/>
                <w:kern w:val="0"/>
              </w:rPr>
            </w:pPr>
            <w:r>
              <w:rPr>
                <w:rFonts w:hint="eastAsia" w:ascii="仿宋_GB2312" w:eastAsia="仿宋_GB2312"/>
                <w:kern w:val="0"/>
              </w:rPr>
              <w:t>档案保管保护</w:t>
            </w:r>
          </w:p>
        </w:tc>
        <w:tc>
          <w:tcPr>
            <w:tcW w:w="1115" w:type="dxa"/>
            <w:vAlign w:val="center"/>
          </w:tcPr>
          <w:p>
            <w:pPr>
              <w:spacing w:line="240" w:lineRule="auto"/>
              <w:ind w:firstLine="420"/>
              <w:jc w:val="both"/>
              <w:rPr>
                <w:rFonts w:ascii="仿宋_GB2312" w:eastAsia="仿宋_GB2312"/>
                <w:kern w:val="0"/>
              </w:rPr>
            </w:pPr>
            <w:r>
              <w:rPr>
                <w:rFonts w:hint="eastAsia" w:ascii="仿宋_GB2312" w:eastAsia="仿宋_GB2312"/>
                <w:kern w:val="0"/>
              </w:rPr>
              <w:t>较强</w:t>
            </w:r>
          </w:p>
        </w:tc>
        <w:tc>
          <w:tcPr>
            <w:tcW w:w="1570" w:type="dxa"/>
            <w:vAlign w:val="center"/>
          </w:tcPr>
          <w:p>
            <w:pPr>
              <w:spacing w:line="240" w:lineRule="auto"/>
              <w:jc w:val="both"/>
              <w:rPr>
                <w:rFonts w:ascii="仿宋_GB2312" w:eastAsia="仿宋_GB2312"/>
                <w:kern w:val="0"/>
              </w:rPr>
            </w:pPr>
            <w:r>
              <w:rPr>
                <w:rFonts w:hint="eastAsia" w:ascii="仿宋_GB2312" w:eastAsia="仿宋_GB2312"/>
                <w:kern w:val="0"/>
              </w:rPr>
              <w:t>对积存图纸进行了修复裱糊、编目，对部分会计档案进行了清理造册，对同一全宗根据档案查找利用频率重新排列上架，有效提高了档案查找利用效率，腾出库存容量，增强了实体档案接收进馆能力。</w:t>
            </w:r>
          </w:p>
        </w:tc>
        <w:tc>
          <w:tcPr>
            <w:tcW w:w="543"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1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357" w:type="dxa"/>
            <w:tcBorders>
              <w:right w:val="single" w:color="auto" w:sz="4" w:space="0"/>
            </w:tcBorders>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74" w:type="dxa"/>
            <w:vMerge w:val="continue"/>
            <w:tcBorders>
              <w:left w:val="single" w:color="auto" w:sz="4" w:space="0"/>
              <w:bottom w:val="single" w:color="auto" w:sz="4" w:space="0"/>
            </w:tcBorders>
            <w:textDirection w:val="tbRlV"/>
            <w:vAlign w:val="center"/>
          </w:tcPr>
          <w:p>
            <w:pPr>
              <w:spacing w:line="240" w:lineRule="auto"/>
              <w:ind w:firstLine="420"/>
              <w:jc w:val="center"/>
              <w:rPr>
                <w:rFonts w:ascii="仿宋_GB2312" w:eastAsia="仿宋_GB2312"/>
                <w:kern w:val="0"/>
              </w:rPr>
            </w:pPr>
          </w:p>
        </w:tc>
        <w:tc>
          <w:tcPr>
            <w:tcW w:w="1001" w:type="dxa"/>
            <w:vMerge w:val="continue"/>
            <w:tcBorders>
              <w:top w:val="nil"/>
              <w:bottom w:val="single" w:color="auto" w:sz="4" w:space="0"/>
            </w:tcBorders>
            <w:vAlign w:val="center"/>
          </w:tcPr>
          <w:p>
            <w:pPr>
              <w:spacing w:line="240" w:lineRule="auto"/>
              <w:ind w:firstLine="420"/>
              <w:jc w:val="center"/>
              <w:rPr>
                <w:rFonts w:ascii="仿宋_GB2312" w:eastAsia="仿宋_GB2312"/>
                <w:kern w:val="0"/>
              </w:rPr>
            </w:pPr>
          </w:p>
        </w:tc>
        <w:tc>
          <w:tcPr>
            <w:tcW w:w="1029" w:type="dxa"/>
            <w:tcBorders>
              <w:bottom w:val="single" w:color="auto" w:sz="4" w:space="0"/>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500" w:type="dxa"/>
            <w:tcBorders>
              <w:bottom w:val="single" w:color="auto" w:sz="4" w:space="0"/>
            </w:tcBorders>
            <w:vAlign w:val="center"/>
          </w:tcPr>
          <w:p>
            <w:pPr>
              <w:spacing w:line="240" w:lineRule="auto"/>
              <w:jc w:val="both"/>
              <w:rPr>
                <w:rFonts w:ascii="仿宋_GB2312" w:eastAsia="仿宋_GB2312"/>
                <w:kern w:val="0"/>
              </w:rPr>
            </w:pPr>
            <w:r>
              <w:rPr>
                <w:rFonts w:hint="eastAsia" w:ascii="仿宋_GB2312" w:eastAsia="仿宋_GB2312"/>
                <w:kern w:val="0"/>
              </w:rPr>
              <w:t>完成工作及时率</w:t>
            </w:r>
          </w:p>
        </w:tc>
        <w:tc>
          <w:tcPr>
            <w:tcW w:w="1115" w:type="dxa"/>
            <w:tcBorders>
              <w:bottom w:val="single" w:color="auto" w:sz="4" w:space="0"/>
            </w:tcBorders>
            <w:vAlign w:val="center"/>
          </w:tcPr>
          <w:p>
            <w:pPr>
              <w:spacing w:line="240" w:lineRule="auto"/>
              <w:ind w:firstLine="420"/>
              <w:jc w:val="center"/>
              <w:rPr>
                <w:rFonts w:ascii="仿宋_GB2312" w:eastAsia="仿宋_GB2312"/>
                <w:kern w:val="0"/>
              </w:rPr>
            </w:pPr>
            <w:r>
              <w:rPr>
                <w:rFonts w:hint="eastAsia" w:ascii="仿宋_GB2312" w:eastAsia="仿宋_GB2312"/>
                <w:kern w:val="0"/>
              </w:rPr>
              <w:t>100%</w:t>
            </w:r>
          </w:p>
        </w:tc>
        <w:tc>
          <w:tcPr>
            <w:tcW w:w="1570" w:type="dxa"/>
            <w:tcBorders>
              <w:bottom w:val="single" w:color="auto" w:sz="4" w:space="0"/>
            </w:tcBorders>
            <w:vAlign w:val="center"/>
          </w:tcPr>
          <w:p>
            <w:pPr>
              <w:spacing w:line="240" w:lineRule="auto"/>
              <w:ind w:firstLine="420"/>
              <w:jc w:val="center"/>
              <w:rPr>
                <w:rFonts w:ascii="仿宋_GB2312" w:eastAsia="仿宋_GB2312"/>
                <w:kern w:val="0"/>
              </w:rPr>
            </w:pPr>
            <w:r>
              <w:rPr>
                <w:rFonts w:hint="eastAsia" w:ascii="仿宋_GB2312" w:eastAsia="仿宋_GB2312"/>
                <w:kern w:val="0"/>
              </w:rPr>
              <w:t>100%</w:t>
            </w:r>
          </w:p>
        </w:tc>
        <w:tc>
          <w:tcPr>
            <w:tcW w:w="543" w:type="dxa"/>
            <w:tcBorders>
              <w:bottom w:val="single" w:color="auto" w:sz="4" w:space="0"/>
            </w:tcBorders>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15" w:type="dxa"/>
            <w:tcBorders>
              <w:bottom w:val="single" w:color="auto" w:sz="4" w:space="0"/>
            </w:tcBorders>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57" w:type="dxa"/>
            <w:tcBorders>
              <w:bottom w:val="single" w:color="auto" w:sz="4" w:space="0"/>
              <w:right w:val="single" w:color="auto" w:sz="4" w:space="0"/>
            </w:tcBorders>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single" w:color="auto" w:sz="4" w:space="0"/>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01" w:type="dxa"/>
            <w:vMerge w:val="restart"/>
            <w:tcBorders>
              <w:top w:val="single" w:color="auto" w:sz="4" w:space="0"/>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auto" w:sz="4" w:space="0"/>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500" w:type="dxa"/>
            <w:tcBorders>
              <w:top w:val="single" w:color="auto" w:sz="4" w:space="0"/>
            </w:tcBorders>
            <w:vAlign w:val="center"/>
          </w:tcPr>
          <w:p>
            <w:pPr>
              <w:spacing w:line="240" w:lineRule="auto"/>
              <w:jc w:val="both"/>
              <w:rPr>
                <w:rFonts w:ascii="仿宋_GB2312" w:eastAsia="仿宋_GB2312"/>
                <w:kern w:val="0"/>
              </w:rPr>
            </w:pPr>
            <w:r>
              <w:rPr>
                <w:rFonts w:hint="eastAsia" w:ascii="仿宋_GB2312" w:eastAsia="仿宋_GB2312"/>
                <w:kern w:val="0"/>
              </w:rPr>
              <w:t>档案管理和查阅进一步规范</w:t>
            </w:r>
          </w:p>
        </w:tc>
        <w:tc>
          <w:tcPr>
            <w:tcW w:w="1115" w:type="dxa"/>
            <w:tcBorders>
              <w:top w:val="single" w:color="auto" w:sz="4" w:space="0"/>
            </w:tcBorders>
            <w:vAlign w:val="center"/>
          </w:tcPr>
          <w:p>
            <w:pPr>
              <w:spacing w:line="240" w:lineRule="auto"/>
              <w:ind w:firstLine="420"/>
              <w:jc w:val="center"/>
              <w:rPr>
                <w:rFonts w:ascii="仿宋_GB2312" w:eastAsia="仿宋_GB2312"/>
                <w:kern w:val="0"/>
              </w:rPr>
            </w:pPr>
            <w:r>
              <w:rPr>
                <w:rFonts w:hint="eastAsia" w:ascii="仿宋_GB2312" w:eastAsia="仿宋_GB2312"/>
                <w:kern w:val="0"/>
              </w:rPr>
              <w:t>98%</w:t>
            </w:r>
          </w:p>
        </w:tc>
        <w:tc>
          <w:tcPr>
            <w:tcW w:w="1570" w:type="dxa"/>
            <w:tcBorders>
              <w:top w:val="single" w:color="auto" w:sz="4" w:space="0"/>
            </w:tcBorders>
            <w:vAlign w:val="center"/>
          </w:tcPr>
          <w:p>
            <w:pPr>
              <w:spacing w:line="240" w:lineRule="auto"/>
              <w:ind w:firstLine="420"/>
              <w:jc w:val="center"/>
              <w:rPr>
                <w:rFonts w:ascii="仿宋_GB2312" w:eastAsia="仿宋_GB2312"/>
                <w:kern w:val="0"/>
              </w:rPr>
            </w:pPr>
            <w:r>
              <w:rPr>
                <w:rFonts w:hint="eastAsia" w:ascii="仿宋_GB2312" w:eastAsia="仿宋_GB2312"/>
                <w:kern w:val="0"/>
              </w:rPr>
              <w:t>99%</w:t>
            </w:r>
          </w:p>
        </w:tc>
        <w:tc>
          <w:tcPr>
            <w:tcW w:w="543" w:type="dxa"/>
            <w:tcBorders>
              <w:top w:val="single" w:color="auto" w:sz="4" w:space="0"/>
            </w:tcBorders>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15" w:type="dxa"/>
            <w:tcBorders>
              <w:top w:val="single" w:color="auto" w:sz="4" w:space="0"/>
            </w:tcBorders>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57" w:type="dxa"/>
            <w:tcBorders>
              <w:top w:val="single" w:color="auto" w:sz="4" w:space="0"/>
            </w:tcBorders>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01"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500" w:type="dxa"/>
            <w:vAlign w:val="center"/>
          </w:tcPr>
          <w:p>
            <w:pPr>
              <w:spacing w:line="240" w:lineRule="auto"/>
              <w:ind w:firstLine="420"/>
              <w:jc w:val="center"/>
              <w:rPr>
                <w:rFonts w:ascii="仿宋_GB2312" w:eastAsia="仿宋_GB2312"/>
                <w:kern w:val="0"/>
              </w:rPr>
            </w:pPr>
          </w:p>
        </w:tc>
        <w:tc>
          <w:tcPr>
            <w:tcW w:w="1115" w:type="dxa"/>
            <w:vAlign w:val="center"/>
          </w:tcPr>
          <w:p>
            <w:pPr>
              <w:spacing w:line="240" w:lineRule="auto"/>
              <w:ind w:firstLine="420"/>
              <w:jc w:val="center"/>
              <w:rPr>
                <w:rFonts w:ascii="仿宋_GB2312" w:eastAsia="仿宋_GB2312"/>
                <w:kern w:val="0"/>
              </w:rPr>
            </w:pPr>
          </w:p>
        </w:tc>
        <w:tc>
          <w:tcPr>
            <w:tcW w:w="1570" w:type="dxa"/>
            <w:vAlign w:val="center"/>
          </w:tcPr>
          <w:p>
            <w:pPr>
              <w:spacing w:line="240" w:lineRule="auto"/>
              <w:ind w:firstLine="420"/>
              <w:jc w:val="center"/>
              <w:rPr>
                <w:rFonts w:ascii="仿宋_GB2312" w:eastAsia="仿宋_GB2312"/>
                <w:kern w:val="0"/>
              </w:rPr>
            </w:pPr>
          </w:p>
        </w:tc>
        <w:tc>
          <w:tcPr>
            <w:tcW w:w="543" w:type="dxa"/>
            <w:vAlign w:val="center"/>
          </w:tcPr>
          <w:p>
            <w:pPr>
              <w:spacing w:line="240" w:lineRule="auto"/>
              <w:ind w:firstLine="420"/>
              <w:jc w:val="center"/>
              <w:rPr>
                <w:rFonts w:ascii="仿宋_GB2312" w:eastAsia="仿宋_GB2312"/>
                <w:kern w:val="0"/>
              </w:rPr>
            </w:pPr>
          </w:p>
        </w:tc>
        <w:tc>
          <w:tcPr>
            <w:tcW w:w="915" w:type="dxa"/>
            <w:vAlign w:val="center"/>
          </w:tcPr>
          <w:p>
            <w:pPr>
              <w:spacing w:line="240" w:lineRule="auto"/>
              <w:ind w:firstLine="420"/>
              <w:jc w:val="center"/>
              <w:rPr>
                <w:rFonts w:ascii="仿宋_GB2312" w:eastAsia="仿宋_GB2312"/>
                <w:kern w:val="0"/>
              </w:rPr>
            </w:pPr>
          </w:p>
        </w:tc>
        <w:tc>
          <w:tcPr>
            <w:tcW w:w="13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01"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500" w:type="dxa"/>
            <w:vAlign w:val="center"/>
          </w:tcPr>
          <w:p>
            <w:pPr>
              <w:spacing w:line="240" w:lineRule="auto"/>
              <w:jc w:val="both"/>
              <w:rPr>
                <w:rFonts w:ascii="仿宋_GB2312" w:eastAsia="仿宋_GB2312"/>
                <w:kern w:val="0"/>
              </w:rPr>
            </w:pPr>
            <w:r>
              <w:rPr>
                <w:rFonts w:hint="eastAsia" w:ascii="仿宋_GB2312" w:eastAsia="仿宋_GB2312"/>
                <w:kern w:val="0"/>
              </w:rPr>
              <w:t>建立了工作有计划、实施有方案、日常有监督的管理机制、成效、效能得到了提高</w:t>
            </w:r>
          </w:p>
        </w:tc>
        <w:tc>
          <w:tcPr>
            <w:tcW w:w="1115" w:type="dxa"/>
            <w:vAlign w:val="center"/>
          </w:tcPr>
          <w:p>
            <w:pPr>
              <w:spacing w:line="240" w:lineRule="auto"/>
              <w:ind w:firstLine="420"/>
              <w:jc w:val="center"/>
              <w:rPr>
                <w:rFonts w:ascii="仿宋_GB2312" w:eastAsia="仿宋_GB2312"/>
                <w:kern w:val="0"/>
              </w:rPr>
            </w:pPr>
            <w:r>
              <w:rPr>
                <w:rFonts w:hint="eastAsia" w:ascii="仿宋_GB2312" w:eastAsia="仿宋_GB2312"/>
                <w:kern w:val="0"/>
              </w:rPr>
              <w:t>达标</w:t>
            </w:r>
          </w:p>
        </w:tc>
        <w:tc>
          <w:tcPr>
            <w:tcW w:w="1570" w:type="dxa"/>
            <w:vAlign w:val="center"/>
          </w:tcPr>
          <w:p>
            <w:pPr>
              <w:spacing w:line="240" w:lineRule="auto"/>
              <w:ind w:firstLine="420"/>
              <w:jc w:val="center"/>
              <w:rPr>
                <w:rFonts w:ascii="仿宋_GB2312" w:eastAsia="仿宋_GB2312"/>
                <w:kern w:val="0"/>
              </w:rPr>
            </w:pPr>
            <w:r>
              <w:rPr>
                <w:rFonts w:hint="eastAsia" w:ascii="仿宋_GB2312" w:eastAsia="仿宋_GB2312"/>
                <w:kern w:val="0"/>
              </w:rPr>
              <w:t>达标</w:t>
            </w:r>
          </w:p>
        </w:tc>
        <w:tc>
          <w:tcPr>
            <w:tcW w:w="543"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1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01"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500" w:type="dxa"/>
            <w:vAlign w:val="center"/>
          </w:tcPr>
          <w:p>
            <w:pPr>
              <w:spacing w:line="240" w:lineRule="auto"/>
              <w:ind w:firstLine="420"/>
              <w:jc w:val="center"/>
              <w:rPr>
                <w:rFonts w:ascii="仿宋_GB2312" w:eastAsia="仿宋_GB2312"/>
                <w:kern w:val="0"/>
              </w:rPr>
            </w:pPr>
          </w:p>
        </w:tc>
        <w:tc>
          <w:tcPr>
            <w:tcW w:w="1115" w:type="dxa"/>
            <w:vAlign w:val="center"/>
          </w:tcPr>
          <w:p>
            <w:pPr>
              <w:spacing w:line="240" w:lineRule="auto"/>
              <w:ind w:firstLine="420"/>
              <w:jc w:val="center"/>
              <w:rPr>
                <w:rFonts w:ascii="仿宋_GB2312" w:eastAsia="仿宋_GB2312"/>
                <w:kern w:val="0"/>
              </w:rPr>
            </w:pPr>
          </w:p>
        </w:tc>
        <w:tc>
          <w:tcPr>
            <w:tcW w:w="1570" w:type="dxa"/>
            <w:vAlign w:val="center"/>
          </w:tcPr>
          <w:p>
            <w:pPr>
              <w:spacing w:line="240" w:lineRule="auto"/>
              <w:ind w:firstLine="420"/>
              <w:jc w:val="center"/>
              <w:rPr>
                <w:rFonts w:ascii="仿宋_GB2312" w:eastAsia="仿宋_GB2312"/>
                <w:kern w:val="0"/>
              </w:rPr>
            </w:pPr>
          </w:p>
        </w:tc>
        <w:tc>
          <w:tcPr>
            <w:tcW w:w="543" w:type="dxa"/>
            <w:vAlign w:val="center"/>
          </w:tcPr>
          <w:p>
            <w:pPr>
              <w:spacing w:line="240" w:lineRule="auto"/>
              <w:ind w:firstLine="420"/>
              <w:jc w:val="center"/>
              <w:rPr>
                <w:rFonts w:ascii="仿宋_GB2312" w:eastAsia="仿宋_GB2312"/>
                <w:kern w:val="0"/>
              </w:rPr>
            </w:pPr>
          </w:p>
        </w:tc>
        <w:tc>
          <w:tcPr>
            <w:tcW w:w="915" w:type="dxa"/>
            <w:vAlign w:val="center"/>
          </w:tcPr>
          <w:p>
            <w:pPr>
              <w:spacing w:line="240" w:lineRule="auto"/>
              <w:ind w:firstLine="420"/>
              <w:jc w:val="center"/>
              <w:rPr>
                <w:rFonts w:ascii="仿宋_GB2312" w:eastAsia="仿宋_GB2312"/>
                <w:kern w:val="0"/>
              </w:rPr>
            </w:pPr>
          </w:p>
        </w:tc>
        <w:tc>
          <w:tcPr>
            <w:tcW w:w="13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01"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500" w:type="dxa"/>
            <w:vAlign w:val="center"/>
          </w:tcPr>
          <w:p>
            <w:pPr>
              <w:spacing w:line="240" w:lineRule="auto"/>
              <w:jc w:val="both"/>
              <w:rPr>
                <w:rFonts w:ascii="仿宋_GB2312" w:eastAsia="仿宋_GB2312"/>
                <w:kern w:val="0"/>
              </w:rPr>
            </w:pPr>
            <w:r>
              <w:rPr>
                <w:rFonts w:hint="eastAsia" w:ascii="仿宋_GB2312" w:eastAsia="仿宋_GB2312"/>
                <w:kern w:val="0"/>
              </w:rPr>
              <w:t>服务对象满意度</w:t>
            </w:r>
          </w:p>
        </w:tc>
        <w:tc>
          <w:tcPr>
            <w:tcW w:w="1115"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90%</w:t>
            </w:r>
          </w:p>
        </w:tc>
        <w:tc>
          <w:tcPr>
            <w:tcW w:w="1570"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543"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1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01"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500" w:type="dxa"/>
            <w:vAlign w:val="center"/>
          </w:tcPr>
          <w:p>
            <w:pPr>
              <w:spacing w:line="240" w:lineRule="auto"/>
              <w:ind w:firstLine="420"/>
              <w:jc w:val="center"/>
              <w:rPr>
                <w:rFonts w:ascii="仿宋_GB2312" w:eastAsia="仿宋_GB2312"/>
                <w:kern w:val="0"/>
              </w:rPr>
            </w:pPr>
            <w:r>
              <w:rPr>
                <w:rFonts w:hint="eastAsia" w:ascii="仿宋_GB2312" w:eastAsia="仿宋_GB2312"/>
                <w:kern w:val="0"/>
              </w:rPr>
              <w:t>成本节约率</w:t>
            </w:r>
          </w:p>
        </w:tc>
        <w:tc>
          <w:tcPr>
            <w:tcW w:w="1115"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小于等于0%</w:t>
            </w:r>
          </w:p>
        </w:tc>
        <w:tc>
          <w:tcPr>
            <w:tcW w:w="1570" w:type="dxa"/>
            <w:vAlign w:val="center"/>
          </w:tcPr>
          <w:p>
            <w:pPr>
              <w:spacing w:line="240" w:lineRule="auto"/>
              <w:ind w:firstLine="420"/>
              <w:jc w:val="center"/>
              <w:rPr>
                <w:rFonts w:ascii="仿宋_GB2312" w:eastAsia="仿宋_GB2312"/>
                <w:kern w:val="0"/>
              </w:rPr>
            </w:pPr>
            <w:r>
              <w:rPr>
                <w:rFonts w:hint="eastAsia" w:ascii="仿宋_GB2312" w:eastAsia="仿宋_GB2312"/>
                <w:kern w:val="0"/>
              </w:rPr>
              <w:t>全年执行数等于预算数</w:t>
            </w:r>
          </w:p>
        </w:tc>
        <w:tc>
          <w:tcPr>
            <w:tcW w:w="543"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915"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01"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500" w:type="dxa"/>
            <w:vAlign w:val="center"/>
          </w:tcPr>
          <w:p>
            <w:pPr>
              <w:spacing w:line="240" w:lineRule="auto"/>
              <w:ind w:firstLine="420"/>
              <w:jc w:val="center"/>
              <w:rPr>
                <w:rFonts w:ascii="仿宋_GB2312" w:eastAsia="仿宋_GB2312"/>
                <w:kern w:val="0"/>
              </w:rPr>
            </w:pPr>
          </w:p>
        </w:tc>
        <w:tc>
          <w:tcPr>
            <w:tcW w:w="1115" w:type="dxa"/>
            <w:vAlign w:val="center"/>
          </w:tcPr>
          <w:p>
            <w:pPr>
              <w:spacing w:line="240" w:lineRule="auto"/>
              <w:ind w:firstLine="420"/>
              <w:jc w:val="center"/>
              <w:rPr>
                <w:rFonts w:ascii="仿宋_GB2312" w:eastAsia="仿宋_GB2312"/>
                <w:kern w:val="0"/>
              </w:rPr>
            </w:pPr>
          </w:p>
        </w:tc>
        <w:tc>
          <w:tcPr>
            <w:tcW w:w="1570" w:type="dxa"/>
            <w:vAlign w:val="center"/>
          </w:tcPr>
          <w:p>
            <w:pPr>
              <w:spacing w:line="240" w:lineRule="auto"/>
              <w:ind w:firstLine="420"/>
              <w:jc w:val="center"/>
              <w:rPr>
                <w:rFonts w:ascii="仿宋_GB2312" w:eastAsia="仿宋_GB2312"/>
                <w:kern w:val="0"/>
              </w:rPr>
            </w:pPr>
          </w:p>
        </w:tc>
        <w:tc>
          <w:tcPr>
            <w:tcW w:w="543" w:type="dxa"/>
            <w:vAlign w:val="center"/>
          </w:tcPr>
          <w:p>
            <w:pPr>
              <w:spacing w:line="240" w:lineRule="auto"/>
              <w:ind w:firstLine="420"/>
              <w:jc w:val="center"/>
              <w:rPr>
                <w:rFonts w:ascii="仿宋_GB2312" w:eastAsia="仿宋_GB2312"/>
                <w:kern w:val="0"/>
              </w:rPr>
            </w:pPr>
          </w:p>
        </w:tc>
        <w:tc>
          <w:tcPr>
            <w:tcW w:w="915" w:type="dxa"/>
            <w:vAlign w:val="center"/>
          </w:tcPr>
          <w:p>
            <w:pPr>
              <w:spacing w:line="240" w:lineRule="auto"/>
              <w:ind w:firstLine="420"/>
              <w:jc w:val="center"/>
              <w:rPr>
                <w:rFonts w:ascii="仿宋_GB2312" w:eastAsia="仿宋_GB2312"/>
                <w:kern w:val="0"/>
              </w:rPr>
            </w:pPr>
          </w:p>
        </w:tc>
        <w:tc>
          <w:tcPr>
            <w:tcW w:w="13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left w:val="single" w:color="auto" w:sz="4" w:space="0"/>
            </w:tcBorders>
            <w:textDirection w:val="tbRlV"/>
            <w:vAlign w:val="center"/>
          </w:tcPr>
          <w:p>
            <w:pPr>
              <w:spacing w:line="240" w:lineRule="auto"/>
              <w:ind w:firstLine="420"/>
              <w:jc w:val="center"/>
              <w:rPr>
                <w:rFonts w:ascii="仿宋_GB2312" w:eastAsia="仿宋_GB2312"/>
                <w:kern w:val="0"/>
              </w:rPr>
            </w:pPr>
          </w:p>
        </w:tc>
        <w:tc>
          <w:tcPr>
            <w:tcW w:w="1001" w:type="dxa"/>
            <w:vMerge w:val="continue"/>
            <w:vAlign w:val="center"/>
          </w:tcPr>
          <w:p>
            <w:pPr>
              <w:spacing w:line="240" w:lineRule="auto"/>
              <w:ind w:firstLine="420"/>
              <w:jc w:val="center"/>
              <w:rPr>
                <w:rFonts w:ascii="仿宋_GB2312" w:eastAsia="仿宋_GB2312"/>
                <w:kern w:val="0"/>
              </w:rPr>
            </w:pPr>
          </w:p>
        </w:tc>
        <w:tc>
          <w:tcPr>
            <w:tcW w:w="1029"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500" w:type="dxa"/>
            <w:vAlign w:val="center"/>
          </w:tcPr>
          <w:p>
            <w:pPr>
              <w:spacing w:line="240" w:lineRule="auto"/>
              <w:ind w:firstLine="420"/>
              <w:jc w:val="center"/>
              <w:rPr>
                <w:rFonts w:ascii="仿宋_GB2312" w:eastAsia="仿宋_GB2312"/>
                <w:kern w:val="0"/>
              </w:rPr>
            </w:pPr>
          </w:p>
        </w:tc>
        <w:tc>
          <w:tcPr>
            <w:tcW w:w="1115" w:type="dxa"/>
            <w:vAlign w:val="center"/>
          </w:tcPr>
          <w:p>
            <w:pPr>
              <w:spacing w:line="240" w:lineRule="auto"/>
              <w:ind w:firstLine="420"/>
              <w:jc w:val="center"/>
              <w:rPr>
                <w:rFonts w:ascii="仿宋_GB2312" w:eastAsia="仿宋_GB2312"/>
                <w:kern w:val="0"/>
              </w:rPr>
            </w:pPr>
          </w:p>
        </w:tc>
        <w:tc>
          <w:tcPr>
            <w:tcW w:w="1570" w:type="dxa"/>
            <w:vAlign w:val="center"/>
          </w:tcPr>
          <w:p>
            <w:pPr>
              <w:spacing w:line="240" w:lineRule="auto"/>
              <w:ind w:firstLine="420"/>
              <w:jc w:val="center"/>
              <w:rPr>
                <w:rFonts w:ascii="仿宋_GB2312" w:eastAsia="仿宋_GB2312"/>
                <w:kern w:val="0"/>
              </w:rPr>
            </w:pPr>
          </w:p>
        </w:tc>
        <w:tc>
          <w:tcPr>
            <w:tcW w:w="543" w:type="dxa"/>
            <w:vAlign w:val="center"/>
          </w:tcPr>
          <w:p>
            <w:pPr>
              <w:spacing w:line="240" w:lineRule="auto"/>
              <w:ind w:firstLine="420"/>
              <w:jc w:val="center"/>
              <w:rPr>
                <w:rFonts w:ascii="仿宋_GB2312" w:eastAsia="仿宋_GB2312"/>
                <w:kern w:val="0"/>
              </w:rPr>
            </w:pPr>
          </w:p>
        </w:tc>
        <w:tc>
          <w:tcPr>
            <w:tcW w:w="915" w:type="dxa"/>
            <w:vAlign w:val="center"/>
          </w:tcPr>
          <w:p>
            <w:pPr>
              <w:spacing w:line="240" w:lineRule="auto"/>
              <w:ind w:firstLine="420"/>
              <w:jc w:val="center"/>
              <w:rPr>
                <w:rFonts w:ascii="仿宋_GB2312" w:eastAsia="仿宋_GB2312"/>
                <w:kern w:val="0"/>
              </w:rPr>
            </w:pPr>
          </w:p>
        </w:tc>
        <w:tc>
          <w:tcPr>
            <w:tcW w:w="1357"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289"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543"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915" w:type="dxa"/>
            <w:vAlign w:val="center"/>
          </w:tcPr>
          <w:p>
            <w:pPr>
              <w:spacing w:line="240" w:lineRule="auto"/>
              <w:ind w:firstLine="420"/>
              <w:jc w:val="center"/>
              <w:rPr>
                <w:rFonts w:ascii="仿宋_GB2312" w:eastAsia="仿宋_GB2312"/>
                <w:kern w:val="0"/>
              </w:rPr>
            </w:pPr>
          </w:p>
        </w:tc>
        <w:tc>
          <w:tcPr>
            <w:tcW w:w="1357"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w:t>
            </w:r>
          </w:p>
        </w:tc>
      </w:tr>
    </w:tbl>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rPr>
          <w:rFonts w:hint="eastAsia" w:ascii="宋体" w:hAnsi="宋体" w:eastAsia="宋体" w:cs="宋体"/>
          <w:bCs/>
          <w:snapToGrid w:val="0"/>
          <w:color w:val="000000"/>
          <w:spacing w:val="-4"/>
          <w:sz w:val="28"/>
          <w:szCs w:val="28"/>
          <w:lang w:val="en-US" w:eastAsia="zh-CN" w:bidi="ar-SA"/>
        </w:rPr>
      </w:pPr>
      <w:r>
        <w:rPr>
          <w:rFonts w:hint="eastAsia" w:ascii="宋体" w:hAnsi="宋体" w:eastAsia="宋体" w:cs="宋体"/>
          <w:bCs/>
          <w:snapToGrid w:val="0"/>
          <w:color w:val="000000"/>
          <w:spacing w:val="-4"/>
          <w:sz w:val="28"/>
          <w:szCs w:val="28"/>
          <w:lang w:val="en-US" w:eastAsia="zh-CN" w:bidi="ar-SA"/>
        </w:rPr>
        <w:br w:type="page"/>
      </w: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531"/>
        <w:gridCol w:w="814"/>
        <w:gridCol w:w="1143"/>
        <w:gridCol w:w="714"/>
        <w:gridCol w:w="686"/>
        <w:gridCol w:w="1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档案保管保护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22" w:type="dxa"/>
            <w:gridSpan w:val="4"/>
            <w:vAlign w:val="center"/>
          </w:tcPr>
          <w:p>
            <w:pPr>
              <w:spacing w:line="240" w:lineRule="auto"/>
              <w:ind w:firstLine="420"/>
              <w:jc w:val="center"/>
              <w:rPr>
                <w:rFonts w:ascii="仿宋_GB2312" w:hAnsi="宋体" w:eastAsia="仿宋_GB2312" w:cs="宋体"/>
                <w:kern w:val="0"/>
                <w:lang w:eastAsia="zh-CN"/>
              </w:rPr>
            </w:pPr>
          </w:p>
        </w:tc>
        <w:tc>
          <w:tcPr>
            <w:tcW w:w="114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77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汨罗市档案馆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531"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814"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4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1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686"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71"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531"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w:t>
            </w:r>
          </w:p>
        </w:tc>
        <w:tc>
          <w:tcPr>
            <w:tcW w:w="814"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w:t>
            </w:r>
          </w:p>
        </w:tc>
        <w:tc>
          <w:tcPr>
            <w:tcW w:w="114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w:t>
            </w:r>
          </w:p>
        </w:tc>
        <w:tc>
          <w:tcPr>
            <w:tcW w:w="714"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686"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71"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531"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w:t>
            </w:r>
          </w:p>
        </w:tc>
        <w:tc>
          <w:tcPr>
            <w:tcW w:w="814"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w:t>
            </w:r>
          </w:p>
        </w:tc>
        <w:tc>
          <w:tcPr>
            <w:tcW w:w="114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w:t>
            </w:r>
          </w:p>
        </w:tc>
        <w:tc>
          <w:tcPr>
            <w:tcW w:w="714"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15</w:t>
            </w:r>
          </w:p>
        </w:tc>
        <w:tc>
          <w:tcPr>
            <w:tcW w:w="686" w:type="dxa"/>
            <w:vAlign w:val="center"/>
          </w:tcPr>
          <w:p>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371" w:type="dxa"/>
            <w:vAlign w:val="center"/>
          </w:tcPr>
          <w:p>
            <w:pPr>
              <w:spacing w:line="240" w:lineRule="auto"/>
              <w:ind w:firstLine="420" w:firstLineChars="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531" w:type="dxa"/>
            <w:vAlign w:val="center"/>
          </w:tcPr>
          <w:p>
            <w:pPr>
              <w:spacing w:line="240" w:lineRule="auto"/>
              <w:ind w:firstLine="420"/>
              <w:jc w:val="center"/>
              <w:rPr>
                <w:rFonts w:ascii="仿宋_GB2312" w:hAnsi="宋体" w:eastAsia="仿宋_GB2312" w:cs="宋体"/>
                <w:kern w:val="0"/>
                <w:lang w:eastAsia="zh-CN"/>
              </w:rPr>
            </w:pPr>
          </w:p>
        </w:tc>
        <w:tc>
          <w:tcPr>
            <w:tcW w:w="814" w:type="dxa"/>
            <w:vAlign w:val="center"/>
          </w:tcPr>
          <w:p>
            <w:pPr>
              <w:spacing w:line="240" w:lineRule="auto"/>
              <w:ind w:firstLine="420"/>
              <w:jc w:val="center"/>
              <w:rPr>
                <w:rFonts w:ascii="仿宋_GB2312" w:hAnsi="宋体" w:eastAsia="仿宋_GB2312" w:cs="宋体"/>
                <w:kern w:val="0"/>
                <w:lang w:eastAsia="zh-CN"/>
              </w:rPr>
            </w:pPr>
          </w:p>
        </w:tc>
        <w:tc>
          <w:tcPr>
            <w:tcW w:w="1143" w:type="dxa"/>
            <w:vAlign w:val="center"/>
          </w:tcPr>
          <w:p>
            <w:pPr>
              <w:spacing w:line="240" w:lineRule="auto"/>
              <w:ind w:firstLine="420"/>
              <w:jc w:val="center"/>
              <w:rPr>
                <w:rFonts w:ascii="仿宋_GB2312" w:hAnsi="宋体" w:eastAsia="仿宋_GB2312" w:cs="宋体"/>
                <w:kern w:val="0"/>
                <w:lang w:eastAsia="zh-CN"/>
              </w:rPr>
            </w:pPr>
          </w:p>
        </w:tc>
        <w:tc>
          <w:tcPr>
            <w:tcW w:w="714" w:type="dxa"/>
            <w:vAlign w:val="center"/>
          </w:tcPr>
          <w:p>
            <w:pPr>
              <w:spacing w:line="240" w:lineRule="auto"/>
              <w:ind w:firstLine="420"/>
              <w:jc w:val="center"/>
              <w:rPr>
                <w:rFonts w:ascii="仿宋_GB2312" w:hAnsi="宋体" w:eastAsia="仿宋_GB2312" w:cs="宋体"/>
                <w:kern w:val="0"/>
                <w:lang w:eastAsia="zh-CN"/>
              </w:rPr>
            </w:pPr>
          </w:p>
        </w:tc>
        <w:tc>
          <w:tcPr>
            <w:tcW w:w="686" w:type="dxa"/>
            <w:vAlign w:val="center"/>
          </w:tcPr>
          <w:p>
            <w:pPr>
              <w:spacing w:line="240" w:lineRule="auto"/>
              <w:ind w:firstLine="420"/>
              <w:jc w:val="center"/>
              <w:rPr>
                <w:rFonts w:ascii="仿宋_GB2312" w:hAnsi="宋体" w:eastAsia="仿宋_GB2312" w:cs="宋体"/>
                <w:kern w:val="0"/>
                <w:lang w:eastAsia="zh-CN"/>
              </w:rPr>
            </w:pPr>
          </w:p>
        </w:tc>
        <w:tc>
          <w:tcPr>
            <w:tcW w:w="1371"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531" w:type="dxa"/>
            <w:vAlign w:val="center"/>
          </w:tcPr>
          <w:p>
            <w:pPr>
              <w:spacing w:line="240" w:lineRule="auto"/>
              <w:ind w:firstLine="420"/>
              <w:jc w:val="center"/>
              <w:rPr>
                <w:rFonts w:ascii="仿宋_GB2312" w:hAnsi="宋体" w:eastAsia="仿宋_GB2312" w:cs="宋体"/>
                <w:kern w:val="0"/>
              </w:rPr>
            </w:pPr>
          </w:p>
        </w:tc>
        <w:tc>
          <w:tcPr>
            <w:tcW w:w="814" w:type="dxa"/>
            <w:vAlign w:val="center"/>
          </w:tcPr>
          <w:p>
            <w:pPr>
              <w:spacing w:line="240" w:lineRule="auto"/>
              <w:ind w:firstLine="420"/>
              <w:jc w:val="center"/>
              <w:rPr>
                <w:rFonts w:ascii="仿宋_GB2312" w:hAnsi="宋体" w:eastAsia="仿宋_GB2312" w:cs="宋体"/>
                <w:kern w:val="0"/>
              </w:rPr>
            </w:pPr>
          </w:p>
        </w:tc>
        <w:tc>
          <w:tcPr>
            <w:tcW w:w="1143" w:type="dxa"/>
            <w:vAlign w:val="center"/>
          </w:tcPr>
          <w:p>
            <w:pPr>
              <w:spacing w:line="240" w:lineRule="auto"/>
              <w:ind w:firstLine="420"/>
              <w:jc w:val="center"/>
              <w:rPr>
                <w:rFonts w:ascii="仿宋_GB2312" w:hAnsi="宋体" w:eastAsia="仿宋_GB2312" w:cs="宋体"/>
                <w:kern w:val="0"/>
              </w:rPr>
            </w:pPr>
          </w:p>
        </w:tc>
        <w:tc>
          <w:tcPr>
            <w:tcW w:w="714" w:type="dxa"/>
            <w:vAlign w:val="center"/>
          </w:tcPr>
          <w:p>
            <w:pPr>
              <w:spacing w:line="240" w:lineRule="auto"/>
              <w:ind w:firstLine="420"/>
              <w:jc w:val="center"/>
              <w:rPr>
                <w:rFonts w:ascii="仿宋_GB2312" w:hAnsi="宋体" w:eastAsia="仿宋_GB2312" w:cs="宋体"/>
                <w:kern w:val="0"/>
              </w:rPr>
            </w:pPr>
          </w:p>
        </w:tc>
        <w:tc>
          <w:tcPr>
            <w:tcW w:w="686" w:type="dxa"/>
            <w:vAlign w:val="center"/>
          </w:tcPr>
          <w:p>
            <w:pPr>
              <w:spacing w:line="240" w:lineRule="auto"/>
              <w:ind w:firstLine="420"/>
              <w:jc w:val="center"/>
              <w:rPr>
                <w:rFonts w:ascii="仿宋_GB2312" w:hAnsi="宋体" w:eastAsia="仿宋_GB2312" w:cs="宋体"/>
                <w:kern w:val="0"/>
              </w:rPr>
            </w:pPr>
          </w:p>
        </w:tc>
        <w:tc>
          <w:tcPr>
            <w:tcW w:w="1371"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622"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914"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622" w:type="dxa"/>
            <w:gridSpan w:val="4"/>
            <w:vAlign w:val="center"/>
          </w:tcPr>
          <w:p>
            <w:pPr>
              <w:spacing w:line="240" w:lineRule="auto"/>
              <w:ind w:firstLine="420"/>
              <w:jc w:val="center"/>
              <w:rPr>
                <w:rFonts w:ascii="仿宋_GB2312" w:hAnsi="宋体" w:eastAsia="仿宋_GB2312" w:cs="宋体"/>
                <w:kern w:val="0"/>
              </w:rPr>
            </w:pPr>
          </w:p>
        </w:tc>
        <w:tc>
          <w:tcPr>
            <w:tcW w:w="3914" w:type="dxa"/>
            <w:gridSpan w:val="4"/>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531"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814"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143"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14"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686"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71"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531"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档案保管保护</w:t>
            </w:r>
          </w:p>
        </w:tc>
        <w:tc>
          <w:tcPr>
            <w:tcW w:w="814" w:type="dxa"/>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143"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接收进馆的全部档案</w:t>
            </w:r>
          </w:p>
        </w:tc>
        <w:tc>
          <w:tcPr>
            <w:tcW w:w="714"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686" w:type="dxa"/>
            <w:vAlign w:val="center"/>
          </w:tcPr>
          <w:p>
            <w:pPr>
              <w:spacing w:line="240" w:lineRule="auto"/>
              <w:ind w:firstLine="420" w:firstLineChars="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71"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531"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培训合格率</w:t>
            </w:r>
          </w:p>
        </w:tc>
        <w:tc>
          <w:tcPr>
            <w:tcW w:w="814" w:type="dxa"/>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143"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714"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686" w:type="dxa"/>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71"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531" w:type="dxa"/>
            <w:tcBorders>
              <w:bottom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向社会提供服务</w:t>
            </w:r>
          </w:p>
        </w:tc>
        <w:tc>
          <w:tcPr>
            <w:tcW w:w="814" w:type="dxa"/>
            <w:tcBorders>
              <w:bottom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143" w:type="dxa"/>
            <w:tcBorders>
              <w:bottom w:val="single" w:color="auto" w:sz="4" w:space="0"/>
            </w:tcBorders>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714" w:type="dxa"/>
            <w:tcBorders>
              <w:bottom w:val="single" w:color="auto" w:sz="4" w:space="0"/>
            </w:tcBorders>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686" w:type="dxa"/>
            <w:tcBorders>
              <w:bottom w:val="single" w:color="auto" w:sz="4" w:space="0"/>
            </w:tcBorders>
            <w:vAlign w:val="center"/>
          </w:tcPr>
          <w:p>
            <w:pPr>
              <w:spacing w:line="240" w:lineRule="auto"/>
              <w:ind w:firstLine="420" w:firstLineChars="0"/>
              <w:jc w:val="center"/>
              <w:rPr>
                <w:rFonts w:ascii="仿宋_GB2312" w:hAnsi="宋体" w:eastAsia="仿宋_GB2312" w:cs="宋体"/>
                <w:kern w:val="0"/>
              </w:rPr>
            </w:pPr>
            <w:r>
              <w:rPr>
                <w:rFonts w:hint="eastAsia" w:ascii="仿宋_GB2312" w:hAnsi="宋体" w:eastAsia="仿宋_GB2312" w:cs="宋体"/>
                <w:kern w:val="0"/>
                <w:lang w:val="en-US" w:eastAsia="zh-CN"/>
              </w:rPr>
              <w:t>10</w:t>
            </w:r>
          </w:p>
        </w:tc>
        <w:tc>
          <w:tcPr>
            <w:tcW w:w="1371" w:type="dxa"/>
            <w:tcBorders>
              <w:bottom w:val="single" w:color="auto" w:sz="4" w:space="0"/>
            </w:tcBorders>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left w:val="single" w:color="auto" w:sz="4" w:space="0"/>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531" w:type="dxa"/>
            <w:tcBorders>
              <w:top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提高认识，完善档案管理体制，做好档案开发与利用，对科学管理，提高经济要下大力度。</w:t>
            </w:r>
          </w:p>
        </w:tc>
        <w:tc>
          <w:tcPr>
            <w:tcW w:w="814" w:type="dxa"/>
            <w:tcBorders>
              <w:top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143" w:type="dxa"/>
            <w:tcBorders>
              <w:top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档案资料保存得到改善</w:t>
            </w:r>
          </w:p>
        </w:tc>
        <w:tc>
          <w:tcPr>
            <w:tcW w:w="714" w:type="dxa"/>
            <w:tcBorders>
              <w:top w:val="single" w:color="auto" w:sz="4" w:space="0"/>
            </w:tcBorders>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686" w:type="dxa"/>
            <w:tcBorders>
              <w:top w:val="single" w:color="auto" w:sz="4" w:space="0"/>
            </w:tcBorders>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71" w:type="dxa"/>
            <w:tcBorders>
              <w:top w:val="single" w:color="auto" w:sz="4" w:space="0"/>
              <w:right w:val="single" w:color="auto" w:sz="4" w:space="0"/>
            </w:tcBorders>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0"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531"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向社会提供信息服务，加强档案管理，促进经济效益加强组织领导，执行目标管理，严格执行目标管理责任制度，加强建设管理，确保建设质量.</w:t>
            </w:r>
          </w:p>
        </w:tc>
        <w:tc>
          <w:tcPr>
            <w:tcW w:w="814" w:type="dxa"/>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143"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714"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686" w:type="dxa"/>
            <w:vAlign w:val="center"/>
          </w:tcPr>
          <w:p>
            <w:pPr>
              <w:spacing w:line="240" w:lineRule="auto"/>
              <w:jc w:val="left"/>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7.6</w:t>
            </w:r>
          </w:p>
        </w:tc>
        <w:tc>
          <w:tcPr>
            <w:tcW w:w="1371" w:type="dxa"/>
            <w:tcBorders>
              <w:right w:val="single" w:color="auto" w:sz="4" w:space="0"/>
            </w:tcBorders>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31"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left w:val="single" w:color="auto" w:sz="4" w:space="0"/>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531" w:type="dxa"/>
            <w:tcBorders>
              <w:bottom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如何保护好特有的档案遗产文物，发挥其文化教育已经成为我国可持续发展战略中的一项重要内容。</w:t>
            </w:r>
          </w:p>
        </w:tc>
        <w:tc>
          <w:tcPr>
            <w:tcW w:w="814" w:type="dxa"/>
            <w:tcBorders>
              <w:bottom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95%</w:t>
            </w:r>
          </w:p>
        </w:tc>
        <w:tc>
          <w:tcPr>
            <w:tcW w:w="1143" w:type="dxa"/>
            <w:tcBorders>
              <w:bottom w:val="single" w:color="auto" w:sz="4" w:space="0"/>
            </w:tcBorders>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714" w:type="dxa"/>
            <w:tcBorders>
              <w:bottom w:val="single" w:color="auto" w:sz="4" w:space="0"/>
            </w:tcBorders>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686" w:type="dxa"/>
            <w:tcBorders>
              <w:bottom w:val="single" w:color="auto" w:sz="4" w:space="0"/>
            </w:tcBorders>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71" w:type="dxa"/>
            <w:tcBorders>
              <w:bottom w:val="single" w:color="auto" w:sz="4" w:space="0"/>
              <w:right w:val="single" w:color="auto" w:sz="4" w:space="0"/>
            </w:tcBorders>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left w:val="single" w:color="auto" w:sz="4" w:space="0"/>
              <w:bottom w:val="single" w:color="auto" w:sz="4" w:space="0"/>
            </w:tcBorders>
            <w:vAlign w:val="center"/>
          </w:tcPr>
          <w:p>
            <w:pPr>
              <w:spacing w:line="240" w:lineRule="auto"/>
              <w:ind w:firstLine="42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531" w:type="dxa"/>
            <w:tcBorders>
              <w:top w:val="single" w:color="auto" w:sz="4" w:space="0"/>
              <w:bottom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档案馆资源的配置，重视对档案工作可持续发展的各种内外因素的因势利导，推进各项工作。</w:t>
            </w:r>
          </w:p>
        </w:tc>
        <w:tc>
          <w:tcPr>
            <w:tcW w:w="814" w:type="dxa"/>
            <w:tcBorders>
              <w:top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143" w:type="dxa"/>
            <w:tcBorders>
              <w:top w:val="single" w:color="auto" w:sz="4" w:space="0"/>
            </w:tcBorders>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实现可持续发展</w:t>
            </w:r>
          </w:p>
        </w:tc>
        <w:tc>
          <w:tcPr>
            <w:tcW w:w="714" w:type="dxa"/>
            <w:tcBorders>
              <w:top w:val="single" w:color="auto" w:sz="4" w:space="0"/>
            </w:tcBorders>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686" w:type="dxa"/>
            <w:tcBorders>
              <w:top w:val="single" w:color="auto" w:sz="4" w:space="0"/>
            </w:tcBorders>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71" w:type="dxa"/>
            <w:tcBorders>
              <w:top w:val="single" w:color="auto" w:sz="4" w:space="0"/>
            </w:tcBorders>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hRule="atLeast"/>
          <w:jc w:val="center"/>
        </w:trPr>
        <w:tc>
          <w:tcPr>
            <w:tcW w:w="1054" w:type="dxa"/>
            <w:vMerge w:val="continue"/>
            <w:tcBorders>
              <w:right w:val="single" w:color="auto" w:sz="4" w:space="0"/>
            </w:tcBorders>
            <w:textDirection w:val="tbRlV"/>
            <w:vAlign w:val="center"/>
          </w:tcPr>
          <w:p>
            <w:pPr>
              <w:spacing w:line="240" w:lineRule="auto"/>
              <w:ind w:firstLine="420"/>
              <w:jc w:val="center"/>
              <w:rPr>
                <w:rFonts w:ascii="仿宋_GB2312" w:hAnsi="宋体" w:eastAsia="仿宋_GB2312" w:cs="宋体"/>
                <w:kern w:val="0"/>
              </w:rPr>
            </w:pPr>
          </w:p>
        </w:tc>
        <w:tc>
          <w:tcPr>
            <w:tcW w:w="1059" w:type="dxa"/>
            <w:tcBorders>
              <w:top w:val="single" w:color="auto" w:sz="4" w:space="0"/>
              <w:left w:val="single" w:color="auto" w:sz="4" w:space="0"/>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auto" w:sz="4" w:space="0"/>
              <w:bottom w:val="single" w:color="auto" w:sz="4" w:space="0"/>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531" w:type="dxa"/>
            <w:tcBorders>
              <w:top w:val="single" w:color="auto" w:sz="4" w:space="0"/>
              <w:bottom w:val="single" w:color="auto" w:sz="4" w:space="0"/>
              <w:right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档案岗位的培训和继续教育.</w:t>
            </w:r>
          </w:p>
        </w:tc>
        <w:tc>
          <w:tcPr>
            <w:tcW w:w="814" w:type="dxa"/>
            <w:tcBorders>
              <w:lef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143"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714"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686"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71"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single" w:color="auto" w:sz="4" w:space="0"/>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auto" w:sz="4" w:space="0"/>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531" w:type="dxa"/>
            <w:tcBorders>
              <w:top w:val="single" w:color="auto" w:sz="4" w:space="0"/>
            </w:tcBorders>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控制在预算内</w:t>
            </w:r>
          </w:p>
        </w:tc>
        <w:tc>
          <w:tcPr>
            <w:tcW w:w="814" w:type="dxa"/>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143"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按时</w:t>
            </w:r>
          </w:p>
        </w:tc>
        <w:tc>
          <w:tcPr>
            <w:tcW w:w="714"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686"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71"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531"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按时处理各单位档案事务</w:t>
            </w:r>
          </w:p>
        </w:tc>
        <w:tc>
          <w:tcPr>
            <w:tcW w:w="814" w:type="dxa"/>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143" w:type="dxa"/>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预算15万元，实际支出14.99万元</w:t>
            </w:r>
          </w:p>
        </w:tc>
        <w:tc>
          <w:tcPr>
            <w:tcW w:w="714"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86"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71"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531" w:type="dxa"/>
            <w:vAlign w:val="center"/>
          </w:tcPr>
          <w:p>
            <w:pPr>
              <w:spacing w:line="240" w:lineRule="auto"/>
              <w:jc w:val="both"/>
              <w:rPr>
                <w:rFonts w:ascii="仿宋_GB2312" w:hAnsi="宋体" w:eastAsia="仿宋_GB2312" w:cs="宋体"/>
                <w:kern w:val="0"/>
              </w:rPr>
            </w:pPr>
            <w:r>
              <w:rPr>
                <w:rFonts w:hint="eastAsia" w:ascii="仿宋_GB2312" w:hAnsi="宋体" w:eastAsia="仿宋_GB2312" w:cs="宋体"/>
                <w:kern w:val="0"/>
              </w:rPr>
              <w:t>管理好档案馆所有档案</w:t>
            </w:r>
          </w:p>
        </w:tc>
        <w:tc>
          <w:tcPr>
            <w:tcW w:w="814" w:type="dxa"/>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snapToGrid w:val="0"/>
                <w:color w:val="000000"/>
                <w:kern w:val="0"/>
                <w:sz w:val="20"/>
                <w:szCs w:val="20"/>
                <w:u w:val="none"/>
                <w:lang w:val="en-US" w:eastAsia="en-US" w:bidi="ar-SA"/>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1143" w:type="dxa"/>
            <w:vAlign w:val="center"/>
          </w:tcPr>
          <w:p>
            <w:pPr>
              <w:spacing w:line="240" w:lineRule="auto"/>
              <w:ind w:firstLine="420"/>
              <w:jc w:val="center"/>
              <w:rPr>
                <w:rFonts w:ascii="仿宋_GB2312" w:hAnsi="宋体" w:eastAsia="仿宋_GB2312" w:cs="宋体"/>
                <w:kern w:val="0"/>
              </w:rPr>
            </w:pPr>
            <w:r>
              <w:rPr>
                <w:rFonts w:hint="eastAsia" w:ascii="微软雅黑" w:hAnsi="微软雅黑" w:eastAsia="微软雅黑" w:cs="微软雅黑"/>
                <w:i w:val="0"/>
                <w:iCs w:val="0"/>
                <w:snapToGrid w:val="0"/>
                <w:color w:val="000000"/>
                <w:kern w:val="0"/>
                <w:sz w:val="20"/>
                <w:szCs w:val="20"/>
                <w:u w:val="none"/>
                <w:lang w:val="en-US" w:eastAsia="zh-CN" w:bidi="ar"/>
              </w:rPr>
              <w:t>100%</w:t>
            </w:r>
          </w:p>
        </w:tc>
        <w:tc>
          <w:tcPr>
            <w:tcW w:w="714"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686"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71" w:type="dxa"/>
            <w:vAlign w:val="center"/>
          </w:tcPr>
          <w:p>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hRule="atLeast"/>
          <w:jc w:val="center"/>
        </w:trPr>
        <w:tc>
          <w:tcPr>
            <w:tcW w:w="681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714"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686" w:type="dxa"/>
            <w:vAlign w:val="center"/>
          </w:tcPr>
          <w:p>
            <w:pPr>
              <w:spacing w:line="240" w:lineRule="auto"/>
              <w:ind w:firstLine="420"/>
              <w:jc w:val="center"/>
              <w:rPr>
                <w:rFonts w:ascii="仿宋_GB2312" w:hAnsi="宋体" w:eastAsia="仿宋_GB2312" w:cs="宋体"/>
                <w:kern w:val="0"/>
              </w:rPr>
            </w:pPr>
          </w:p>
        </w:tc>
        <w:tc>
          <w:tcPr>
            <w:tcW w:w="1371"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99.6</w:t>
            </w: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黑体" w:hAnsi="黑体" w:eastAsia="黑体" w:cs="黑体"/>
          <w:spacing w:val="16"/>
          <w:sz w:val="40"/>
          <w:szCs w:val="40"/>
          <w:lang w:val="en-US" w:eastAsia="zh-CN"/>
        </w:rPr>
        <w:t>汨罗档案馆</w:t>
      </w:r>
      <w:r>
        <w:rPr>
          <w:rFonts w:ascii="黑体" w:hAnsi="黑体" w:eastAsia="黑体" w:cs="黑体"/>
          <w:spacing w:val="16"/>
          <w:sz w:val="40"/>
          <w:szCs w:val="40"/>
        </w:rPr>
        <w:t>部门</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w:t>
      </w:r>
    </w:p>
    <w:p>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16"/>
          <w:sz w:val="40"/>
          <w:szCs w:val="40"/>
          <w:lang w:val="en-US" w:eastAsia="zh-CN"/>
        </w:rPr>
        <w:t>汨罗档案馆</w:t>
      </w: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eastAsia="zh-CN"/>
        </w:rPr>
        <w:t>部门概况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（一）部门（单位）基本情况</w:t>
      </w:r>
      <w:r>
        <w:rPr>
          <w:rFonts w:hint="default" w:ascii="Times New Roman" w:hAnsi="Times New Roman" w:eastAsia="楷体_GB2312" w:cs="Times New Roman"/>
          <w:b/>
          <w:sz w:val="32"/>
          <w:szCs w:val="32"/>
          <w:lang w:eastAsia="zh-CN"/>
        </w:rPr>
        <w:t>。</w:t>
      </w:r>
    </w:p>
    <w:p>
      <w:pPr>
        <w:pStyle w:val="2"/>
        <w:numPr>
          <w:ilvl w:val="0"/>
          <w:numId w:val="0"/>
        </w:numPr>
        <w:ind w:firstLine="964" w:firstLineChars="300"/>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1、部门职责</w:t>
      </w:r>
    </w:p>
    <w:p>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①负责接收按规定应移交进馆的各种门类和载体的档案资料；负责征集散存在社会上的反映我市各个历史时期、具有重要价值和历史研究价值的档案资料以及著名人物在汨罗活动中形成的档案资料；负责全市重要会议、重要活动、重大事件档案资料的收集，并对所征集的档案资料进行鉴定、整理、归档。</w:t>
      </w:r>
    </w:p>
    <w:p>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②负责馆藏档案的科学分类和保管，建立全宗卷，记载立档单位和全宗历史演变情况。负责市档案馆馆藏档案的鉴定开放，编制检索工具，提供档案信息查阅利用；负责市本级馆藏档案安全，维护档案完整，保守党和国家机密。</w:t>
      </w:r>
    </w:p>
    <w:p>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③围绕市委、市政府工作需要，开展档案史料的研究和编纂工作，利用馆藏档案资料举办展览，编辑档案文件汇集和其他有利用价值的参考资料，经批准公布档案文件和史料。</w:t>
      </w:r>
    </w:p>
    <w:p>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④利用现代先进科技和设备研究档案的现代化管理技术，提高档案管理的现代化水平，推进市档案馆数字化建设，全方位有效地开发档案信息资源。</w:t>
      </w:r>
    </w:p>
    <w:p>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⑤制订市档案馆干部队伍建设规划，承办档案专业教育和档案干部培训工作。</w:t>
      </w:r>
    </w:p>
    <w:p>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⑥承办上级交办的其他事项。</w:t>
      </w:r>
    </w:p>
    <w:p>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bookmarkStart w:id="0" w:name="_Toc497834750"/>
      <w:r>
        <w:rPr>
          <w:rFonts w:hint="eastAsia" w:ascii="Times New Roman" w:hAnsi="Times New Roman" w:eastAsia="仿宋_GB2312" w:cs="Times New Roman"/>
          <w:kern w:val="2"/>
          <w:sz w:val="32"/>
          <w:szCs w:val="32"/>
          <w:lang w:val="en-US" w:eastAsia="zh-CN" w:bidi="ar-SA"/>
        </w:rPr>
        <w:t>2、汨罗档案馆各股室主要职能</w:t>
      </w:r>
      <w:bookmarkEnd w:id="0"/>
    </w:p>
    <w:p>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汨罗市4个职能科室，主要职能如下：</w:t>
      </w:r>
    </w:p>
    <w:p>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①办公室。负责编制市档案馆发展的中长期规划和年度计划；负责制订市馆突发事件应急预案等内部管理制度；负责机关文电、机要、保密、档案、信访、接待、会务、人事、财务管理、后勤服务等工作。</w:t>
      </w:r>
    </w:p>
    <w:p>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②接收征集股。负责接收全市各机关、团体、事业企业单位和其他组织需永久和长期保存的档案资料；负责组织实施档案资料征集工作，并对所征集的档案资料进行鉴定、整理、归档；负责征集散存在社会上的反映汨罗市各个历史时期、具有重要价值和历史研究价值以及著名人物在汨罗活动中形成的档案资料；负责全市重大活动、重大事件、重大项目档案资料的接收工作；负责现行文件的收集、整理工作；根据进馆要求，会同相关股室对进馆档案资料进行质量把关。承办档案专业继续教育、培训和对外交流。</w:t>
      </w:r>
    </w:p>
    <w:p>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③管理利用股。负责市档案馆馆藏档案资料的科学分类、保管、保护和鉴定工作；负责本馆待销毁档案的报批和销毁，负责市档案馆修史写志等编纂工作；并根据党和国家相关法律法规开放档案；负责密级档案保密工作；制定市馆馆藏档案资料抢救、修复计划，承担市馆馆藏档案保管、抢救修复工作做好进馆档案的消毒、杀菌、入库上架、质量检测、库房温湿度控制以及登记工作；负责编制检索工具和开放档案目录，编写和印制档案馆指南，接待进馆单位和群众查阅档案；负责提供档案资料、政府公开信息的利用、查询、复印等服务；负责市馆档案工作情况综合和统计；负责对档案资料、现行文件和政府信息利用的效益分析。负责库房设备管理和维护；负责档案库房“九防”工作，确保档案实体安全；负责市档案馆爱国主义教育基地的建设、管理、展览和对外开放工作。</w:t>
      </w:r>
    </w:p>
    <w:p>
      <w:pPr>
        <w:pStyle w:val="2"/>
        <w:numPr>
          <w:ilvl w:val="0"/>
          <w:numId w:val="0"/>
        </w:numPr>
        <w:ind w:firstLine="640" w:firstLineChars="20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④信息技术股。负责制定市档案馆馆藏档案信息资源编研与开发规划；负责编制市档案馆信息化发展中长期规划和数字档案馆建设；负责市馆档案信息交汇网络平台的建设与维护，进行数据管理和备份；负责汨罗市档案馆信息网站网页设计、维护管理，负责市档案馆馆藏档案的数字化工作和控制设备的管理与维护；负责市直单位电子档案的接收、存储；维护档案信息安全，做好档案展览、转运、传输过程中安保工作；负责应对自然灾害和其他突发事件。</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sz w:val="32"/>
          <w:szCs w:val="32"/>
          <w:lang w:eastAsia="zh-CN"/>
        </w:rPr>
      </w:pPr>
      <w:r>
        <w:rPr>
          <w:rFonts w:hint="default" w:ascii="Times New Roman" w:hAnsi="Times New Roman" w:eastAsia="楷体_GB2312" w:cs="Times New Roman"/>
          <w:b/>
          <w:sz w:val="32"/>
          <w:szCs w:val="32"/>
        </w:rPr>
        <w:t>部门（单位）</w:t>
      </w:r>
      <w:r>
        <w:rPr>
          <w:rFonts w:hint="default" w:ascii="Times New Roman" w:hAnsi="Times New Roman" w:eastAsia="楷体_GB2312" w:cs="Times New Roman"/>
          <w:b/>
          <w:sz w:val="32"/>
          <w:szCs w:val="32"/>
          <w:lang w:eastAsia="zh-CN"/>
        </w:rPr>
        <w:t>整体支出规模、使用方向和主要内容、涉及范围等。</w:t>
      </w:r>
    </w:p>
    <w:p>
      <w:pPr>
        <w:pStyle w:val="2"/>
        <w:numPr>
          <w:ilvl w:val="0"/>
          <w:numId w:val="0"/>
        </w:numPr>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2023年本单位支出</w:t>
      </w:r>
      <w:r>
        <w:rPr>
          <w:rFonts w:hint="eastAsia" w:ascii="Times New Roman" w:hAnsi="Times New Roman" w:eastAsia="仿宋_GB2312" w:cs="Times New Roman"/>
          <w:kern w:val="2"/>
          <w:sz w:val="32"/>
          <w:szCs w:val="32"/>
          <w:lang w:val="en-US" w:eastAsia="zh-CN" w:bidi="ar-SA"/>
        </w:rPr>
        <w:t>决</w:t>
      </w:r>
      <w:r>
        <w:rPr>
          <w:rFonts w:hint="default" w:ascii="Times New Roman" w:hAnsi="Times New Roman" w:eastAsia="仿宋_GB2312" w:cs="Times New Roman"/>
          <w:kern w:val="2"/>
          <w:sz w:val="32"/>
          <w:szCs w:val="32"/>
          <w:lang w:val="en-US" w:eastAsia="zh-CN" w:bidi="ar-SA"/>
        </w:rPr>
        <w:t>算</w:t>
      </w:r>
      <w:r>
        <w:rPr>
          <w:rFonts w:hint="eastAsia" w:ascii="Times New Roman" w:hAnsi="Times New Roman" w:eastAsia="仿宋_GB2312" w:cs="Times New Roman"/>
          <w:kern w:val="2"/>
          <w:sz w:val="32"/>
          <w:szCs w:val="32"/>
          <w:lang w:val="en-US" w:eastAsia="zh-CN" w:bidi="ar-SA"/>
        </w:rPr>
        <w:t>279.61</w:t>
      </w:r>
      <w:r>
        <w:rPr>
          <w:rFonts w:hint="default" w:ascii="Times New Roman" w:hAnsi="Times New Roman" w:eastAsia="仿宋_GB2312" w:cs="Times New Roman"/>
          <w:kern w:val="2"/>
          <w:sz w:val="32"/>
          <w:szCs w:val="32"/>
          <w:lang w:val="en-US" w:eastAsia="zh-CN" w:bidi="ar-SA"/>
        </w:rPr>
        <w:t>万元，其中：工资福利支出</w:t>
      </w:r>
      <w:r>
        <w:rPr>
          <w:rFonts w:hint="eastAsia" w:ascii="Times New Roman" w:hAnsi="Times New Roman" w:eastAsia="仿宋_GB2312" w:cs="Times New Roman"/>
          <w:kern w:val="2"/>
          <w:sz w:val="32"/>
          <w:szCs w:val="32"/>
          <w:lang w:val="en-US" w:eastAsia="zh-CN" w:bidi="ar-SA"/>
        </w:rPr>
        <w:t>176.92</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，商品和服务支出80.73万元，对个人和家庭的补助4.76万元，资本性支出17.2万元</w:t>
      </w:r>
      <w:r>
        <w:rPr>
          <w:rFonts w:hint="default" w:ascii="Times New Roman" w:hAnsi="Times New Roman" w:eastAsia="仿宋_GB2312" w:cs="Times New Roman"/>
          <w:kern w:val="2"/>
          <w:sz w:val="32"/>
          <w:szCs w:val="32"/>
          <w:lang w:val="en-US" w:eastAsia="zh-CN" w:bidi="ar-SA"/>
        </w:rPr>
        <w:t>。支出较去年</w:t>
      </w:r>
      <w:r>
        <w:rPr>
          <w:rFonts w:hint="eastAsia" w:ascii="Times New Roman" w:hAnsi="Times New Roman" w:eastAsia="仿宋_GB2312" w:cs="Times New Roman"/>
          <w:kern w:val="2"/>
          <w:sz w:val="32"/>
          <w:szCs w:val="32"/>
          <w:lang w:val="en-US" w:eastAsia="zh-CN" w:bidi="ar-SA"/>
        </w:rPr>
        <w:t>减少49.34</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下降15</w:t>
      </w:r>
      <w:r>
        <w:rPr>
          <w:rFonts w:hint="default" w:ascii="Times New Roman" w:hAnsi="Times New Roman" w:eastAsia="仿宋_GB2312" w:cs="Times New Roman"/>
          <w:kern w:val="2"/>
          <w:sz w:val="32"/>
          <w:szCs w:val="32"/>
          <w:lang w:val="en-US" w:eastAsia="zh-CN" w:bidi="ar-SA"/>
        </w:rPr>
        <w:t>%。</w:t>
      </w:r>
    </w:p>
    <w:p>
      <w:pPr>
        <w:pStyle w:val="10"/>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（一）基本支出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2023年本单位基本支出</w:t>
      </w:r>
      <w:r>
        <w:rPr>
          <w:rFonts w:hint="eastAsia" w:ascii="Times New Roman" w:hAnsi="Times New Roman" w:eastAsia="仿宋_GB2312" w:cs="Times New Roman"/>
          <w:sz w:val="32"/>
          <w:szCs w:val="32"/>
          <w:lang w:val="en-US" w:eastAsia="zh-CN"/>
        </w:rPr>
        <w:t>决</w:t>
      </w:r>
      <w:r>
        <w:rPr>
          <w:rFonts w:hint="default" w:ascii="Times New Roman" w:hAnsi="Times New Roman" w:eastAsia="仿宋_GB2312" w:cs="Times New Roman"/>
          <w:sz w:val="32"/>
          <w:szCs w:val="32"/>
        </w:rPr>
        <w:t>算数</w:t>
      </w:r>
      <w:r>
        <w:rPr>
          <w:rFonts w:hint="eastAsia" w:ascii="Times New Roman" w:hAnsi="Times New Roman" w:eastAsia="仿宋_GB2312" w:cs="Times New Roman"/>
          <w:sz w:val="32"/>
          <w:szCs w:val="32"/>
          <w:lang w:val="en-US" w:eastAsia="zh-CN"/>
        </w:rPr>
        <w:t>182.9</w:t>
      </w:r>
      <w:r>
        <w:rPr>
          <w:rFonts w:hint="default" w:ascii="Times New Roman" w:hAnsi="Times New Roman" w:eastAsia="仿宋_GB2312" w:cs="Times New Roman"/>
          <w:sz w:val="32"/>
          <w:szCs w:val="32"/>
        </w:rPr>
        <w:t>万元，主要是为保障部门正常运转、完成日常工作任务而发生的各项支出，包括用于基本工资、津贴补贴等人员经费以及办公费、印刷费、水电费、办公设备购置等公用经费。其中：工资福利支出</w:t>
      </w:r>
      <w:r>
        <w:rPr>
          <w:rFonts w:hint="eastAsia" w:ascii="Times New Roman" w:hAnsi="Times New Roman" w:eastAsia="仿宋_GB2312" w:cs="Times New Roman"/>
          <w:sz w:val="32"/>
          <w:szCs w:val="32"/>
          <w:lang w:val="en-US" w:eastAsia="zh-CN"/>
        </w:rPr>
        <w:t>138.27</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，商品和服务支出</w:t>
      </w:r>
      <w:r>
        <w:rPr>
          <w:rFonts w:hint="eastAsia" w:ascii="Times New Roman" w:hAnsi="Times New Roman" w:eastAsia="仿宋_GB2312" w:cs="Times New Roman"/>
          <w:sz w:val="32"/>
          <w:szCs w:val="32"/>
          <w:lang w:val="en-US" w:eastAsia="zh-CN"/>
        </w:rPr>
        <w:t>26.85万元，对个人和家庭的补助0.58万元，</w:t>
      </w:r>
      <w:r>
        <w:rPr>
          <w:rFonts w:hint="eastAsia" w:ascii="Times New Roman" w:hAnsi="Times New Roman" w:eastAsia="仿宋_GB2312" w:cs="Times New Roman"/>
          <w:kern w:val="2"/>
          <w:sz w:val="32"/>
          <w:szCs w:val="32"/>
          <w:lang w:val="en-US" w:eastAsia="zh-CN" w:bidi="ar-SA"/>
        </w:rPr>
        <w:t>资本性支出17.2万元</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基本</w:t>
      </w:r>
      <w:r>
        <w:rPr>
          <w:rFonts w:hint="default" w:ascii="Times New Roman" w:hAnsi="Times New Roman" w:eastAsia="仿宋_GB2312" w:cs="Times New Roman"/>
          <w:sz w:val="32"/>
          <w:szCs w:val="32"/>
        </w:rPr>
        <w:t>支出较去年</w:t>
      </w:r>
      <w:r>
        <w:rPr>
          <w:rFonts w:hint="eastAsia" w:ascii="Times New Roman" w:hAnsi="Times New Roman" w:eastAsia="仿宋_GB2312" w:cs="Times New Roman"/>
          <w:sz w:val="32"/>
          <w:szCs w:val="32"/>
          <w:lang w:val="en-US" w:eastAsia="zh-CN"/>
        </w:rPr>
        <w:t>减少47.41</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下降20.59</w:t>
      </w:r>
      <w:r>
        <w:rPr>
          <w:rFonts w:hint="default" w:ascii="Times New Roman" w:hAnsi="Times New Roman" w:eastAsia="仿宋_GB2312" w:cs="Times New Roman"/>
          <w:sz w:val="32"/>
          <w:szCs w:val="32"/>
        </w:rPr>
        <w:t>%。主要是人员费用的调整</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eastAsia="仿宋_GB2312"/>
          <w:lang w:val="en-US" w:eastAsia="zh-CN"/>
        </w:rPr>
      </w:pPr>
      <w:r>
        <w:rPr>
          <w:rFonts w:hint="default" w:ascii="Times New Roman" w:hAnsi="Times New Roman" w:eastAsia="仿宋_GB2312" w:cs="Times New Roman"/>
          <w:sz w:val="32"/>
          <w:szCs w:val="32"/>
        </w:rPr>
        <w:t>“三公”经费：2023年</w:t>
      </w:r>
      <w:r>
        <w:rPr>
          <w:rFonts w:hint="eastAsia" w:ascii="Times New Roman" w:hAnsi="Times New Roman" w:eastAsia="仿宋_GB2312" w:cs="Times New Roman"/>
          <w:sz w:val="32"/>
          <w:szCs w:val="32"/>
          <w:lang w:eastAsia="zh-CN"/>
        </w:rPr>
        <w:t>汨罗市档案馆</w:t>
      </w:r>
      <w:r>
        <w:rPr>
          <w:rFonts w:hint="default" w:ascii="Times New Roman" w:hAnsi="Times New Roman" w:eastAsia="仿宋_GB2312" w:cs="Times New Roman"/>
          <w:sz w:val="32"/>
          <w:szCs w:val="32"/>
        </w:rPr>
        <w:t>“三公”经费</w:t>
      </w:r>
      <w:r>
        <w:rPr>
          <w:rFonts w:hint="eastAsia" w:ascii="Times New Roman" w:hAnsi="Times New Roman" w:eastAsia="仿宋_GB2312" w:cs="Times New Roman"/>
          <w:sz w:val="32"/>
          <w:szCs w:val="32"/>
          <w:lang w:val="en-US" w:eastAsia="zh-CN"/>
        </w:rPr>
        <w:t>决</w:t>
      </w:r>
      <w:r>
        <w:rPr>
          <w:rFonts w:hint="default" w:ascii="Times New Roman" w:hAnsi="Times New Roman" w:eastAsia="仿宋_GB2312" w:cs="Times New Roman"/>
          <w:sz w:val="32"/>
          <w:szCs w:val="32"/>
        </w:rPr>
        <w:t>算数为</w:t>
      </w:r>
      <w:r>
        <w:rPr>
          <w:rFonts w:hint="eastAsia" w:ascii="Times New Roman" w:hAnsi="Times New Roman" w:eastAsia="仿宋_GB2312" w:cs="Times New Roman"/>
          <w:sz w:val="32"/>
          <w:szCs w:val="32"/>
          <w:lang w:val="en-US" w:eastAsia="zh-CN"/>
        </w:rPr>
        <w:t>0.07</w:t>
      </w:r>
      <w:r>
        <w:rPr>
          <w:rFonts w:hint="default" w:ascii="Times New Roman" w:hAnsi="Times New Roman" w:eastAsia="仿宋_GB2312" w:cs="Times New Roman"/>
          <w:sz w:val="32"/>
          <w:szCs w:val="32"/>
        </w:rPr>
        <w:t>万元，其中，公务接待费</w:t>
      </w:r>
      <w:r>
        <w:rPr>
          <w:rFonts w:hint="eastAsia" w:ascii="Times New Roman" w:hAnsi="Times New Roman" w:eastAsia="仿宋_GB2312" w:cs="Times New Roman"/>
          <w:sz w:val="32"/>
          <w:szCs w:val="32"/>
          <w:lang w:val="en-US" w:eastAsia="zh-CN"/>
        </w:rPr>
        <w:t>0.07</w:t>
      </w:r>
      <w:r>
        <w:rPr>
          <w:rFonts w:hint="default" w:ascii="Times New Roman" w:hAnsi="Times New Roman" w:eastAsia="仿宋_GB2312" w:cs="Times New Roman"/>
          <w:sz w:val="32"/>
          <w:szCs w:val="32"/>
        </w:rPr>
        <w:t>万元，公务用车购置及运行费0.00万元（其中，公务用车购置费0.00万元，公务用车运行费0.00万元），因公出国（境）费0.00万元。2023年“三公”经费预算较2022年</w:t>
      </w:r>
      <w:r>
        <w:rPr>
          <w:rFonts w:hint="eastAsia" w:ascii="Times New Roman" w:hAnsi="Times New Roman" w:eastAsia="仿宋_GB2312" w:cs="Times New Roman"/>
          <w:sz w:val="32"/>
          <w:szCs w:val="32"/>
          <w:lang w:val="en-US" w:eastAsia="zh-CN"/>
        </w:rPr>
        <w:t>减少2.6</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下降97.45%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主要系</w:t>
      </w:r>
      <w:r>
        <w:rPr>
          <w:rFonts w:hint="default" w:ascii="Times New Roman" w:hAnsi="Times New Roman" w:eastAsia="仿宋_GB2312" w:cs="Times New Roman"/>
          <w:sz w:val="32"/>
          <w:szCs w:val="32"/>
        </w:rPr>
        <w:t>严格控制费用，本年接待次数减少</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2023年本单位项目支出</w:t>
      </w:r>
      <w:r>
        <w:rPr>
          <w:rFonts w:hint="eastAsia" w:ascii="Times New Roman" w:hAnsi="Times New Roman" w:eastAsia="仿宋_GB2312" w:cs="Times New Roman"/>
          <w:sz w:val="32"/>
          <w:szCs w:val="32"/>
          <w:lang w:val="en-US" w:eastAsia="zh-CN"/>
        </w:rPr>
        <w:t>决</w:t>
      </w:r>
      <w:r>
        <w:rPr>
          <w:rFonts w:hint="default" w:ascii="Times New Roman" w:hAnsi="Times New Roman" w:eastAsia="仿宋_GB2312" w:cs="Times New Roman"/>
          <w:sz w:val="32"/>
          <w:szCs w:val="32"/>
        </w:rPr>
        <w:t>算</w:t>
      </w:r>
      <w:r>
        <w:rPr>
          <w:rFonts w:hint="eastAsia" w:ascii="Times New Roman" w:hAnsi="Times New Roman" w:eastAsia="仿宋_GB2312" w:cs="Times New Roman"/>
          <w:sz w:val="32"/>
          <w:szCs w:val="32"/>
          <w:lang w:val="en-US" w:eastAsia="zh-CN"/>
        </w:rPr>
        <w:t>96.72</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是指部门为完成特定行政工作任务或事业发展目标而发生的支出，包括有关业务工作经费、运行维护经费等。</w:t>
      </w:r>
      <w:r>
        <w:rPr>
          <w:rFonts w:hint="default" w:ascii="Times New Roman" w:hAnsi="Times New Roman" w:eastAsia="仿宋_GB2312" w:cs="Times New Roman"/>
          <w:sz w:val="32"/>
          <w:szCs w:val="32"/>
          <w:lang w:eastAsia="zh-CN"/>
        </w:rPr>
        <w:t>其中：</w:t>
      </w:r>
      <w:r>
        <w:rPr>
          <w:rFonts w:hint="eastAsia" w:ascii="Times New Roman" w:hAnsi="Times New Roman" w:eastAsia="仿宋_GB2312" w:cs="Times New Roman"/>
          <w:sz w:val="32"/>
          <w:szCs w:val="32"/>
          <w:lang w:val="en-US" w:eastAsia="zh-CN"/>
        </w:rPr>
        <w:t>业务工作费用81.72万元</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档案保管保护</w:t>
      </w:r>
      <w:r>
        <w:rPr>
          <w:rFonts w:hint="eastAsia" w:ascii="Times New Roman" w:hAnsi="Times New Roman" w:eastAsia="仿宋_GB2312" w:cs="Times New Roman"/>
          <w:sz w:val="32"/>
          <w:szCs w:val="32"/>
          <w:lang w:val="en-US" w:eastAsia="zh-CN"/>
        </w:rPr>
        <w:t>15.0万元</w:t>
      </w:r>
      <w:r>
        <w:rPr>
          <w:rFonts w:hint="default" w:ascii="Times New Roman" w:hAnsi="Times New Roman" w:eastAsia="仿宋_GB2312" w:cs="Times New Roman"/>
          <w:sz w:val="32"/>
          <w:szCs w:val="32"/>
          <w:lang w:val="en-US" w:eastAsia="zh-CN"/>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无政府性基金支出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r>
        <w:rPr>
          <w:rFonts w:hint="eastAsia" w:eastAsia="仿宋_GB2312"/>
          <w:kern w:val="0"/>
          <w:sz w:val="32"/>
          <w:szCs w:val="32"/>
          <w:lang w:eastAsia="zh-CN"/>
        </w:rPr>
        <w:t>国有资本经营</w:t>
      </w:r>
      <w:r>
        <w:rPr>
          <w:rFonts w:hint="eastAsia" w:eastAsia="仿宋_GB2312"/>
          <w:kern w:val="0"/>
          <w:sz w:val="32"/>
          <w:szCs w:val="32"/>
          <w:lang w:val="en-US" w:eastAsia="zh-CN"/>
        </w:rPr>
        <w:t>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无社会保险基金支出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本部门所有支出实行绩效目标管理，其中：纳入2023年部门整体支出绩效目标的金额为21</w:t>
      </w:r>
      <w:r>
        <w:rPr>
          <w:rFonts w:hint="eastAsia" w:ascii="Times New Roman" w:hAnsi="Times New Roman" w:eastAsia="仿宋_GB2312" w:cs="Times New Roman"/>
          <w:sz w:val="32"/>
          <w:szCs w:val="32"/>
          <w:lang w:val="en-US" w:eastAsia="zh-CN"/>
        </w:rPr>
        <w:t>6.75</w:t>
      </w:r>
      <w:r>
        <w:rPr>
          <w:rFonts w:hint="default" w:ascii="Times New Roman" w:hAnsi="Times New Roman" w:eastAsia="仿宋_GB2312" w:cs="Times New Roman"/>
          <w:sz w:val="32"/>
          <w:szCs w:val="32"/>
          <w:lang w:val="en-US" w:eastAsia="zh-CN"/>
        </w:rPr>
        <w:t>万元，其中：基本支出</w:t>
      </w:r>
      <w:r>
        <w:rPr>
          <w:rFonts w:hint="eastAsia" w:ascii="Times New Roman" w:hAnsi="Times New Roman" w:eastAsia="仿宋_GB2312" w:cs="Times New Roman"/>
          <w:sz w:val="32"/>
          <w:szCs w:val="32"/>
          <w:lang w:val="en-US" w:eastAsia="zh-CN"/>
        </w:rPr>
        <w:t>201.75</w:t>
      </w:r>
      <w:r>
        <w:rPr>
          <w:rFonts w:hint="default" w:ascii="Times New Roman" w:hAnsi="Times New Roman" w:eastAsia="仿宋_GB2312" w:cs="Times New Roman"/>
          <w:sz w:val="32"/>
          <w:szCs w:val="32"/>
          <w:lang w:val="en-US" w:eastAsia="zh-CN"/>
        </w:rPr>
        <w:t>万元，项目支出</w:t>
      </w:r>
      <w:r>
        <w:rPr>
          <w:rFonts w:hint="eastAsia"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整体绩效目标</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1、公开职能职责，接受社会监督。2、加强档案馆建设，健全查阅利用制度，抓好队伍建设，提高服务质量入手，做好档案服务经济社会发展、服务和谐社会建设。3、开展档案业务培训，接收档案进馆，建设馆藏档案数字化工作，开发档案利用资源。</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highlight w:val="none"/>
          <w:lang w:val="en-US" w:eastAsia="zh-CN"/>
        </w:rPr>
        <w:t>档案编研取得新成果。</w:t>
      </w:r>
      <w:r>
        <w:rPr>
          <w:rFonts w:hint="eastAsia" w:ascii="Times New Roman" w:hAnsi="Times New Roman" w:eastAsia="仿宋_GB2312" w:cs="Times New Roman"/>
          <w:color w:val="000000"/>
          <w:sz w:val="32"/>
          <w:szCs w:val="32"/>
          <w:lang w:val="en-US" w:eastAsia="zh-CN"/>
        </w:rPr>
        <w:t>继续联合“新汨罗”公众号和融媒体“掌上汨罗”发布《档案里的汨罗》推文，讲好汨罗故事，传播汨罗声音，今年共推送《1978年，汨罗获评全国水利管理先进县》《1979年，汨罗基本消灭吸血虫病》等十期，在全市开展纪念屈原逝世2300周年系列活动之际，推出屈原碑林手稿线上展览，反响较好，转发、点赞和阅览量数千。档案利用服务深受认可。先后开展了节假日预约查档、窗口接待、来函查阅、电话咨询等服务项目，定期收集整理群众的意见建议，切实为群众查档服好务。今年，共接待查阅利用档案1000多人（次），查（借）阅档案资料1500多卷（册），复印档案资料2000多页，为解决地界、水利灌溉等民事纠纷，下放知青、改制企业下岗职工享受社会保障福利等提供了档案资料依据，深受社会各界人士的赞誉及肯定</w:t>
      </w:r>
      <w:r>
        <w:rPr>
          <w:rFonts w:hint="eastAsia" w:ascii="Times New Roman" w:hAnsi="Times New Roman" w:eastAsia="仿宋_GB2312" w:cs="Times New Roman"/>
          <w:color w:val="000000"/>
          <w:sz w:val="32"/>
          <w:szCs w:val="32"/>
          <w:highlight w:val="none"/>
          <w:lang w:val="en-US" w:eastAsia="zh-CN"/>
        </w:rPr>
        <w:t>。档案数字化实现零突破。</w:t>
      </w:r>
      <w:r>
        <w:rPr>
          <w:rFonts w:hint="eastAsia" w:ascii="Times New Roman" w:hAnsi="Times New Roman" w:eastAsia="仿宋_GB2312" w:cs="Times New Roman"/>
          <w:color w:val="000000"/>
          <w:sz w:val="32"/>
          <w:szCs w:val="32"/>
          <w:lang w:val="en-US" w:eastAsia="zh-CN"/>
        </w:rPr>
        <w:t>想方设法筹措资金30余万元，建成馆藏档案数字化管理系统，已完成土地确权档案数据挂接和脱贫攻坚、疫情防控档案目录导入工作，脱贫攻坚档案数字化进入询价阶段。档案接收与征集。制定年度档案接收工作计划，下发《关于做好档案整理归档工作的通知》，明确了档案整理归档的时间、范围、质量和完成时限。向全市发布档案征集公告，面向社会公开征集汨罗红色档案，名人生平资料、名人名著、文化文献，征集反映我市经济社会发展、城市变迁、农村建设等历程的文字、照片、录像、电子等档案资料50多件。档案资源建设进一步加强。在去年“清底子、补漏洞、增库容”专项行动的基础上，对积存图纸进行了修复裱糊、编目，对部分会计档案进行了清理造册，对同一全宗根据档案查找利用频率重新排列上架，有效提高了档案查找利用效率，腾出库存容量，增强了实体档案接收进馆能力。档案保管保护设施不断增强。筹措资金翻修了馆舍屋面，更换了办公区域及库房门窗，库房电力线路改造项目正在实施中，确保了档案实体安全。</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一是档案编研工作种类不多，内容不够丰富。二是各立档单位档案整理归档进度不快，普遍存在档案整理不规范，标准不统一等问题。三是馆藏档案数字化率不高，离上级要求还有很大差距。</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做深做实档案编研工作。将《档案里的汨罗》推文汇编成册，印刷成书。将屈原碑林书法手稿作品扫描成电子版，设计成书法作品，做成接待活动礼品，或与旅游公司合作开发成旅游商品，进一步传播屈原文化。加大档案整理接收力度。加强立档单位档案整理归档业务指导，协助档案局做好督促检查，确保档案整理质量标准符合进馆要求。逐步提高档案数字化率。继续完成脱贫攻坚档案数字化工作，组织全体干职工完成馆藏档案初步扫描工作，由专业技术公司进行档案数字化后期处理，减少资金支出的同时逐步提高档案数字化率。</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rPr>
      </w:pPr>
      <w:r>
        <w:rPr>
          <w:rFonts w:hint="eastAsia" w:ascii="Times New Roman" w:hAnsi="Times New Roman" w:eastAsia="仿宋_GB2312" w:cs="Times New Roman"/>
          <w:sz w:val="32"/>
          <w:szCs w:val="32"/>
          <w:lang w:val="en-US" w:eastAsia="zh-CN"/>
        </w:rPr>
        <w:t>1、按规定内容公开预决算信息；2、按规定时限公开预决算信息；3、开展绩效运行监控工作，及时了解整体支出进度。</w:t>
      </w:r>
    </w:p>
    <w:p>
      <w:pPr>
        <w:spacing w:line="600" w:lineRule="exact"/>
        <w:ind w:firstLine="640" w:firstLineChars="200"/>
        <w:jc w:val="both"/>
        <w:rPr>
          <w:rFonts w:eastAsia="仿宋_GB2312"/>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600" w:lineRule="exact"/>
        <w:ind w:firstLine="640" w:firstLineChars="200"/>
        <w:jc w:val="both"/>
        <w:rPr>
          <w:rFonts w:hint="eastAsia" w:eastAsia="仿宋_GB2312"/>
          <w:kern w:val="0"/>
          <w:sz w:val="32"/>
          <w:szCs w:val="32"/>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pPr>
        <w:pStyle w:val="2"/>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pPr>
        <w:pStyle w:val="2"/>
        <w:spacing w:before="1" w:line="223" w:lineRule="auto"/>
        <w:ind w:left="3560"/>
        <w:rPr>
          <w:sz w:val="24"/>
          <w:szCs w:val="24"/>
        </w:rPr>
      </w:pPr>
      <w:r>
        <w:rPr>
          <w:spacing w:val="7"/>
          <w:sz w:val="24"/>
          <w:szCs w:val="24"/>
        </w:rPr>
        <w:t>(此面为封面)</w:t>
      </w:r>
    </w:p>
    <w:p>
      <w:pPr>
        <w:spacing w:line="223" w:lineRule="auto"/>
        <w:rPr>
          <w:sz w:val="24"/>
          <w:szCs w:val="24"/>
        </w:rPr>
        <w:sectPr>
          <w:footerReference r:id="rId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r>
        <w:rPr>
          <w:rFonts w:hint="eastAsia" w:eastAsia="仿宋_GB2312"/>
          <w:kern w:val="0"/>
          <w:sz w:val="32"/>
          <w:szCs w:val="32"/>
          <w:lang w:eastAsia="zh-CN"/>
        </w:rPr>
        <w:t>主要包括项目支出决策背景及其主要内容。</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ascii="楷体" w:hAnsi="楷体" w:eastAsia="楷体" w:cs="楷体"/>
          <w:b/>
          <w:bCs/>
          <w:spacing w:val="6"/>
          <w:position w:val="16"/>
          <w:sz w:val="31"/>
          <w:szCs w:val="31"/>
        </w:rPr>
        <w:t>。</w:t>
      </w:r>
      <w:r>
        <w:rPr>
          <w:rFonts w:hint="eastAsia" w:ascii="Arial" w:hAnsi="Arial" w:eastAsia="仿宋_GB2312" w:cs="Arial"/>
          <w:snapToGrid w:val="0"/>
          <w:color w:val="000000"/>
          <w:kern w:val="0"/>
          <w:sz w:val="32"/>
          <w:szCs w:val="32"/>
          <w:lang w:val="en-US" w:eastAsia="zh-CN" w:bidi="ar-SA"/>
        </w:rPr>
        <w:t>主要包括绩效总目标和</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主要问题。</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4"/>
          <w:jc w:val="right"/>
          <w:rPr>
            <w:rFonts w:asciiTheme="minorEastAsia" w:hAnsiTheme="minorEastAsia" w:eastAsiaTheme="minorEastAsia"/>
            <w:kern w:val="0"/>
          </w:rPr>
        </w:pPr>
      </w:p>
    </w:sdtContent>
  </w:sdt>
  <w:p>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D3745"/>
    <w:multiLevelType w:val="singleLevel"/>
    <w:tmpl w:val="C06D374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WJjZTRmZjlhZGIwZjc4ZTM5ODdmY2I0ZDhlMTE5MGQifQ=="/>
    <w:docVar w:name="KSO_WPS_MARK_KEY" w:val="7ff7b3e0-eb3c-4c4b-aa98-007b5396f681"/>
  </w:docVars>
  <w:rsids>
    <w:rsidRoot w:val="00000000"/>
    <w:rsid w:val="01AF3811"/>
    <w:rsid w:val="03795BF7"/>
    <w:rsid w:val="086E756B"/>
    <w:rsid w:val="0ACF37E5"/>
    <w:rsid w:val="0B400BC6"/>
    <w:rsid w:val="0E68228D"/>
    <w:rsid w:val="0EA6787F"/>
    <w:rsid w:val="15276E52"/>
    <w:rsid w:val="163431A0"/>
    <w:rsid w:val="19D32FBC"/>
    <w:rsid w:val="1E6A4395"/>
    <w:rsid w:val="25557A3D"/>
    <w:rsid w:val="26EA5ED7"/>
    <w:rsid w:val="27A93B82"/>
    <w:rsid w:val="2AE00186"/>
    <w:rsid w:val="308216BE"/>
    <w:rsid w:val="34FE1149"/>
    <w:rsid w:val="36D24AE9"/>
    <w:rsid w:val="3A550786"/>
    <w:rsid w:val="3B7A130F"/>
    <w:rsid w:val="3F983B77"/>
    <w:rsid w:val="494A1329"/>
    <w:rsid w:val="4F8B6063"/>
    <w:rsid w:val="52FA3F96"/>
    <w:rsid w:val="542E056D"/>
    <w:rsid w:val="55850F17"/>
    <w:rsid w:val="57AE6D93"/>
    <w:rsid w:val="5FB623A7"/>
    <w:rsid w:val="6E3851B0"/>
    <w:rsid w:val="784167CA"/>
    <w:rsid w:val="79D11738"/>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4"/>
      <w:szCs w:val="34"/>
      <w:lang w:val="en-US" w:eastAsia="en-US" w:bidi="ar-SA"/>
    </w:rPr>
  </w:style>
  <w:style w:type="paragraph" w:styleId="3">
    <w:name w:val="toc 5"/>
    <w:basedOn w:val="1"/>
    <w:next w:val="1"/>
    <w:semiHidden/>
    <w:qFormat/>
    <w:uiPriority w:val="99"/>
    <w:pPr>
      <w:ind w:left="1680" w:leftChars="800"/>
    </w:pPr>
  </w:style>
  <w:style w:type="paragraph" w:styleId="4">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basedOn w:val="1"/>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5738</Words>
  <Characters>6161</Characters>
  <TotalTime>0</TotalTime>
  <ScaleCrop>false</ScaleCrop>
  <LinksUpToDate>false</LinksUpToDate>
  <CharactersWithSpaces>6325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2024-10-18T02:01:49Z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2052-11.1.0.14309</vt:lpwstr>
  </property>
  <property fmtid="{D5CDD505-2E9C-101B-9397-08002B2CF9AE}" pid="6" name="ICV">
    <vt:lpwstr>D2914ECB8AC74CBC80F0B3403A01A74E_13</vt:lpwstr>
  </property>
</Properties>
</file>