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69</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63</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91.30%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6.9</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6.4</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白蚁防治经费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危房鉴定经费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保障房建设项目</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159.69</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101.86</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144.68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136.69</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77.56</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120.38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16.1</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17.9</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170.32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1.提高政治站位。把厉行节约作为一项政治任务，在保证工作任务、工作质量的前提下，从严从紧落实过紧日子要求，精打细算，切实把财经纪律和各项措施贯彻到位。</w:t>
            </w:r>
          </w:p>
          <w:p>
            <w:pPr>
              <w:kinsoku w:val="0"/>
              <w:autoSpaceDE w:val="0"/>
              <w:autoSpaceDN w:val="0"/>
              <w:adjustRightInd w:val="0"/>
              <w:snapToGrid w:val="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压实主体责任。严格落实主体责任，根据重点任务清单，逐项梳理研判，确保完成一般性支出压减任务，并配合财务部门做好未使用资金、结转结余资金的回收工作。财务部门要做好预算审核、调整、清理和相关资金收回工作。</w:t>
            </w:r>
          </w:p>
          <w:p>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3.强化监督问责。严格执行财经法律法规和规章制度，强化资金使用全过程监督，确保各项措施落到实处。</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782.77</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12149.37</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12149.37</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其中：一般公共预算：10442.53</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其中：基本支出：455.37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政府性基金拨款：1130.95</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项目支出：11694.00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其他资金：575.89</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1.加强住房保障管理与建设及老旧小区改造工作。</w:t>
            </w:r>
          </w:p>
          <w:p>
            <w:pPr>
              <w:spacing w:line="240" w:lineRule="auto"/>
              <w:ind w:firstLine="420"/>
              <w:jc w:val="center"/>
              <w:rPr>
                <w:rFonts w:hint="eastAsia" w:ascii="仿宋_GB2312" w:eastAsia="仿宋_GB2312"/>
                <w:kern w:val="0"/>
              </w:rPr>
            </w:pPr>
            <w:r>
              <w:rPr>
                <w:rFonts w:hint="eastAsia" w:ascii="仿宋_GB2312" w:eastAsia="仿宋_GB2312"/>
                <w:kern w:val="0"/>
              </w:rPr>
              <w:t>2.归集房屋维修基金</w:t>
            </w:r>
          </w:p>
          <w:p>
            <w:pPr>
              <w:spacing w:line="240" w:lineRule="auto"/>
              <w:ind w:firstLine="420"/>
              <w:jc w:val="center"/>
              <w:rPr>
                <w:rFonts w:hint="eastAsia" w:ascii="仿宋_GB2312" w:eastAsia="仿宋_GB2312"/>
                <w:kern w:val="0"/>
              </w:rPr>
            </w:pPr>
            <w:r>
              <w:rPr>
                <w:rFonts w:hint="eastAsia" w:ascii="仿宋_GB2312" w:eastAsia="仿宋_GB2312"/>
                <w:kern w:val="0"/>
              </w:rPr>
              <w:t>3.全市白蚁预防灭治工作</w:t>
            </w:r>
          </w:p>
          <w:p>
            <w:pPr>
              <w:spacing w:line="240" w:lineRule="auto"/>
              <w:ind w:firstLine="420"/>
              <w:jc w:val="center"/>
              <w:rPr>
                <w:rFonts w:hint="eastAsia" w:ascii="仿宋_GB2312" w:eastAsia="仿宋_GB2312"/>
                <w:kern w:val="0"/>
              </w:rPr>
            </w:pPr>
            <w:r>
              <w:rPr>
                <w:rFonts w:hint="eastAsia" w:ascii="仿宋_GB2312" w:eastAsia="仿宋_GB2312"/>
                <w:kern w:val="0"/>
              </w:rPr>
              <w:t>4.完成市委、市政府下达的保障性住房年度目标</w:t>
            </w:r>
          </w:p>
          <w:p>
            <w:pPr>
              <w:spacing w:line="240" w:lineRule="auto"/>
              <w:ind w:firstLine="420"/>
              <w:jc w:val="center"/>
              <w:rPr>
                <w:rFonts w:ascii="仿宋_GB2312" w:eastAsia="仿宋_GB2312"/>
                <w:kern w:val="0"/>
              </w:rPr>
            </w:pPr>
            <w:r>
              <w:rPr>
                <w:rFonts w:hint="eastAsia" w:ascii="仿宋_GB2312" w:eastAsia="仿宋_GB2312"/>
                <w:kern w:val="0"/>
              </w:rPr>
              <w:t>5.进一步健全和完善全市房地产经营管理体制，推进房地产事业良性健康发展</w:t>
            </w:r>
          </w:p>
        </w:tc>
        <w:tc>
          <w:tcPr>
            <w:tcW w:w="4260"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1.圆满完成上级市委、市政府交付的各项任务，促进房地产市场平稳运行。</w:t>
            </w:r>
          </w:p>
          <w:p>
            <w:pPr>
              <w:spacing w:line="240" w:lineRule="auto"/>
              <w:ind w:firstLine="420"/>
              <w:jc w:val="center"/>
              <w:rPr>
                <w:rFonts w:hint="eastAsia" w:ascii="仿宋_GB2312" w:eastAsia="仿宋_GB2312"/>
                <w:kern w:val="0"/>
              </w:rPr>
            </w:pPr>
            <w:r>
              <w:rPr>
                <w:rFonts w:hint="eastAsia" w:ascii="仿宋_GB2312" w:eastAsia="仿宋_GB2312"/>
                <w:kern w:val="0"/>
              </w:rPr>
              <w:t>2.申请公共租赁住房建设项目8个共352套、保障性租赁住房3个共490套均已开工建设。</w:t>
            </w:r>
          </w:p>
          <w:p>
            <w:pPr>
              <w:spacing w:line="240" w:lineRule="auto"/>
              <w:ind w:firstLine="420"/>
              <w:jc w:val="center"/>
              <w:rPr>
                <w:rFonts w:hint="eastAsia" w:ascii="仿宋_GB2312" w:eastAsia="仿宋_GB2312"/>
                <w:kern w:val="0"/>
              </w:rPr>
            </w:pPr>
            <w:r>
              <w:rPr>
                <w:rFonts w:hint="eastAsia" w:ascii="仿宋_GB2312" w:eastAsia="仿宋_GB2312"/>
                <w:kern w:val="0"/>
              </w:rPr>
              <w:t>3.完成危旧房摸底排查3761栋。</w:t>
            </w:r>
          </w:p>
          <w:p>
            <w:pPr>
              <w:spacing w:line="240" w:lineRule="auto"/>
              <w:ind w:firstLine="420"/>
              <w:jc w:val="center"/>
              <w:rPr>
                <w:rFonts w:ascii="仿宋_GB2312" w:eastAsia="仿宋_GB2312"/>
                <w:kern w:val="0"/>
              </w:rPr>
            </w:pPr>
            <w:r>
              <w:rPr>
                <w:rFonts w:hint="eastAsia" w:ascii="仿宋_GB2312" w:eastAsia="仿宋_GB2312"/>
                <w:kern w:val="0"/>
              </w:rPr>
              <w:t>4.完成白蚁防治92.96万平方米。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租赁补贴</w:t>
            </w:r>
          </w:p>
        </w:tc>
        <w:tc>
          <w:tcPr>
            <w:tcW w:w="1298" w:type="dxa"/>
            <w:vAlign w:val="center"/>
          </w:tcPr>
          <w:p>
            <w:pPr>
              <w:spacing w:line="240" w:lineRule="auto"/>
              <w:ind w:firstLine="420"/>
              <w:jc w:val="left"/>
              <w:rPr>
                <w:rFonts w:ascii="仿宋_GB2312" w:eastAsia="仿宋_GB2312"/>
                <w:kern w:val="0"/>
              </w:rPr>
            </w:pPr>
            <w:r>
              <w:rPr>
                <w:rFonts w:hint="eastAsia" w:ascii="仿宋_GB2312" w:eastAsia="仿宋_GB2312"/>
                <w:kern w:val="0"/>
              </w:rPr>
              <w:t>1000户</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1223户</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公租房建设</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100套</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352套</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eastAsia="仿宋_GB2312"/>
                <w:kern w:val="0"/>
              </w:rPr>
            </w:pPr>
            <w:r>
              <w:rPr>
                <w:rFonts w:hint="eastAsia" w:ascii="仿宋_GB2312" w:eastAsia="仿宋_GB2312"/>
                <w:kern w:val="0"/>
              </w:rPr>
              <w:t>白蚁免费防治</w:t>
            </w:r>
          </w:p>
        </w:tc>
        <w:tc>
          <w:tcPr>
            <w:tcW w:w="1298"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55万平方米</w:t>
            </w:r>
          </w:p>
        </w:tc>
        <w:tc>
          <w:tcPr>
            <w:tcW w:w="1269" w:type="dxa"/>
            <w:vAlign w:val="center"/>
          </w:tcPr>
          <w:p>
            <w:pPr>
              <w:spacing w:line="240" w:lineRule="auto"/>
              <w:jc w:val="both"/>
              <w:rPr>
                <w:rFonts w:hint="eastAsia" w:ascii="仿宋_GB2312" w:eastAsia="仿宋_GB2312"/>
                <w:kern w:val="0"/>
              </w:rPr>
            </w:pPr>
            <w:r>
              <w:rPr>
                <w:rFonts w:hint="eastAsia" w:ascii="仿宋_GB2312" w:eastAsia="仿宋_GB2312"/>
                <w:kern w:val="0"/>
              </w:rPr>
              <w:t>92.96万平方米</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left"/>
              <w:rPr>
                <w:rFonts w:ascii="仿宋_GB2312" w:eastAsia="仿宋_GB2312"/>
                <w:kern w:val="0"/>
              </w:rPr>
            </w:pPr>
            <w:r>
              <w:rPr>
                <w:rFonts w:hint="eastAsia" w:ascii="仿宋_GB2312" w:eastAsia="仿宋_GB2312"/>
                <w:kern w:val="0"/>
              </w:rPr>
              <w:t>住房保障工作正常开展</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稳步进行</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稳步进行</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jc w:val="both"/>
              <w:rPr>
                <w:rFonts w:ascii="仿宋_GB2312" w:eastAsia="仿宋_GB2312"/>
                <w:kern w:val="0"/>
              </w:rPr>
            </w:pPr>
            <w:r>
              <w:rPr>
                <w:rFonts w:hint="eastAsia" w:ascii="仿宋_GB2312" w:eastAsia="仿宋_GB2312"/>
                <w:kern w:val="0"/>
              </w:rPr>
              <w:t>部分项目在办理开工手续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白蚁防治、危房鉴定、老旧小区改造等项目工作完成率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jc w:val="both"/>
              <w:rPr>
                <w:rFonts w:ascii="仿宋_GB2312" w:eastAsia="仿宋_GB2312"/>
                <w:kern w:val="0"/>
              </w:rPr>
            </w:pPr>
            <w:r>
              <w:rPr>
                <w:rFonts w:hint="eastAsia" w:ascii="仿宋_GB2312" w:eastAsia="仿宋_GB2312"/>
                <w:kern w:val="0"/>
              </w:rPr>
              <w:t>部分项目在办理开工手续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eastAsia="仿宋_GB2312"/>
                <w:kern w:val="0"/>
              </w:rPr>
            </w:pPr>
            <w:r>
              <w:rPr>
                <w:rFonts w:hint="eastAsia" w:ascii="仿宋_GB2312" w:eastAsia="仿宋_GB2312"/>
                <w:kern w:val="0"/>
              </w:rPr>
              <w:t>危房鉴定工作按质按量完成</w:t>
            </w:r>
          </w:p>
        </w:tc>
        <w:tc>
          <w:tcPr>
            <w:tcW w:w="1298" w:type="dxa"/>
            <w:vAlign w:val="center"/>
          </w:tcPr>
          <w:p>
            <w:pPr>
              <w:spacing w:line="240" w:lineRule="auto"/>
              <w:jc w:val="both"/>
              <w:rPr>
                <w:rFonts w:hint="eastAsia" w:ascii="仿宋_GB2312" w:eastAsia="仿宋_GB2312"/>
                <w:kern w:val="0"/>
              </w:rPr>
            </w:pPr>
            <w:r>
              <w:rPr>
                <w:rFonts w:hint="eastAsia" w:ascii="仿宋_GB2312" w:eastAsia="仿宋_GB2312"/>
                <w:kern w:val="0"/>
              </w:rPr>
              <w:t>做到不漏一户</w:t>
            </w:r>
          </w:p>
        </w:tc>
        <w:tc>
          <w:tcPr>
            <w:tcW w:w="1269" w:type="dxa"/>
            <w:vAlign w:val="center"/>
          </w:tcPr>
          <w:p>
            <w:pPr>
              <w:spacing w:line="240" w:lineRule="auto"/>
              <w:jc w:val="both"/>
              <w:rPr>
                <w:rFonts w:hint="eastAsia" w:ascii="仿宋_GB2312" w:eastAsia="仿宋_GB2312"/>
                <w:kern w:val="0"/>
              </w:rPr>
            </w:pPr>
            <w:r>
              <w:rPr>
                <w:rFonts w:hint="eastAsia" w:ascii="仿宋_GB2312" w:eastAsia="仿宋_GB2312"/>
                <w:kern w:val="0"/>
              </w:rPr>
              <w:t>不漏一户</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按计划时间完成</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2023年1-12月</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2023年1-12月</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jc w:val="both"/>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确保住房保障市场平稳发展</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有序稳步发展</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有序稳步发展</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居住环境改善</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良好</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良好</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住房保障系统持续完善</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有持续性</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有持续性</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群众满意度</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&gt;=95%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&gt;=95%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both"/>
              <w:rPr>
                <w:rFonts w:ascii="仿宋_GB2312" w:eastAsia="仿宋_GB2312"/>
                <w:kern w:val="0"/>
              </w:rPr>
            </w:pPr>
            <w:r>
              <w:rPr>
                <w:rFonts w:hint="eastAsia" w:ascii="仿宋_GB2312" w:eastAsia="仿宋_GB2312"/>
                <w:kern w:val="0"/>
              </w:rPr>
              <w:t>部分工作仍需完善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控制在财政预算内</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782.77</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782.77</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423"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2023年保障房建设项目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2023年保障房建设项目</w:t>
            </w:r>
          </w:p>
        </w:tc>
        <w:tc>
          <w:tcPr>
            <w:tcW w:w="4140" w:type="dxa"/>
            <w:gridSpan w:val="4"/>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1.完成公租房日常维修及化粪池清理等事项</w:t>
            </w:r>
          </w:p>
          <w:p>
            <w:pPr>
              <w:spacing w:line="240" w:lineRule="auto"/>
              <w:jc w:val="both"/>
              <w:rPr>
                <w:rFonts w:ascii="仿宋_GB2312" w:hAnsi="宋体" w:eastAsia="仿宋_GB2312" w:cs="宋体"/>
                <w:kern w:val="0"/>
              </w:rPr>
            </w:pPr>
            <w:r>
              <w:rPr>
                <w:rFonts w:hint="eastAsia" w:ascii="仿宋_GB2312" w:hAnsi="宋体" w:eastAsia="仿宋_GB2312" w:cs="宋体"/>
                <w:kern w:val="0"/>
              </w:rPr>
              <w:t>2.申请建设公租租赁住房、保障性租赁住房项目均已开工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公租房建设</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100套</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352套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租赁补贴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1000户</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1223户</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住房保障工作正常开展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稳步进行</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稳步进行</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部分项目在办理开工手续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部分工作仍需完善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2023年危房鉴定经费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2023年危房鉴定工作经费</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完成危房摸排3761栋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危房鉴定摸排</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不漏一户</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3761栋</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按质按量完成</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做到不漏一户</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不漏一户</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部分工作仍需完善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部分工作仍需完善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白蚁防治经费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2023年白蚁工作防治经费</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完成白蚁防治92.96万平方米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白蚁免费防治</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55万平方米</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92.96万平方米</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白蚁防治工作完成率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按计划时间完成</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2023年1-12月</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确保住房保障市场平稳发展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有序稳步发展</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部分工作仍需完善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居住环境改善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住房保障系统持续完善</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有持续性</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群众满意度</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&gt;=95%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控制在财政预算内</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default" w:ascii="仿宋_GB2312" w:hAnsi="宋体" w:eastAsia="仿宋_GB2312" w:cs="宋体"/>
          <w:kern w:val="0"/>
          <w:lang w:val="en-US"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住房保障服务中心</w:t>
      </w:r>
      <w:r>
        <w:rPr>
          <w:rFonts w:hint="eastAsia" w:ascii="方正小标宋简体" w:hAnsi="宋体" w:eastAsia="方正小标宋简体" w:cs="宋体"/>
          <w:kern w:val="0"/>
          <w:sz w:val="44"/>
          <w:szCs w:val="44"/>
          <w:lang w:eastAsia="zh-CN"/>
        </w:rPr>
        <w:t>部门整体支出绩效自评报告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rPr>
        <w:t>汨罗市住房保障服务中心</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方正黑体_GBK" w:hAnsi="仿宋" w:eastAsia="方正黑体_GBK" w:cs="仿宋"/>
          <w:snapToGrid w:val="0"/>
          <w:color w:val="000000"/>
          <w:sz w:val="32"/>
          <w:szCs w:val="32"/>
          <w:lang w:val="en-US" w:eastAsia="zh-CN" w:bidi="ar-SA"/>
        </w:rPr>
      </w:pPr>
      <w:r>
        <w:rPr>
          <w:rFonts w:hint="eastAsia" w:ascii="仿宋" w:hAnsi="仿宋" w:eastAsia="仿宋" w:cs="仿宋"/>
          <w:snapToGrid w:val="0"/>
          <w:color w:val="000000"/>
          <w:kern w:val="0"/>
          <w:sz w:val="32"/>
          <w:szCs w:val="32"/>
          <w:lang w:val="en-US" w:eastAsia="zh-CN" w:bidi="ar"/>
        </w:rPr>
        <w:t>汨罗市住房保障服务中心为隶属于住房和城乡建设局的二级机构独立核算单位，单独编制预、决算。住房保障服务中心主要负责城镇保障工作的具体实施、危房鉴定、白蚁预防治灭治、房地产开发的监督、物业维修资金的管理等。</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lang w:eastAsia="zh-CN"/>
        </w:rPr>
      </w:pPr>
      <w:r>
        <w:rPr>
          <w:rFonts w:hint="eastAsia" w:ascii="仿宋" w:hAnsi="仿宋" w:eastAsia="仿宋" w:cs="仿宋"/>
          <w:sz w:val="32"/>
          <w:szCs w:val="32"/>
        </w:rPr>
        <w:t>基本支出系保障我</w:t>
      </w:r>
      <w:r>
        <w:rPr>
          <w:rFonts w:hint="eastAsia" w:ascii="仿宋" w:hAnsi="仿宋" w:eastAsia="仿宋" w:cs="仿宋"/>
          <w:sz w:val="32"/>
          <w:szCs w:val="32"/>
          <w:lang w:eastAsia="zh-CN"/>
        </w:rPr>
        <w:t>中心</w:t>
      </w:r>
      <w:r>
        <w:rPr>
          <w:rFonts w:hint="eastAsia" w:ascii="仿宋" w:hAnsi="仿宋" w:eastAsia="仿宋" w:cs="仿宋"/>
          <w:sz w:val="32"/>
          <w:szCs w:val="32"/>
        </w:rPr>
        <w:t>机关机构正常运转、完成日常工作任务而发生的各项支出，包括用于在职人员基本工资、津贴补贴等人员经费以及办公费、印刷费、水电费等日常公用经费。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782.77</w:t>
      </w:r>
      <w:r>
        <w:rPr>
          <w:rFonts w:hint="eastAsia" w:ascii="仿宋" w:hAnsi="仿宋" w:eastAsia="仿宋" w:cs="仿宋"/>
          <w:sz w:val="32"/>
          <w:szCs w:val="32"/>
        </w:rPr>
        <w:t>元，较上年减少</w:t>
      </w:r>
      <w:r>
        <w:rPr>
          <w:rFonts w:hint="eastAsia" w:ascii="Times New Roman" w:hAnsi="Times New Roman" w:eastAsia="仿宋" w:cs="Times New Roman"/>
          <w:sz w:val="32"/>
          <w:szCs w:val="32"/>
          <w:lang w:val="en-US" w:eastAsia="zh-CN"/>
        </w:rPr>
        <w:t>22.39</w:t>
      </w:r>
      <w:r>
        <w:rPr>
          <w:rFonts w:hint="eastAsia" w:ascii="仿宋" w:hAnsi="仿宋" w:eastAsia="仿宋" w:cs="仿宋"/>
          <w:sz w:val="32"/>
          <w:szCs w:val="32"/>
        </w:rPr>
        <w:t>万元，下降</w:t>
      </w:r>
      <w:r>
        <w:rPr>
          <w:rFonts w:hint="eastAsia" w:ascii="Times New Roman" w:hAnsi="Times New Roman" w:eastAsia="仿宋" w:cs="Times New Roman"/>
          <w:sz w:val="32"/>
          <w:szCs w:val="32"/>
          <w:lang w:val="en-US" w:eastAsia="zh-CN"/>
        </w:rPr>
        <w:t>0.03%</w:t>
      </w:r>
      <w:r>
        <w:rPr>
          <w:rFonts w:hint="eastAsia" w:ascii="仿宋" w:hAnsi="仿宋" w:eastAsia="仿宋" w:cs="仿宋"/>
          <w:sz w:val="32"/>
          <w:szCs w:val="32"/>
        </w:rPr>
        <w:t>。主要原因为</w:t>
      </w:r>
      <w:r>
        <w:rPr>
          <w:rFonts w:hint="default" w:ascii="Times New Roman" w:hAnsi="Times New Roman" w:eastAsia="仿宋" w:cs="Times New Roman"/>
          <w:sz w:val="32"/>
          <w:szCs w:val="32"/>
        </w:rPr>
        <w:t>根据“总量控制、计划管理”的要求从严控制经费，压缩公务费开支，严格控制“三公”经费，资产的配置，严格政府采购，按照预算科目和项目资金的规定使用财政资金，保障部门整体支出的规范化、制度化。</w:t>
      </w:r>
    </w:p>
    <w:p>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年预算批复</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个特定目标类项目，分别为</w:t>
      </w:r>
      <w:r>
        <w:rPr>
          <w:rFonts w:hint="eastAsia" w:ascii="仿宋" w:hAnsi="仿宋" w:eastAsia="仿宋" w:cs="仿宋"/>
          <w:sz w:val="32"/>
          <w:szCs w:val="32"/>
          <w:lang w:eastAsia="zh-CN"/>
        </w:rPr>
        <w:t>危房鉴定经费</w:t>
      </w:r>
      <w:r>
        <w:rPr>
          <w:rFonts w:hint="eastAsia" w:ascii="仿宋" w:hAnsi="仿宋" w:eastAsia="仿宋" w:cs="仿宋"/>
          <w:sz w:val="32"/>
          <w:szCs w:val="32"/>
          <w:lang w:val="en-US" w:eastAsia="zh-CN"/>
        </w:rPr>
        <w:t>10万元、白蚁防治经费22万元、保障房建设5万元，</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年支出</w:t>
      </w:r>
      <w:r>
        <w:rPr>
          <w:rFonts w:hint="eastAsia" w:ascii="Times New Roman" w:hAnsi="Times New Roman" w:eastAsia="仿宋" w:cs="Times New Roman"/>
          <w:sz w:val="32"/>
          <w:szCs w:val="32"/>
          <w:lang w:val="en-US" w:eastAsia="zh-CN"/>
        </w:rPr>
        <w:t>37万</w:t>
      </w:r>
      <w:r>
        <w:rPr>
          <w:rFonts w:hint="eastAsia" w:ascii="仿宋" w:hAnsi="仿宋" w:eastAsia="仿宋" w:cs="仿宋"/>
          <w:sz w:val="32"/>
          <w:szCs w:val="32"/>
        </w:rPr>
        <w:t>元。</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年政府性基金预算支出</w:t>
      </w:r>
      <w:r>
        <w:rPr>
          <w:rFonts w:hint="eastAsia" w:ascii="Times New Roman" w:hAnsi="Times New Roman" w:eastAsia="仿宋" w:cs="Times New Roman"/>
          <w:sz w:val="32"/>
          <w:szCs w:val="32"/>
          <w:lang w:val="en-US" w:eastAsia="zh-CN"/>
        </w:rPr>
        <w:t>1130.95</w:t>
      </w:r>
      <w:r>
        <w:rPr>
          <w:rFonts w:hint="eastAsia" w:ascii="仿宋" w:hAnsi="仿宋" w:eastAsia="仿宋" w:cs="仿宋"/>
          <w:sz w:val="32"/>
          <w:szCs w:val="32"/>
        </w:rPr>
        <w:t>万元，</w:t>
      </w:r>
      <w:r>
        <w:rPr>
          <w:rFonts w:hint="eastAsia" w:ascii="仿宋" w:hAnsi="仿宋" w:eastAsia="仿宋" w:cs="仿宋"/>
          <w:sz w:val="32"/>
          <w:szCs w:val="32"/>
          <w:lang w:eastAsia="zh-CN"/>
        </w:rPr>
        <w:t>为支付第三批购买商品房补贴和奖励。</w:t>
      </w:r>
    </w:p>
    <w:p>
      <w:pPr>
        <w:numPr>
          <w:ilvl w:val="0"/>
          <w:numId w:val="3"/>
        </w:numPr>
        <w:spacing w:before="1" w:line="360" w:lineRule="auto"/>
        <w:ind w:firstLine="640" w:firstLineChars="200"/>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numPr>
          <w:ilvl w:val="0"/>
          <w:numId w:val="0"/>
        </w:numPr>
        <w:spacing w:before="1" w:line="360" w:lineRule="auto"/>
        <w:ind w:firstLine="640" w:firstLineChars="200"/>
        <w:rPr>
          <w:rFonts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本年度无国有资本经营预算支出</w:t>
      </w:r>
    </w:p>
    <w:p>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pStyle w:val="2"/>
        <w:spacing w:before="191" w:line="360" w:lineRule="auto"/>
        <w:ind w:right="311" w:firstLine="560"/>
        <w:rPr>
          <w:spacing w:val="-17"/>
          <w:sz w:val="32"/>
          <w:szCs w:val="32"/>
        </w:rPr>
      </w:pPr>
      <w:r>
        <w:rPr>
          <w:rFonts w:hint="default" w:ascii="Times New Roman" w:hAnsi="Times New Roman" w:eastAsia="宋体" w:cs="Times New Roman"/>
          <w:sz w:val="32"/>
          <w:szCs w:val="32"/>
        </w:rPr>
        <w:t>202</w:t>
      </w:r>
      <w:r>
        <w:rPr>
          <w:rFonts w:hint="eastAsia" w:ascii="Times New Roman" w:hAnsi="Times New Roman" w:cs="Times New Roman"/>
          <w:sz w:val="32"/>
          <w:szCs w:val="32"/>
          <w:lang w:val="en-US" w:eastAsia="zh-CN"/>
        </w:rPr>
        <w:t>3</w:t>
      </w:r>
      <w:r>
        <w:rPr>
          <w:rFonts w:hint="eastAsia" w:ascii="仿宋" w:hAnsi="仿宋" w:eastAsia="仿宋" w:cs="仿宋"/>
          <w:sz w:val="32"/>
          <w:szCs w:val="32"/>
        </w:rPr>
        <w:t>年我</w:t>
      </w:r>
      <w:r>
        <w:rPr>
          <w:rFonts w:hint="eastAsia" w:cs="仿宋"/>
          <w:sz w:val="32"/>
          <w:szCs w:val="32"/>
          <w:lang w:eastAsia="zh-CN"/>
        </w:rPr>
        <w:t>中心</w:t>
      </w:r>
      <w:r>
        <w:rPr>
          <w:rFonts w:hint="eastAsia" w:ascii="仿宋" w:hAnsi="仿宋" w:eastAsia="仿宋" w:cs="仿宋"/>
          <w:sz w:val="32"/>
          <w:szCs w:val="32"/>
        </w:rPr>
        <w:t>坚持以习近平新时代中国特色社会主义思想为指导，认真学习贯彻习近平总书记考察湖南重要讲话、党的十九大、十九届历次全会精神和省</w:t>
      </w:r>
      <w:r>
        <w:rPr>
          <w:rFonts w:hint="eastAsia" w:cs="仿宋"/>
          <w:sz w:val="32"/>
          <w:szCs w:val="32"/>
          <w:lang w:eastAsia="zh-CN"/>
        </w:rPr>
        <w:t>保障房</w:t>
      </w:r>
      <w:r>
        <w:rPr>
          <w:rFonts w:hint="eastAsia" w:ascii="仿宋" w:hAnsi="仿宋" w:eastAsia="仿宋" w:cs="仿宋"/>
          <w:sz w:val="32"/>
          <w:szCs w:val="32"/>
        </w:rPr>
        <w:t>工作会议精神，紧紧围绕市委市政府决策部署，牢记使命任务，坚持以人民为中心，坚持稳字当头、稳中求进，统筹发展与安全两件大事，守牢底线，积极履行职责，通过</w:t>
      </w:r>
      <w:r>
        <w:rPr>
          <w:rFonts w:hint="eastAsia" w:cs="仿宋"/>
          <w:sz w:val="32"/>
          <w:szCs w:val="32"/>
          <w:lang w:eastAsia="zh-CN"/>
        </w:rPr>
        <w:t>中心</w:t>
      </w:r>
      <w:r>
        <w:rPr>
          <w:rFonts w:hint="eastAsia" w:ascii="仿宋" w:hAnsi="仿宋" w:eastAsia="仿宋" w:cs="仿宋"/>
          <w:sz w:val="32"/>
          <w:szCs w:val="32"/>
        </w:rPr>
        <w:t>共同努力，较好的完成了年初预期目标任务。根据《部门整体支出绩效自评表》自评分</w:t>
      </w:r>
      <w:r>
        <w:rPr>
          <w:rFonts w:hint="eastAsia" w:ascii="Times New Roman" w:hAnsi="Times New Roman" w:eastAsia="宋体" w:cs="Times New Roman"/>
          <w:sz w:val="32"/>
          <w:szCs w:val="32"/>
          <w:lang w:val="en-US" w:eastAsia="zh-CN"/>
        </w:rPr>
        <w:t>97</w:t>
      </w:r>
      <w:r>
        <w:rPr>
          <w:rFonts w:hint="eastAsia" w:ascii="仿宋" w:hAnsi="仿宋" w:eastAsia="仿宋" w:cs="仿宋"/>
          <w:sz w:val="32"/>
          <w:szCs w:val="32"/>
        </w:rPr>
        <w:t>分（详见附件</w:t>
      </w:r>
      <w:r>
        <w:rPr>
          <w:rFonts w:hint="default" w:ascii="Times New Roman" w:hAnsi="Times New Roman" w:eastAsia="宋体" w:cs="Times New Roman"/>
          <w:sz w:val="32"/>
          <w:szCs w:val="32"/>
        </w:rPr>
        <w:t>2</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eastAsia" w:ascii="Times New Roman" w:hAnsi="Times New Roman" w:cs="Times New Roman"/>
          <w:sz w:val="32"/>
          <w:szCs w:val="32"/>
          <w:lang w:val="en-US" w:eastAsia="zh-CN"/>
        </w:rPr>
        <w:t>3</w:t>
      </w:r>
      <w:r>
        <w:rPr>
          <w:rFonts w:hint="eastAsia" w:ascii="仿宋" w:hAnsi="仿宋" w:eastAsia="仿宋" w:cs="仿宋"/>
          <w:sz w:val="32"/>
          <w:szCs w:val="32"/>
        </w:rPr>
        <w:t>年度项目支出绩效自评表—</w:t>
      </w:r>
      <w:r>
        <w:rPr>
          <w:rFonts w:hint="eastAsia" w:cs="仿宋"/>
          <w:sz w:val="32"/>
          <w:szCs w:val="32"/>
          <w:lang w:eastAsia="zh-CN"/>
        </w:rPr>
        <w:t>白蚁防治经费</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99</w:t>
      </w:r>
      <w:r>
        <w:rPr>
          <w:rFonts w:hint="eastAsia" w:ascii="仿宋" w:hAnsi="仿宋" w:eastAsia="仿宋" w:cs="仿宋"/>
          <w:sz w:val="32"/>
          <w:szCs w:val="32"/>
        </w:rPr>
        <w:t>分、《</w:t>
      </w:r>
      <w:r>
        <w:rPr>
          <w:rFonts w:hint="eastAsia" w:ascii="Times New Roman" w:hAnsi="Times New Roman" w:cs="Times New Roman"/>
          <w:sz w:val="32"/>
          <w:szCs w:val="32"/>
          <w:lang w:eastAsia="zh-CN"/>
        </w:rPr>
        <w:t>2023</w:t>
      </w:r>
      <w:r>
        <w:rPr>
          <w:rFonts w:hint="eastAsia" w:ascii="仿宋" w:hAnsi="仿宋" w:eastAsia="仿宋" w:cs="仿宋"/>
          <w:sz w:val="32"/>
          <w:szCs w:val="32"/>
        </w:rPr>
        <w:t>年度项目支出绩效自评表—</w:t>
      </w:r>
      <w:r>
        <w:rPr>
          <w:rFonts w:hint="eastAsia" w:cs="仿宋"/>
          <w:sz w:val="32"/>
          <w:szCs w:val="32"/>
          <w:lang w:eastAsia="zh-CN"/>
        </w:rPr>
        <w:t>保障房建设项目</w:t>
      </w:r>
      <w:r>
        <w:rPr>
          <w:rFonts w:hint="eastAsia" w:ascii="仿宋" w:hAnsi="仿宋" w:eastAsia="仿宋" w:cs="仿宋"/>
          <w:sz w:val="32"/>
          <w:szCs w:val="32"/>
        </w:rPr>
        <w:t>》自评分</w:t>
      </w:r>
      <w:r>
        <w:rPr>
          <w:rFonts w:hint="eastAsia" w:ascii="Times New Roman" w:hAnsi="Times New Roman" w:eastAsia="宋体" w:cs="Times New Roman"/>
          <w:sz w:val="32"/>
          <w:szCs w:val="32"/>
          <w:lang w:val="en-US" w:eastAsia="zh-CN"/>
        </w:rPr>
        <w:t>98</w:t>
      </w:r>
      <w:r>
        <w:rPr>
          <w:rFonts w:hint="eastAsia" w:ascii="仿宋" w:hAnsi="仿宋" w:eastAsia="仿宋" w:cs="仿宋"/>
          <w:sz w:val="32"/>
          <w:szCs w:val="32"/>
        </w:rPr>
        <w:t>分、《</w:t>
      </w:r>
      <w:r>
        <w:rPr>
          <w:rFonts w:hint="eastAsia" w:ascii="Times New Roman" w:hAnsi="Times New Roman" w:cs="Times New Roman"/>
          <w:sz w:val="32"/>
          <w:szCs w:val="32"/>
          <w:lang w:eastAsia="zh-CN"/>
        </w:rPr>
        <w:t>2023</w:t>
      </w:r>
      <w:r>
        <w:rPr>
          <w:rFonts w:hint="eastAsia" w:ascii="仿宋" w:hAnsi="仿宋" w:eastAsia="仿宋" w:cs="仿宋"/>
          <w:sz w:val="32"/>
          <w:szCs w:val="32"/>
        </w:rPr>
        <w:t>年度项目支出绩效自评表—</w:t>
      </w:r>
      <w:r>
        <w:rPr>
          <w:rFonts w:hint="eastAsia" w:cs="仿宋"/>
          <w:sz w:val="32"/>
          <w:szCs w:val="32"/>
          <w:lang w:eastAsia="zh-CN"/>
        </w:rPr>
        <w:t>危房鉴定经费</w:t>
      </w:r>
      <w:r>
        <w:rPr>
          <w:rFonts w:hint="eastAsia" w:ascii="仿宋" w:hAnsi="仿宋" w:eastAsia="仿宋" w:cs="仿宋"/>
          <w:sz w:val="32"/>
          <w:szCs w:val="32"/>
        </w:rPr>
        <w:t>》自评分</w:t>
      </w:r>
      <w:r>
        <w:rPr>
          <w:rFonts w:hint="eastAsia" w:ascii="Times New Roman" w:hAnsi="Times New Roman" w:cs="Times New Roman"/>
          <w:sz w:val="32"/>
          <w:szCs w:val="32"/>
          <w:lang w:val="en-US" w:eastAsia="zh-CN"/>
        </w:rPr>
        <w:t>98</w:t>
      </w:r>
      <w:r>
        <w:rPr>
          <w:rFonts w:hint="eastAsia" w:ascii="仿宋" w:hAnsi="仿宋" w:eastAsia="仿宋" w:cs="仿宋"/>
          <w:sz w:val="32"/>
          <w:szCs w:val="32"/>
        </w:rPr>
        <w:t>分</w:t>
      </w:r>
      <w:r>
        <w:rPr>
          <w:rFonts w:hint="eastAsia" w:cs="仿宋"/>
          <w:sz w:val="32"/>
          <w:szCs w:val="32"/>
          <w:lang w:eastAsia="zh-CN"/>
        </w:rPr>
        <w:t>，</w:t>
      </w:r>
      <w:r>
        <w:rPr>
          <w:rFonts w:hint="eastAsia" w:ascii="仿宋" w:hAnsi="仿宋" w:eastAsia="仿宋" w:cs="仿宋"/>
          <w:sz w:val="32"/>
          <w:szCs w:val="32"/>
        </w:rPr>
        <w:t>部门整体支出绩效为</w:t>
      </w:r>
      <w:r>
        <w:rPr>
          <w:rFonts w:hint="default" w:ascii="Times New Roman" w:hAnsi="Times New Roman" w:eastAsia="宋体" w:cs="Times New Roman"/>
          <w:sz w:val="32"/>
          <w:szCs w:val="32"/>
        </w:rPr>
        <w:t>“</w:t>
      </w:r>
      <w:r>
        <w:rPr>
          <w:rFonts w:hint="eastAsia" w:ascii="仿宋" w:hAnsi="仿宋" w:eastAsia="仿宋" w:cs="仿宋"/>
          <w:sz w:val="32"/>
          <w:szCs w:val="32"/>
        </w:rPr>
        <w:t>优</w:t>
      </w:r>
      <w:r>
        <w:rPr>
          <w:rFonts w:hint="default" w:ascii="Times New Roman" w:hAnsi="Times New Roman" w:eastAsia="宋体" w:cs="Times New Roman"/>
          <w:sz w:val="32"/>
          <w:szCs w:val="32"/>
        </w:rPr>
        <w:t>”</w:t>
      </w:r>
      <w:r>
        <w:rPr>
          <w:rFonts w:hint="eastAsia" w:ascii="仿宋" w:hAnsi="仿宋" w:eastAsia="仿宋" w:cs="仿宋"/>
          <w:sz w:val="32"/>
          <w:szCs w:val="32"/>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单位按上级要求组织年初预算，在基本支出方面整体资金支出与预算相较为准确，但结合工作实际，预算支出明细科目编制不够准确，预算实际使用过程中产生偏差，原因是全年经济活动具有灵活性，无法完全准确预计具体明细科目发生额。在专项支出方面虽然也做了比较详尽的预算，但因我单位存在专项性资金必须据实按量列支，因此导致个别专项支出无法预计。</w:t>
      </w:r>
    </w:p>
    <w:p>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一是建立健全财政绩效评价指标体系，加强工作人员的业务培训和财政绩效管理信息化建设，加大绩效评价结果的运用。二是在谋划全年工作和资金项目时，充分考虑到资金支出进度的平均性，尽可能避免发生资金序时进度不到位的情况。三是严格人员管理，提高绩效目标管理水平。加强人员培训，不断提高业务能力，不断提高绩效目标管理水平。</w:t>
      </w:r>
    </w:p>
    <w:p>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pPr>
        <w:numPr>
          <w:ilvl w:val="0"/>
          <w:numId w:val="0"/>
        </w:numPr>
        <w:spacing w:line="600" w:lineRule="exact"/>
        <w:ind w:leftChars="200"/>
        <w:jc w:val="both"/>
        <w:rPr>
          <w:rFonts w:hint="eastAsia" w:ascii="方正黑体_GBK" w:eastAsia="方正黑体_GBK"/>
          <w:kern w:val="0"/>
          <w:sz w:val="32"/>
          <w:szCs w:val="32"/>
          <w:lang w:eastAsia="zh-CN"/>
        </w:rPr>
      </w:pPr>
      <w:r>
        <w:rPr>
          <w:rFonts w:hint="eastAsia" w:ascii="仿宋" w:hAnsi="仿宋" w:eastAsia="仿宋" w:cs="仿宋"/>
          <w:sz w:val="32"/>
          <w:szCs w:val="32"/>
        </w:rPr>
        <w:t>绩效自评结果将作为下年部门预算安排的重要依据，与预算调整和项目安排挂钩。拟于</w:t>
      </w:r>
      <w:r>
        <w:rPr>
          <w:rFonts w:hint="eastAsia" w:ascii="Times New Roman" w:hAnsi="Times New Roman" w:eastAsia="仿宋" w:cs="Times New Roman"/>
          <w:sz w:val="32"/>
          <w:szCs w:val="32"/>
          <w:lang w:val="en-US" w:eastAsia="zh-CN"/>
        </w:rPr>
        <w:t>6</w:t>
      </w:r>
      <w:r>
        <w:rPr>
          <w:rFonts w:hint="eastAsia" w:ascii="仿宋" w:hAnsi="仿宋" w:eastAsia="仿宋" w:cs="仿宋"/>
          <w:sz w:val="32"/>
          <w:szCs w:val="32"/>
        </w:rPr>
        <w:t>月</w:t>
      </w:r>
      <w:r>
        <w:rPr>
          <w:rFonts w:hint="eastAsia" w:ascii="Times New Roman" w:hAnsi="Times New Roman" w:eastAsia="仿宋" w:cs="Times New Roman"/>
          <w:sz w:val="32"/>
          <w:szCs w:val="32"/>
          <w:lang w:val="en-US" w:eastAsia="zh-CN"/>
        </w:rPr>
        <w:t>30</w:t>
      </w:r>
      <w:r>
        <w:rPr>
          <w:rFonts w:hint="eastAsia" w:ascii="仿宋" w:hAnsi="仿宋" w:eastAsia="仿宋" w:cs="仿宋"/>
          <w:sz w:val="32"/>
          <w:szCs w:val="32"/>
        </w:rPr>
        <w:t>日前在</w:t>
      </w:r>
      <w:r>
        <w:rPr>
          <w:rFonts w:hint="eastAsia" w:ascii="仿宋" w:hAnsi="仿宋" w:eastAsia="仿宋" w:cs="仿宋"/>
          <w:sz w:val="32"/>
          <w:szCs w:val="32"/>
          <w:lang w:eastAsia="zh-CN"/>
        </w:rPr>
        <w:t>汨罗市人民政府门户网站</w:t>
      </w:r>
      <w:r>
        <w:rPr>
          <w:rFonts w:hint="eastAsia" w:ascii="仿宋" w:hAnsi="仿宋" w:eastAsia="仿宋" w:cs="仿宋"/>
          <w:sz w:val="32"/>
          <w:szCs w:val="32"/>
        </w:rPr>
        <w:t>上公开，广泛接受群众监督。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ind w:left="2169"/>
        <w:rPr>
          <w:rFonts w:ascii="Times New Roman" w:hAnsi="Times New Roman" w:eastAsia="Times New Roman" w:cs="Times New Roman"/>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3</w:t>
      </w:r>
      <w:r>
        <w:rPr>
          <w:rFonts w:ascii="Times New Roman" w:hAnsi="Times New Roman" w:eastAsia="Times New Roman" w:cs="Times New Roman"/>
          <w:spacing w:val="15"/>
          <w:position w:val="10"/>
          <w:sz w:val="42"/>
          <w:szCs w:val="42"/>
        </w:rPr>
        <w:t>年</w:t>
      </w:r>
      <w:r>
        <w:rPr>
          <w:rFonts w:ascii="Times New Roman" w:hAnsi="Times New Roman" w:eastAsia="Times New Roman" w:cs="Times New Roman"/>
          <w:spacing w:val="15"/>
          <w:position w:val="10"/>
          <w:sz w:val="42"/>
          <w:szCs w:val="42"/>
        </w:rPr>
        <w:t>度</w:t>
      </w:r>
      <w:r>
        <w:rPr>
          <w:rFonts w:hint="eastAsia" w:ascii="Times New Roman" w:hAnsi="Times New Roman" w:eastAsia="Times New Roman" w:cs="Times New Roman"/>
          <w:spacing w:val="15"/>
          <w:position w:val="10"/>
          <w:sz w:val="42"/>
          <w:szCs w:val="42"/>
          <w:lang w:eastAsia="zh-CN"/>
        </w:rPr>
        <w:t>白蚁防治经费</w:t>
      </w:r>
      <w:r>
        <w:rPr>
          <w:rFonts w:ascii="Times New Roman" w:hAnsi="Times New Roman" w:eastAsia="Times New Roman" w:cs="Times New Roman"/>
          <w:spacing w:val="15"/>
          <w:position w:val="10"/>
          <w:sz w:val="42"/>
          <w:szCs w:val="42"/>
        </w:rPr>
        <w:t>项目支出</w:t>
      </w:r>
    </w:p>
    <w:p>
      <w:pPr>
        <w:spacing w:before="201" w:line="578" w:lineRule="exact"/>
        <w:ind w:left="2169"/>
        <w:jc w:val="center"/>
        <w:rPr>
          <w:rFonts w:ascii="Times New Roman" w:hAnsi="Times New Roman" w:eastAsia="Times New Roman" w:cs="Times New Roman"/>
          <w:spacing w:val="15"/>
          <w:position w:val="10"/>
          <w:sz w:val="42"/>
          <w:szCs w:val="42"/>
        </w:rPr>
      </w:pPr>
      <w:r>
        <w:rPr>
          <w:rFonts w:ascii="Times New Roman" w:hAnsi="Times New Roman" w:eastAsia="Times New Roman" w:cs="Times New Roman"/>
          <w:spacing w:val="15"/>
          <w:position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为有效推进白蚁防治工作，市委市政府高度重视，特设立白蚁防治项目经费，确保完成年度工作目标任务。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1.资金到位情况：白蚁防治项目由市住房保障服务中心于202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22</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2.资金使用情况：根据实际工作情况，白蚁防治项目共计支出</w:t>
      </w:r>
      <w:r>
        <w:rPr>
          <w:rFonts w:hint="eastAsia" w:eastAsia="仿宋_GB2312"/>
          <w:kern w:val="0"/>
          <w:sz w:val="32"/>
          <w:szCs w:val="32"/>
          <w:lang w:val="en-US" w:eastAsia="zh-CN"/>
        </w:rPr>
        <w:t>22</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2023年</w:t>
      </w:r>
      <w:r>
        <w:rPr>
          <w:rFonts w:hint="default" w:eastAsia="仿宋_GB2312"/>
          <w:kern w:val="0"/>
          <w:sz w:val="32"/>
          <w:szCs w:val="32"/>
          <w:lang w:val="en-US" w:eastAsia="zh-CN"/>
        </w:rPr>
        <w:t>白蚁防治免费预防灭治</w:t>
      </w:r>
      <w:r>
        <w:rPr>
          <w:rFonts w:hint="eastAsia" w:eastAsia="仿宋_GB2312"/>
          <w:kern w:val="0"/>
          <w:sz w:val="32"/>
          <w:szCs w:val="32"/>
          <w:lang w:val="en-US" w:eastAsia="zh-CN"/>
        </w:rPr>
        <w:t>实际达92.96万</w:t>
      </w:r>
      <w:r>
        <w:rPr>
          <w:rFonts w:hint="default" w:eastAsia="仿宋_GB2312"/>
          <w:kern w:val="0"/>
          <w:sz w:val="32"/>
          <w:szCs w:val="32"/>
          <w:lang w:val="en-US" w:eastAsia="zh-CN"/>
        </w:rPr>
        <w:t>平方米</w:t>
      </w:r>
      <w:r>
        <w:rPr>
          <w:rFonts w:hint="eastAsia" w:eastAsia="仿宋_GB2312"/>
          <w:kern w:val="0"/>
          <w:sz w:val="32"/>
          <w:szCs w:val="32"/>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目前，我市白蚁防治工作做到应灭尽灭，改善了城市居民的住房条件。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为改善居住环境，加强我市市容市貌建设，有效推进白蚁防治工作，特设白蚁防治经费支出项目。</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在执行过程中做到应灭尽灭，坚决做到不反复。</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白蚁防治经费使用率指标值为100%，实际完成100%，完成率100%。</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白蚁防治有效改善了居住环境和我市市容市貌。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白蚁防治经费改善了城市居民的住房条件，但部分居民仍为此困扰，这主要是由于符合申请条件人员日益增多，信息搜集有限、核实和动态管理等还缺乏一套比较客观、科学的体系。</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白蚁防治经费使用效益良好，随着社会经济的发展，保障范围的不断扩大，建议市财政适当增加该项经费。</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保障房建设</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为有效推进住房保障工作，市委市政府高度重视，特设立保障房建设项目工作经费，确保完成年度工作目标任务。</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保障房建设</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2023年完成公租房日常维修及化粪池清理等事项，申请建设公共租赁住房、保障性租赁住房项目均已开工。</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目前，我市住房保障工作正不断推进，致力于为符合条件的市民解决住房困难，同时进行公租房相关维修，改善居住条件。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为改善居住环境，解决符合条件人员住房困难问题，有效推进住房保障工作，特设保障房建设项目经费支出项目。</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在执行过程中做到严格审核，解决人员住房困难问题。</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保障房建设项目经费使用率指标值为100%，实际完成100%，完成率100%。</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保障房建设有效改善了居住环境，进一步解决了贫困、新就业等人员住房困难问题，推动了住房保障工作。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保障房建设项目经费进一步解决了贫困、新就业等人员住房困难问题，目前该工作正持续进行中，在由于申请人数较多，住房有限，目前未能做到全覆盖。</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保障房建设项目经费使用效益良好，随着社会经济的发展，保障范围的不断扩大，建议市财政适当增加该项经费。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危房鉴定</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 xml:space="preserve">部 门 </w:t>
      </w:r>
      <w:bookmarkStart w:id="0" w:name="_GoBack"/>
      <w:bookmarkEnd w:id="0"/>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6</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为有效推进危房鉴定工作，市委市政府高度重视，特设立危房鉴定工作经费，确保完成年度工作目标任务。</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项目由市住房保障服务中心于202</w:t>
      </w:r>
      <w:r>
        <w:rPr>
          <w:rFonts w:hint="eastAsia" w:eastAsia="仿宋_GB2312"/>
          <w:kern w:val="0"/>
          <w:sz w:val="32"/>
          <w:szCs w:val="32"/>
          <w:lang w:val="en-US" w:eastAsia="zh-CN"/>
        </w:rPr>
        <w:t>2</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万元。202</w:t>
      </w:r>
      <w:r>
        <w:rPr>
          <w:rFonts w:hint="eastAsia" w:eastAsia="仿宋_GB2312"/>
          <w:kern w:val="0"/>
          <w:sz w:val="32"/>
          <w:szCs w:val="32"/>
          <w:lang w:val="en-US" w:eastAsia="zh-CN"/>
        </w:rPr>
        <w:t>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危房鉴定</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2023年完成危房摸排3761栋。</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目前，我市危房鉴定工作做到应鉴尽鉴，致力于解除居民住房危险，改善了城市居民的住房条件。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为改善居住环境，避免危房带来的危险，有效推进住房保障工作，特设危房鉴定经费支出项目。</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在执行过程中做到应鉴尽鉴，不漏一户。</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危房鉴定经费使用率指标值为100%，实际完成100%，完成率100%。</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危房鉴定有效改善了居住环境和我市市容市貌，推动了住房保障工作。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危房鉴定经费项目改善了城市居民的住房条件，目前该工作正持续进行中，因此存在时间先后顺序、轻重缓急之分。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危房鉴定经费使用效益良好，随着社会经济的发展，保障范围的不断扩大，建议市财政适当增加该项经费。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24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1">
    <w:nsid w:val="B3C3C32C"/>
    <w:multiLevelType w:val="singleLevel"/>
    <w:tmpl w:val="B3C3C32C"/>
    <w:lvl w:ilvl="0" w:tentative="0">
      <w:start w:val="4"/>
      <w:numFmt w:val="chineseCounting"/>
      <w:suff w:val="nothing"/>
      <w:lvlText w:val="%1、"/>
      <w:lvlJc w:val="left"/>
      <w:rPr>
        <w:rFonts w:hint="eastAsia"/>
      </w:rPr>
    </w:lvl>
  </w:abstractNum>
  <w:abstractNum w:abstractNumId="2">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3">
    <w:nsid w:val="E3096D26"/>
    <w:multiLevelType w:val="singleLevel"/>
    <w:tmpl w:val="E3096D26"/>
    <w:lvl w:ilvl="0" w:tentative="0">
      <w:start w:val="1"/>
      <w:numFmt w:val="chineseCounting"/>
      <w:suff w:val="nothing"/>
      <w:lvlText w:val="%1、"/>
      <w:lvlJc w:val="left"/>
      <w:rPr>
        <w:rFonts w:hint="eastAsia"/>
      </w:rPr>
    </w:lvl>
  </w:abstractNum>
  <w:abstractNum w:abstractNumId="4">
    <w:nsid w:val="F2106ABD"/>
    <w:multiLevelType w:val="singleLevel"/>
    <w:tmpl w:val="F2106ABD"/>
    <w:lvl w:ilvl="0" w:tentative="0">
      <w:start w:val="8"/>
      <w:numFmt w:val="chineseCounting"/>
      <w:suff w:val="nothing"/>
      <w:lvlText w:val="%1、"/>
      <w:lvlJc w:val="left"/>
      <w:rPr>
        <w:rFonts w:hint="eastAsia"/>
      </w:rPr>
    </w:lvl>
  </w:abstractNum>
  <w:abstractNum w:abstractNumId="5">
    <w:nsid w:val="F69DEF47"/>
    <w:multiLevelType w:val="singleLevel"/>
    <w:tmpl w:val="F69DEF47"/>
    <w:lvl w:ilvl="0" w:tentative="0">
      <w:start w:val="2"/>
      <w:numFmt w:val="chineseCounting"/>
      <w:suff w:val="nothing"/>
      <w:lvlText w:val="%1、"/>
      <w:lvlJc w:val="left"/>
      <w:rPr>
        <w:rFonts w:hint="eastAsia"/>
      </w:rPr>
    </w:lvl>
  </w:abstractNum>
  <w:abstractNum w:abstractNumId="6">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7">
    <w:nsid w:val="642F2BE7"/>
    <w:multiLevelType w:val="singleLevel"/>
    <w:tmpl w:val="642F2BE7"/>
    <w:lvl w:ilvl="0" w:tentative="0">
      <w:start w:val="6"/>
      <w:numFmt w:val="chineseCounting"/>
      <w:suff w:val="nothing"/>
      <w:lvlText w:val="%1、"/>
      <w:lvlJc w:val="left"/>
      <w:rPr>
        <w:rFonts w:hint="eastAsia"/>
      </w:rPr>
    </w:lvl>
  </w:abstractNum>
  <w:abstractNum w:abstractNumId="8">
    <w:nsid w:val="6F4F2CE4"/>
    <w:multiLevelType w:val="singleLevel"/>
    <w:tmpl w:val="6F4F2CE4"/>
    <w:lvl w:ilvl="0" w:tentative="0">
      <w:start w:val="2"/>
      <w:numFmt w:val="chineseCounting"/>
      <w:suff w:val="nothing"/>
      <w:lvlText w:val="（%1）"/>
      <w:lvlJc w:val="left"/>
      <w:rPr>
        <w:rFonts w:hint="eastAsia"/>
      </w:rPr>
    </w:lvl>
  </w:abstractNum>
  <w:num w:numId="1">
    <w:abstractNumId w:val="3"/>
  </w:num>
  <w:num w:numId="2">
    <w:abstractNumId w:val="8"/>
  </w:num>
  <w:num w:numId="3">
    <w:abstractNumId w:val="1"/>
  </w:num>
  <w:num w:numId="4">
    <w:abstractNumId w:val="4"/>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I5ZDE4ZDRlODQwZjk0NjA2YTcyMGQ2NjIxMDJkYjEifQ=="/>
  </w:docVars>
  <w:rsids>
    <w:rsidRoot w:val="00000000"/>
    <w:rsid w:val="01AF3811"/>
    <w:rsid w:val="03795BF7"/>
    <w:rsid w:val="086E756B"/>
    <w:rsid w:val="0ACF37E5"/>
    <w:rsid w:val="0B400BC6"/>
    <w:rsid w:val="0E68228D"/>
    <w:rsid w:val="0EA6787F"/>
    <w:rsid w:val="15276E52"/>
    <w:rsid w:val="19D32FBC"/>
    <w:rsid w:val="1E6A4395"/>
    <w:rsid w:val="25557A3D"/>
    <w:rsid w:val="25F350C9"/>
    <w:rsid w:val="26EA5ED7"/>
    <w:rsid w:val="27A93B82"/>
    <w:rsid w:val="2AE00186"/>
    <w:rsid w:val="308216BE"/>
    <w:rsid w:val="34FE1149"/>
    <w:rsid w:val="3A550786"/>
    <w:rsid w:val="3B7A130F"/>
    <w:rsid w:val="494A1329"/>
    <w:rsid w:val="4DD33F0D"/>
    <w:rsid w:val="4F8B6063"/>
    <w:rsid w:val="52FA3F96"/>
    <w:rsid w:val="55850F17"/>
    <w:rsid w:val="57AE6D93"/>
    <w:rsid w:val="5FB623A7"/>
    <w:rsid w:val="6E3851B0"/>
    <w:rsid w:val="6EFE7954"/>
    <w:rsid w:val="784167CA"/>
    <w:rsid w:val="785A01BA"/>
    <w:rsid w:val="7ED67756"/>
    <w:rsid w:val="F7DF22CD"/>
    <w:rsid w:val="FFD5EA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1893</Words>
  <Characters>1955</Characters>
  <TotalTime>82</TotalTime>
  <ScaleCrop>false</ScaleCrop>
  <LinksUpToDate>false</LinksUpToDate>
  <CharactersWithSpaces>2119</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2025-06-26T11:28:30Z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ies>
</file>