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jc w:val="center"/>
              <w:rPr>
                <w:rFonts w:ascii="仿宋_GB2312" w:eastAsia="仿宋_GB2312"/>
                <w:kern w:val="0"/>
              </w:rPr>
            </w:pPr>
            <w:r>
              <w:rPr>
                <w:rFonts w:hint="eastAsia"/>
                <w:sz w:val="22"/>
                <w:szCs w:val="22"/>
              </w:rPr>
              <w:t>208</w:t>
            </w:r>
          </w:p>
        </w:tc>
        <w:tc>
          <w:tcPr>
            <w:tcW w:w="2039" w:type="dxa"/>
            <w:gridSpan w:val="2"/>
            <w:vAlign w:val="center"/>
          </w:tcPr>
          <w:p>
            <w:pPr>
              <w:jc w:val="center"/>
              <w:rPr>
                <w:rFonts w:ascii="仿宋_GB2312" w:eastAsia="仿宋_GB2312"/>
                <w:kern w:val="0"/>
              </w:rPr>
            </w:pPr>
            <w:r>
              <w:rPr>
                <w:rFonts w:hint="eastAsia"/>
                <w:sz w:val="22"/>
                <w:szCs w:val="22"/>
              </w:rPr>
              <w:t>208</w:t>
            </w:r>
          </w:p>
        </w:tc>
        <w:tc>
          <w:tcPr>
            <w:tcW w:w="1983" w:type="dxa"/>
            <w:gridSpan w:val="2"/>
            <w:vAlign w:val="center"/>
          </w:tcPr>
          <w:p>
            <w:pPr>
              <w:jc w:val="center"/>
              <w:rPr>
                <w:rFonts w:ascii="仿宋_GB2312" w:eastAsia="仿宋_GB2312"/>
                <w:kern w:val="0"/>
              </w:rPr>
            </w:pPr>
            <w:r>
              <w:rPr>
                <w:rFonts w:hint="eastAsia"/>
                <w:sz w:val="22"/>
                <w:szCs w:val="22"/>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ind w:firstLine="420" w:firstLineChars="0"/>
              <w:jc w:val="both"/>
              <w:rPr>
                <w:rFonts w:ascii="仿宋_GB2312" w:eastAsia="仿宋_GB2312"/>
                <w:kern w:val="0"/>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pPr>
              <w:ind w:firstLine="420" w:firstLineChars="0"/>
              <w:jc w:val="both"/>
              <w:rPr>
                <w:rFonts w:ascii="仿宋_GB2312" w:eastAsia="仿宋_GB2312"/>
                <w:kern w:val="0"/>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pPr>
              <w:ind w:firstLine="420" w:firstLineChars="0"/>
              <w:jc w:val="both"/>
              <w:rPr>
                <w:rFonts w:ascii="仿宋_GB2312" w:eastAsia="仿宋_GB2312"/>
                <w:kern w:val="0"/>
              </w:rPr>
            </w:pPr>
            <w:r>
              <w:rPr>
                <w:rFonts w:hint="eastAsia" w:ascii="仿宋_GB2312" w:eastAsia="仿宋_GB2312"/>
              </w:rPr>
              <w:t>2023</w:t>
            </w:r>
            <w:r>
              <w:rPr>
                <w:rFonts w:hint="eastAsia" w:ascii="仿宋_GB2312" w:hAnsi="宋体" w:eastAsia="仿宋_GB2312" w:cs="宋体"/>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jc w:val="center"/>
              <w:rPr>
                <w:rFonts w:ascii="仿宋_GB2312" w:eastAsia="仿宋_GB2312"/>
                <w:kern w:val="0"/>
              </w:rPr>
            </w:pPr>
            <w:r>
              <w:rPr>
                <w:rFonts w:hint="eastAsia"/>
                <w:sz w:val="22"/>
                <w:szCs w:val="22"/>
              </w:rPr>
              <w:t>18.13</w:t>
            </w:r>
          </w:p>
        </w:tc>
        <w:tc>
          <w:tcPr>
            <w:tcW w:w="2039" w:type="dxa"/>
            <w:gridSpan w:val="2"/>
            <w:vAlign w:val="center"/>
          </w:tcPr>
          <w:p>
            <w:pPr>
              <w:jc w:val="center"/>
              <w:rPr>
                <w:rFonts w:ascii="仿宋_GB2312" w:eastAsia="仿宋_GB2312"/>
                <w:kern w:val="0"/>
              </w:rPr>
            </w:pPr>
            <w:r>
              <w:rPr>
                <w:rFonts w:hint="eastAsia"/>
                <w:sz w:val="22"/>
                <w:szCs w:val="22"/>
              </w:rPr>
              <w:t>20.8</w:t>
            </w:r>
          </w:p>
        </w:tc>
        <w:tc>
          <w:tcPr>
            <w:tcW w:w="1983" w:type="dxa"/>
            <w:gridSpan w:val="2"/>
            <w:vAlign w:val="center"/>
          </w:tcPr>
          <w:p>
            <w:pPr>
              <w:jc w:val="center"/>
              <w:rPr>
                <w:rFonts w:ascii="仿宋_GB2312" w:eastAsia="仿宋_GB2312"/>
                <w:kern w:val="0"/>
              </w:rPr>
            </w:pPr>
            <w:r>
              <w:rPr>
                <w:rFonts w:hint="eastAsia"/>
                <w:sz w:val="22"/>
                <w:szCs w:val="22"/>
              </w:rPr>
              <w:t>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jc w:val="center"/>
              <w:rPr>
                <w:rFonts w:ascii="仿宋_GB2312" w:eastAsia="仿宋_GB2312"/>
                <w:kern w:val="0"/>
                <w:lang w:eastAsia="zh-CN"/>
              </w:rPr>
            </w:pPr>
            <w:r>
              <w:rPr>
                <w:rFonts w:hint="eastAsia"/>
                <w:sz w:val="22"/>
                <w:szCs w:val="22"/>
              </w:rPr>
              <w:t>11.46</w:t>
            </w:r>
          </w:p>
        </w:tc>
        <w:tc>
          <w:tcPr>
            <w:tcW w:w="2039" w:type="dxa"/>
            <w:gridSpan w:val="2"/>
            <w:vAlign w:val="center"/>
          </w:tcPr>
          <w:p>
            <w:pPr>
              <w:jc w:val="center"/>
              <w:rPr>
                <w:rFonts w:ascii="仿宋_GB2312" w:eastAsia="仿宋_GB2312"/>
                <w:kern w:val="0"/>
                <w:lang w:eastAsia="zh-CN"/>
              </w:rPr>
            </w:pPr>
            <w:r>
              <w:rPr>
                <w:rFonts w:hint="eastAsia"/>
                <w:sz w:val="22"/>
                <w:szCs w:val="22"/>
              </w:rPr>
              <w:t>0</w:t>
            </w:r>
          </w:p>
        </w:tc>
        <w:tc>
          <w:tcPr>
            <w:tcW w:w="1983" w:type="dxa"/>
            <w:gridSpan w:val="2"/>
            <w:vAlign w:val="center"/>
          </w:tcPr>
          <w:p>
            <w:pPr>
              <w:jc w:val="center"/>
              <w:rPr>
                <w:rFonts w:ascii="仿宋_GB2312" w:eastAsia="仿宋_GB2312"/>
                <w:kern w:val="0"/>
                <w:lang w:eastAsia="zh-CN"/>
              </w:rPr>
            </w:pPr>
            <w:r>
              <w:rPr>
                <w:rFonts w:hint="eastAsia"/>
                <w:sz w:val="22"/>
                <w:szCs w:val="22"/>
              </w:rPr>
              <w:t>21.87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jc w:val="center"/>
              <w:rPr>
                <w:rFonts w:ascii="仿宋_GB2312" w:eastAsia="仿宋_GB2312"/>
                <w:kern w:val="0"/>
              </w:rPr>
            </w:pPr>
            <w:r>
              <w:rPr>
                <w:rFonts w:hint="eastAsia"/>
                <w:sz w:val="22"/>
                <w:szCs w:val="22"/>
              </w:rPr>
              <w:t>0</w:t>
            </w:r>
          </w:p>
        </w:tc>
        <w:tc>
          <w:tcPr>
            <w:tcW w:w="2039" w:type="dxa"/>
            <w:gridSpan w:val="2"/>
            <w:vAlign w:val="center"/>
          </w:tcPr>
          <w:p>
            <w:pPr>
              <w:jc w:val="center"/>
              <w:rPr>
                <w:rFonts w:ascii="仿宋_GB2312" w:eastAsia="仿宋_GB2312"/>
                <w:kern w:val="0"/>
              </w:rPr>
            </w:pPr>
            <w:r>
              <w:rPr>
                <w:rFonts w:hint="eastAsia"/>
                <w:sz w:val="22"/>
                <w:szCs w:val="22"/>
              </w:rPr>
              <w:t>　</w:t>
            </w:r>
          </w:p>
        </w:tc>
        <w:tc>
          <w:tcPr>
            <w:tcW w:w="1983" w:type="dxa"/>
            <w:gridSpan w:val="2"/>
            <w:vAlign w:val="center"/>
          </w:tcPr>
          <w:p>
            <w:pPr>
              <w:jc w:val="center"/>
              <w:rPr>
                <w:rFonts w:ascii="仿宋_GB2312" w:eastAsia="仿宋_GB2312"/>
                <w:kern w:val="0"/>
              </w:rPr>
            </w:pPr>
            <w:r>
              <w:rPr>
                <w:rFonts w:hint="eastAsia"/>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jc w:val="center"/>
              <w:rPr>
                <w:rFonts w:ascii="仿宋_GB2312" w:eastAsia="仿宋_GB2312"/>
                <w:kern w:val="0"/>
              </w:rPr>
            </w:pPr>
            <w:r>
              <w:rPr>
                <w:rFonts w:hint="eastAsia"/>
                <w:sz w:val="22"/>
                <w:szCs w:val="22"/>
              </w:rPr>
              <w:t>11.46</w:t>
            </w:r>
          </w:p>
        </w:tc>
        <w:tc>
          <w:tcPr>
            <w:tcW w:w="2039" w:type="dxa"/>
            <w:gridSpan w:val="2"/>
            <w:vAlign w:val="center"/>
          </w:tcPr>
          <w:p>
            <w:pPr>
              <w:jc w:val="center"/>
              <w:rPr>
                <w:rFonts w:ascii="仿宋_GB2312" w:eastAsia="仿宋_GB2312"/>
                <w:kern w:val="0"/>
              </w:rPr>
            </w:pPr>
            <w:r>
              <w:rPr>
                <w:rFonts w:hint="eastAsia"/>
                <w:sz w:val="22"/>
                <w:szCs w:val="22"/>
              </w:rPr>
              <w:t>　</w:t>
            </w:r>
          </w:p>
        </w:tc>
        <w:tc>
          <w:tcPr>
            <w:tcW w:w="1983" w:type="dxa"/>
            <w:gridSpan w:val="2"/>
            <w:vAlign w:val="center"/>
          </w:tcPr>
          <w:p>
            <w:pPr>
              <w:jc w:val="center"/>
              <w:rPr>
                <w:rFonts w:ascii="仿宋_GB2312" w:eastAsia="仿宋_GB2312"/>
                <w:kern w:val="0"/>
              </w:rPr>
            </w:pPr>
            <w:r>
              <w:rPr>
                <w:rFonts w:hint="eastAsia"/>
                <w:sz w:val="22"/>
                <w:szCs w:val="22"/>
              </w:rPr>
              <w:t>21.87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jc w:val="center"/>
              <w:rPr>
                <w:rFonts w:ascii="仿宋_GB2312" w:eastAsia="仿宋_GB2312"/>
                <w:kern w:val="0"/>
              </w:rPr>
            </w:pPr>
            <w:r>
              <w:rPr>
                <w:rFonts w:hint="eastAsia"/>
                <w:sz w:val="22"/>
                <w:szCs w:val="22"/>
              </w:rPr>
              <w:t>　</w:t>
            </w:r>
          </w:p>
        </w:tc>
        <w:tc>
          <w:tcPr>
            <w:tcW w:w="2039" w:type="dxa"/>
            <w:gridSpan w:val="2"/>
            <w:vAlign w:val="center"/>
          </w:tcPr>
          <w:p>
            <w:pPr>
              <w:jc w:val="center"/>
              <w:rPr>
                <w:rFonts w:ascii="仿宋_GB2312" w:eastAsia="仿宋_GB2312"/>
                <w:kern w:val="0"/>
              </w:rPr>
            </w:pPr>
            <w:r>
              <w:rPr>
                <w:rFonts w:hint="eastAsia"/>
                <w:sz w:val="22"/>
                <w:szCs w:val="22"/>
              </w:rPr>
              <w:t>　</w:t>
            </w:r>
          </w:p>
        </w:tc>
        <w:tc>
          <w:tcPr>
            <w:tcW w:w="1983" w:type="dxa"/>
            <w:gridSpan w:val="2"/>
            <w:vAlign w:val="center"/>
          </w:tcPr>
          <w:p>
            <w:pPr>
              <w:jc w:val="center"/>
              <w:rPr>
                <w:rFonts w:ascii="仿宋_GB2312" w:eastAsia="仿宋_GB2312"/>
                <w:kern w:val="0"/>
              </w:rPr>
            </w:pPr>
            <w:r>
              <w:rPr>
                <w:rFonts w:hint="eastAsia"/>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jc w:val="center"/>
              <w:rPr>
                <w:rFonts w:ascii="仿宋_GB2312" w:eastAsia="仿宋_GB2312"/>
                <w:kern w:val="0"/>
              </w:rPr>
            </w:pPr>
            <w:r>
              <w:rPr>
                <w:rFonts w:hint="eastAsia"/>
                <w:sz w:val="22"/>
                <w:szCs w:val="22"/>
              </w:rPr>
              <w:t>6.67</w:t>
            </w:r>
          </w:p>
        </w:tc>
        <w:tc>
          <w:tcPr>
            <w:tcW w:w="2039" w:type="dxa"/>
            <w:gridSpan w:val="2"/>
            <w:vAlign w:val="center"/>
          </w:tcPr>
          <w:p>
            <w:pPr>
              <w:jc w:val="center"/>
              <w:rPr>
                <w:rFonts w:ascii="仿宋_GB2312" w:eastAsia="仿宋_GB2312"/>
                <w:kern w:val="0"/>
              </w:rPr>
            </w:pPr>
            <w:r>
              <w:rPr>
                <w:rFonts w:hint="eastAsia"/>
                <w:sz w:val="22"/>
                <w:szCs w:val="22"/>
              </w:rPr>
              <w:t>20.8</w:t>
            </w:r>
          </w:p>
        </w:tc>
        <w:tc>
          <w:tcPr>
            <w:tcW w:w="1983" w:type="dxa"/>
            <w:gridSpan w:val="2"/>
            <w:vAlign w:val="center"/>
          </w:tcPr>
          <w:p>
            <w:pPr>
              <w:jc w:val="center"/>
              <w:rPr>
                <w:rFonts w:ascii="仿宋_GB2312" w:eastAsia="仿宋_GB2312"/>
                <w:kern w:val="0"/>
              </w:rPr>
            </w:pPr>
            <w:r>
              <w:rPr>
                <w:rFonts w:hint="eastAsia"/>
                <w:sz w:val="22"/>
                <w:szCs w:val="22"/>
              </w:rPr>
              <w:t>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jc w:val="center"/>
              <w:rPr>
                <w:rFonts w:ascii="仿宋_GB2312" w:eastAsia="仿宋_GB2312"/>
                <w:kern w:val="0"/>
              </w:rPr>
            </w:pPr>
            <w:r>
              <w:rPr>
                <w:rFonts w:hint="eastAsia"/>
                <w:sz w:val="22"/>
                <w:szCs w:val="22"/>
              </w:rPr>
              <w:t>4972.67</w:t>
            </w:r>
          </w:p>
        </w:tc>
        <w:tc>
          <w:tcPr>
            <w:tcW w:w="2039" w:type="dxa"/>
            <w:gridSpan w:val="2"/>
            <w:vAlign w:val="center"/>
          </w:tcPr>
          <w:p>
            <w:pPr>
              <w:jc w:val="center"/>
              <w:rPr>
                <w:rFonts w:ascii="仿宋_GB2312" w:eastAsia="仿宋_GB2312"/>
                <w:kern w:val="0"/>
              </w:rPr>
            </w:pPr>
            <w:r>
              <w:rPr>
                <w:rFonts w:hint="eastAsia"/>
                <w:sz w:val="22"/>
                <w:szCs w:val="22"/>
              </w:rPr>
              <w:t>2038.04</w:t>
            </w:r>
          </w:p>
        </w:tc>
        <w:tc>
          <w:tcPr>
            <w:tcW w:w="1983" w:type="dxa"/>
            <w:gridSpan w:val="2"/>
            <w:vAlign w:val="center"/>
          </w:tcPr>
          <w:p>
            <w:pPr>
              <w:jc w:val="center"/>
              <w:rPr>
                <w:rFonts w:ascii="仿宋_GB2312" w:eastAsia="仿宋_GB2312"/>
                <w:kern w:val="0"/>
              </w:rPr>
            </w:pPr>
            <w:r>
              <w:rPr>
                <w:rFonts w:hint="eastAsia"/>
                <w:sz w:val="22"/>
                <w:szCs w:val="22"/>
              </w:rPr>
              <w:t>6479.65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jc w:val="center"/>
              <w:rPr>
                <w:rFonts w:ascii="仿宋_GB2312" w:eastAsia="仿宋_GB2312"/>
                <w:kern w:val="0"/>
              </w:rPr>
            </w:pPr>
            <w:r>
              <w:rPr>
                <w:rFonts w:hint="eastAsia"/>
                <w:sz w:val="22"/>
                <w:szCs w:val="22"/>
              </w:rPr>
              <w:t>4972.67</w:t>
            </w:r>
          </w:p>
        </w:tc>
        <w:tc>
          <w:tcPr>
            <w:tcW w:w="2039" w:type="dxa"/>
            <w:gridSpan w:val="2"/>
            <w:vAlign w:val="center"/>
          </w:tcPr>
          <w:p>
            <w:pPr>
              <w:jc w:val="center"/>
              <w:rPr>
                <w:rFonts w:ascii="仿宋_GB2312" w:eastAsia="仿宋_GB2312"/>
                <w:kern w:val="0"/>
              </w:rPr>
            </w:pPr>
            <w:r>
              <w:rPr>
                <w:rFonts w:hint="eastAsia"/>
                <w:sz w:val="22"/>
                <w:szCs w:val="22"/>
              </w:rPr>
              <w:t>2038.04</w:t>
            </w:r>
          </w:p>
        </w:tc>
        <w:tc>
          <w:tcPr>
            <w:tcW w:w="1983" w:type="dxa"/>
            <w:gridSpan w:val="2"/>
            <w:vAlign w:val="center"/>
          </w:tcPr>
          <w:p>
            <w:pPr>
              <w:jc w:val="center"/>
              <w:rPr>
                <w:rFonts w:ascii="仿宋_GB2312" w:eastAsia="仿宋_GB2312"/>
                <w:kern w:val="0"/>
              </w:rPr>
            </w:pPr>
            <w:r>
              <w:rPr>
                <w:rFonts w:hint="eastAsia"/>
                <w:sz w:val="22"/>
                <w:szCs w:val="22"/>
              </w:rPr>
              <w:t>6479.65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jc w:val="center"/>
              <w:rPr>
                <w:rFonts w:ascii="仿宋_GB2312" w:eastAsia="仿宋_GB2312"/>
                <w:kern w:val="0"/>
              </w:rPr>
            </w:pPr>
            <w:r>
              <w:rPr>
                <w:rFonts w:hint="eastAsia"/>
                <w:sz w:val="22"/>
                <w:szCs w:val="22"/>
              </w:rPr>
              <w:t>　</w:t>
            </w:r>
          </w:p>
        </w:tc>
        <w:tc>
          <w:tcPr>
            <w:tcW w:w="2039" w:type="dxa"/>
            <w:gridSpan w:val="2"/>
            <w:vAlign w:val="center"/>
          </w:tcPr>
          <w:p>
            <w:pPr>
              <w:jc w:val="center"/>
              <w:rPr>
                <w:rFonts w:ascii="仿宋_GB2312" w:eastAsia="仿宋_GB2312"/>
                <w:kern w:val="0"/>
              </w:rPr>
            </w:pPr>
            <w:r>
              <w:rPr>
                <w:rFonts w:hint="eastAsia"/>
                <w:sz w:val="22"/>
                <w:szCs w:val="22"/>
              </w:rPr>
              <w:t>　</w:t>
            </w:r>
          </w:p>
        </w:tc>
        <w:tc>
          <w:tcPr>
            <w:tcW w:w="1983" w:type="dxa"/>
            <w:gridSpan w:val="2"/>
            <w:vAlign w:val="center"/>
          </w:tcPr>
          <w:p>
            <w:pPr>
              <w:jc w:val="center"/>
              <w:rPr>
                <w:rFonts w:ascii="仿宋_GB2312" w:eastAsia="仿宋_GB2312"/>
                <w:kern w:val="0"/>
              </w:rPr>
            </w:pPr>
            <w:r>
              <w:rPr>
                <w:rFonts w:hint="eastAsia"/>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jc w:val="center"/>
              <w:rPr>
                <w:rFonts w:ascii="仿宋_GB2312" w:eastAsia="仿宋_GB2312"/>
                <w:kern w:val="0"/>
                <w:lang w:eastAsia="zh-CN"/>
              </w:rPr>
            </w:pPr>
            <w:r>
              <w:rPr>
                <w:rFonts w:hint="eastAsia"/>
                <w:sz w:val="22"/>
                <w:szCs w:val="22"/>
              </w:rPr>
              <w:t>　</w:t>
            </w:r>
          </w:p>
        </w:tc>
        <w:tc>
          <w:tcPr>
            <w:tcW w:w="2039" w:type="dxa"/>
            <w:gridSpan w:val="2"/>
            <w:vAlign w:val="center"/>
          </w:tcPr>
          <w:p>
            <w:pPr>
              <w:jc w:val="center"/>
              <w:rPr>
                <w:rFonts w:ascii="仿宋_GB2312" w:eastAsia="仿宋_GB2312"/>
                <w:kern w:val="0"/>
                <w:lang w:eastAsia="zh-CN"/>
              </w:rPr>
            </w:pPr>
            <w:r>
              <w:rPr>
                <w:rFonts w:hint="eastAsia"/>
                <w:sz w:val="22"/>
                <w:szCs w:val="22"/>
              </w:rPr>
              <w:t>　</w:t>
            </w:r>
          </w:p>
        </w:tc>
        <w:tc>
          <w:tcPr>
            <w:tcW w:w="1983" w:type="dxa"/>
            <w:gridSpan w:val="2"/>
            <w:vAlign w:val="center"/>
          </w:tcPr>
          <w:p>
            <w:pPr>
              <w:jc w:val="center"/>
              <w:rPr>
                <w:rFonts w:ascii="仿宋_GB2312" w:eastAsia="仿宋_GB2312"/>
                <w:kern w:val="0"/>
                <w:lang w:eastAsia="zh-CN"/>
              </w:rPr>
            </w:pPr>
            <w:r>
              <w:rPr>
                <w:rFonts w:hint="eastAsia"/>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jc w:val="center"/>
              <w:rPr>
                <w:rFonts w:ascii="仿宋_GB2312" w:eastAsia="仿宋_GB2312"/>
                <w:kern w:val="0"/>
              </w:rPr>
            </w:pPr>
            <w:r>
              <w:rPr>
                <w:rFonts w:hint="eastAsia"/>
                <w:sz w:val="22"/>
                <w:szCs w:val="22"/>
              </w:rPr>
              <w:t>1125.95</w:t>
            </w:r>
          </w:p>
        </w:tc>
        <w:tc>
          <w:tcPr>
            <w:tcW w:w="2039" w:type="dxa"/>
            <w:gridSpan w:val="2"/>
            <w:vAlign w:val="center"/>
          </w:tcPr>
          <w:p>
            <w:pPr>
              <w:jc w:val="center"/>
              <w:rPr>
                <w:rFonts w:ascii="仿宋_GB2312" w:eastAsia="仿宋_GB2312"/>
                <w:kern w:val="0"/>
              </w:rPr>
            </w:pPr>
            <w:r>
              <w:rPr>
                <w:rFonts w:hint="eastAsia"/>
                <w:sz w:val="22"/>
                <w:szCs w:val="22"/>
              </w:rPr>
              <w:t>702.4259</w:t>
            </w:r>
          </w:p>
        </w:tc>
        <w:tc>
          <w:tcPr>
            <w:tcW w:w="1983" w:type="dxa"/>
            <w:gridSpan w:val="2"/>
            <w:vAlign w:val="center"/>
          </w:tcPr>
          <w:p>
            <w:pPr>
              <w:jc w:val="center"/>
              <w:rPr>
                <w:rFonts w:ascii="仿宋_GB2312" w:eastAsia="仿宋_GB2312"/>
                <w:kern w:val="0"/>
              </w:rPr>
            </w:pPr>
            <w:r>
              <w:rPr>
                <w:rFonts w:hint="eastAsia"/>
                <w:sz w:val="22"/>
                <w:szCs w:val="22"/>
              </w:rPr>
              <w:t>1441.23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jc w:val="center"/>
              <w:rPr>
                <w:rFonts w:ascii="仿宋_GB2312" w:eastAsia="仿宋_GB2312"/>
                <w:kern w:val="0"/>
              </w:rPr>
            </w:pPr>
            <w:r>
              <w:rPr>
                <w:rFonts w:hint="eastAsia"/>
                <w:sz w:val="22"/>
                <w:szCs w:val="22"/>
              </w:rPr>
              <w:t>73.87</w:t>
            </w:r>
          </w:p>
        </w:tc>
        <w:tc>
          <w:tcPr>
            <w:tcW w:w="2039" w:type="dxa"/>
            <w:gridSpan w:val="2"/>
            <w:vAlign w:val="center"/>
          </w:tcPr>
          <w:p>
            <w:pPr>
              <w:jc w:val="center"/>
              <w:rPr>
                <w:rFonts w:ascii="仿宋_GB2312" w:eastAsia="仿宋_GB2312"/>
                <w:kern w:val="0"/>
              </w:rPr>
            </w:pPr>
            <w:r>
              <w:rPr>
                <w:rFonts w:hint="eastAsia"/>
                <w:sz w:val="22"/>
                <w:szCs w:val="22"/>
              </w:rPr>
              <w:t>27.04</w:t>
            </w:r>
          </w:p>
        </w:tc>
        <w:tc>
          <w:tcPr>
            <w:tcW w:w="1983" w:type="dxa"/>
            <w:gridSpan w:val="2"/>
            <w:vAlign w:val="center"/>
          </w:tcPr>
          <w:p>
            <w:pPr>
              <w:jc w:val="center"/>
              <w:rPr>
                <w:rFonts w:ascii="仿宋_GB2312" w:eastAsia="仿宋_GB2312"/>
                <w:kern w:val="0"/>
              </w:rPr>
            </w:pPr>
            <w:r>
              <w:rPr>
                <w:rFonts w:hint="eastAsia"/>
                <w:sz w:val="22"/>
                <w:szCs w:val="22"/>
              </w:rPr>
              <w:t>75.92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jc w:val="center"/>
              <w:rPr>
                <w:rFonts w:ascii="仿宋_GB2312" w:eastAsia="仿宋_GB2312"/>
                <w:kern w:val="0"/>
              </w:rPr>
            </w:pPr>
            <w:r>
              <w:rPr>
                <w:rFonts w:hint="eastAsia"/>
                <w:sz w:val="22"/>
                <w:szCs w:val="22"/>
              </w:rPr>
              <w:t>86.46</w:t>
            </w:r>
          </w:p>
        </w:tc>
        <w:tc>
          <w:tcPr>
            <w:tcW w:w="2039" w:type="dxa"/>
            <w:gridSpan w:val="2"/>
            <w:vAlign w:val="center"/>
          </w:tcPr>
          <w:p>
            <w:pPr>
              <w:jc w:val="center"/>
              <w:rPr>
                <w:rFonts w:ascii="仿宋_GB2312" w:eastAsia="仿宋_GB2312"/>
                <w:kern w:val="0"/>
              </w:rPr>
            </w:pPr>
            <w:r>
              <w:rPr>
                <w:rFonts w:hint="eastAsia"/>
                <w:sz w:val="22"/>
                <w:szCs w:val="22"/>
              </w:rPr>
              <w:t>58.24</w:t>
            </w:r>
          </w:p>
        </w:tc>
        <w:tc>
          <w:tcPr>
            <w:tcW w:w="1983" w:type="dxa"/>
            <w:gridSpan w:val="2"/>
            <w:vAlign w:val="center"/>
          </w:tcPr>
          <w:p>
            <w:pPr>
              <w:jc w:val="center"/>
              <w:rPr>
                <w:rFonts w:ascii="仿宋_GB2312" w:eastAsia="仿宋_GB2312"/>
                <w:kern w:val="0"/>
              </w:rPr>
            </w:pPr>
            <w:r>
              <w:rPr>
                <w:rFonts w:hint="eastAsia"/>
                <w:sz w:val="22"/>
                <w:szCs w:val="22"/>
              </w:rPr>
              <w:t>86.53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jc w:val="center"/>
              <w:rPr>
                <w:rFonts w:ascii="仿宋_GB2312" w:eastAsia="仿宋_GB2312"/>
                <w:kern w:val="0"/>
              </w:rPr>
            </w:pPr>
            <w:r>
              <w:rPr>
                <w:rFonts w:hint="eastAsia"/>
                <w:sz w:val="22"/>
                <w:szCs w:val="22"/>
              </w:rPr>
              <w:t>11.84</w:t>
            </w:r>
          </w:p>
        </w:tc>
        <w:tc>
          <w:tcPr>
            <w:tcW w:w="2039" w:type="dxa"/>
            <w:gridSpan w:val="2"/>
            <w:vAlign w:val="center"/>
          </w:tcPr>
          <w:p>
            <w:pPr>
              <w:jc w:val="center"/>
              <w:rPr>
                <w:rFonts w:ascii="仿宋_GB2312" w:eastAsia="仿宋_GB2312"/>
                <w:kern w:val="0"/>
              </w:rPr>
            </w:pPr>
            <w:r>
              <w:rPr>
                <w:rFonts w:hint="eastAsia"/>
                <w:sz w:val="22"/>
                <w:szCs w:val="22"/>
              </w:rPr>
              <w:t>20.8</w:t>
            </w:r>
          </w:p>
        </w:tc>
        <w:tc>
          <w:tcPr>
            <w:tcW w:w="1983" w:type="dxa"/>
            <w:gridSpan w:val="2"/>
            <w:vAlign w:val="center"/>
          </w:tcPr>
          <w:p>
            <w:pPr>
              <w:jc w:val="center"/>
              <w:rPr>
                <w:rFonts w:ascii="仿宋_GB2312" w:eastAsia="仿宋_GB2312"/>
                <w:kern w:val="0"/>
              </w:rPr>
            </w:pPr>
            <w:r>
              <w:rPr>
                <w:rFonts w:hint="eastAsia"/>
                <w:sz w:val="22"/>
                <w:szCs w:val="22"/>
              </w:rPr>
              <w:t>17.23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jc w:val="center"/>
              <w:rPr>
                <w:rFonts w:ascii="仿宋_GB2312" w:eastAsia="仿宋_GB2312"/>
                <w:kern w:val="0"/>
              </w:rPr>
            </w:pPr>
            <w:r>
              <w:rPr>
                <w:rFonts w:hint="eastAsia"/>
                <w:sz w:val="22"/>
                <w:szCs w:val="22"/>
              </w:rPr>
              <w:t>528.02</w:t>
            </w:r>
          </w:p>
        </w:tc>
        <w:tc>
          <w:tcPr>
            <w:tcW w:w="2039" w:type="dxa"/>
            <w:gridSpan w:val="2"/>
            <w:vAlign w:val="center"/>
          </w:tcPr>
          <w:p>
            <w:pPr>
              <w:jc w:val="center"/>
              <w:rPr>
                <w:rFonts w:ascii="仿宋_GB2312" w:eastAsia="仿宋_GB2312"/>
                <w:kern w:val="0"/>
              </w:rPr>
            </w:pPr>
            <w:r>
              <w:rPr>
                <w:rFonts w:hint="eastAsia"/>
                <w:sz w:val="22"/>
                <w:szCs w:val="22"/>
              </w:rPr>
              <w:t>1469.24</w:t>
            </w:r>
          </w:p>
        </w:tc>
        <w:tc>
          <w:tcPr>
            <w:tcW w:w="1983" w:type="dxa"/>
            <w:gridSpan w:val="2"/>
            <w:vAlign w:val="center"/>
          </w:tcPr>
          <w:p>
            <w:pPr>
              <w:jc w:val="center"/>
              <w:rPr>
                <w:rFonts w:ascii="仿宋_GB2312" w:eastAsia="仿宋_GB2312"/>
                <w:kern w:val="0"/>
              </w:rPr>
            </w:pPr>
            <w:r>
              <w:rPr>
                <w:rFonts w:hint="eastAsia"/>
                <w:sz w:val="22"/>
                <w:szCs w:val="22"/>
              </w:rPr>
              <w:t>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jc w:val="center"/>
              <w:rPr>
                <w:rFonts w:ascii="仿宋_GB2312" w:eastAsia="仿宋_GB2312"/>
                <w:kern w:val="0"/>
                <w:lang w:eastAsia="zh-CN"/>
              </w:rPr>
            </w:pPr>
          </w:p>
        </w:tc>
        <w:tc>
          <w:tcPr>
            <w:tcW w:w="2039" w:type="dxa"/>
            <w:gridSpan w:val="2"/>
            <w:vAlign w:val="center"/>
          </w:tcPr>
          <w:p>
            <w:pPr>
              <w:jc w:val="center"/>
              <w:rPr>
                <w:rFonts w:ascii="仿宋_GB2312" w:eastAsia="仿宋_GB2312"/>
                <w:kern w:val="0"/>
                <w:lang w:eastAsia="zh-CN"/>
              </w:rPr>
            </w:pPr>
          </w:p>
        </w:tc>
        <w:tc>
          <w:tcPr>
            <w:tcW w:w="1983" w:type="dxa"/>
            <w:gridSpan w:val="2"/>
            <w:vAlign w:val="center"/>
          </w:tcPr>
          <w:p>
            <w:pPr>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lang w:eastAsia="zh-CN"/>
              </w:rPr>
              <w:t>落实过紧日子要求，压缩一般性支出，大力精简差旅、租车、印刷、广告宣传等公用经费开支。</w:t>
            </w:r>
            <w:r>
              <w:rPr>
                <w:lang w:eastAsia="zh-CN"/>
              </w:rPr>
              <w:tab/>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2024年10月17日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13611166895</w:t>
      </w:r>
      <w:r>
        <w:rPr>
          <w:rFonts w:ascii="仿宋_GB2312" w:hAnsi="宋体" w:eastAsia="仿宋_GB2312" w:cs="宋体"/>
          <w:snapToGrid w:val="0"/>
          <w:color w:val="000000"/>
          <w:sz w:val="21"/>
          <w:szCs w:val="21"/>
          <w:lang w:val="en-US" w:eastAsia="zh-CN" w:bidi="ar-SA"/>
        </w:rPr>
        <w:t xml:space="preserve">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rPr>
              <w:t>汨罗市自然资源局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4726.76</w:t>
            </w:r>
          </w:p>
        </w:tc>
        <w:tc>
          <w:tcPr>
            <w:tcW w:w="1298"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10113.21</w:t>
            </w:r>
          </w:p>
        </w:tc>
        <w:tc>
          <w:tcPr>
            <w:tcW w:w="1269"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10113.21</w:t>
            </w:r>
          </w:p>
        </w:tc>
        <w:tc>
          <w:tcPr>
            <w:tcW w:w="699" w:type="dxa"/>
            <w:vAlign w:val="center"/>
          </w:tcPr>
          <w:p>
            <w:pPr>
              <w:jc w:val="center"/>
              <w:rPr>
                <w:rFonts w:ascii="仿宋_GB2312" w:eastAsia="仿宋_GB2312"/>
                <w:kern w:val="0"/>
              </w:rPr>
            </w:pPr>
            <w:r>
              <w:rPr>
                <w:rFonts w:ascii="Times New Roman" w:hAnsi="Times New Roman" w:cs="Times New Roman"/>
                <w:sz w:val="20"/>
                <w:szCs w:val="20"/>
              </w:rPr>
              <w:t>10</w:t>
            </w:r>
          </w:p>
        </w:tc>
        <w:tc>
          <w:tcPr>
            <w:tcW w:w="869"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100%</w:t>
            </w:r>
          </w:p>
        </w:tc>
        <w:tc>
          <w:tcPr>
            <w:tcW w:w="1423"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ind w:firstLine="420" w:firstLineChars="0"/>
              <w:rPr>
                <w:rFonts w:ascii="仿宋_GB2312" w:eastAsia="仿宋_GB2312"/>
                <w:kern w:val="0"/>
                <w:lang w:eastAsia="zh-CN"/>
              </w:rPr>
            </w:pPr>
            <w:r>
              <w:rPr>
                <w:rFonts w:hint="eastAsia" w:ascii="仿宋_GB2312" w:hAnsi="宋体" w:eastAsia="仿宋_GB2312" w:cs="宋体"/>
                <w:lang w:eastAsia="zh-CN"/>
              </w:rPr>
              <w:t>其中：一般公共预算：8250.38</w:t>
            </w:r>
          </w:p>
        </w:tc>
        <w:tc>
          <w:tcPr>
            <w:tcW w:w="4260" w:type="dxa"/>
            <w:gridSpan w:val="4"/>
            <w:vAlign w:val="center"/>
          </w:tcPr>
          <w:p>
            <w:pPr>
              <w:ind w:firstLine="420" w:firstLineChars="0"/>
              <w:rPr>
                <w:rFonts w:ascii="仿宋_GB2312" w:eastAsia="仿宋_GB2312"/>
                <w:kern w:val="0"/>
              </w:rPr>
            </w:pPr>
            <w:r>
              <w:rPr>
                <w:rFonts w:hint="eastAsia" w:ascii="仿宋_GB2312" w:hAnsi="宋体" w:eastAsia="仿宋_GB2312" w:cs="宋体"/>
              </w:rPr>
              <w:t>其中：基本支出：</w:t>
            </w:r>
            <w:r>
              <w:rPr>
                <w:rFonts w:hint="eastAsia" w:ascii="仿宋_GB2312" w:hAnsi="宋体" w:eastAsia="仿宋_GB2312" w:cs="宋体"/>
                <w:lang w:val="en-US" w:eastAsia="zh-CN"/>
              </w:rPr>
              <w:t>3633.56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ind w:firstLine="1050" w:firstLineChars="500"/>
              <w:rPr>
                <w:rFonts w:ascii="仿宋_GB2312" w:eastAsia="仿宋_GB2312"/>
                <w:kern w:val="0"/>
              </w:rPr>
            </w:pPr>
            <w:r>
              <w:rPr>
                <w:rFonts w:hint="eastAsia" w:ascii="仿宋_GB2312" w:hAnsi="宋体" w:eastAsia="仿宋_GB2312" w:cs="宋体"/>
              </w:rPr>
              <w:t>政府性基金拨款：1862.83</w:t>
            </w:r>
          </w:p>
        </w:tc>
        <w:tc>
          <w:tcPr>
            <w:tcW w:w="4260" w:type="dxa"/>
            <w:gridSpan w:val="4"/>
            <w:vAlign w:val="center"/>
          </w:tcPr>
          <w:p>
            <w:pPr>
              <w:ind w:firstLine="1050" w:firstLineChars="500"/>
              <w:rPr>
                <w:rFonts w:ascii="仿宋_GB2312" w:eastAsia="仿宋_GB2312"/>
                <w:kern w:val="0"/>
              </w:rPr>
            </w:pPr>
            <w:r>
              <w:rPr>
                <w:rFonts w:hint="eastAsia" w:ascii="仿宋_GB2312" w:hAnsi="宋体" w:eastAsia="仿宋_GB2312" w:cs="宋体"/>
              </w:rPr>
              <w:t>项目支出：</w:t>
            </w:r>
            <w:r>
              <w:rPr>
                <w:rFonts w:hint="eastAsia" w:ascii="仿宋_GB2312" w:hAnsi="宋体" w:eastAsia="仿宋_GB2312" w:cs="宋体"/>
                <w:lang w:val="en-US" w:eastAsia="zh-CN"/>
              </w:rPr>
              <w:t>6479.65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eastAsia="仿宋_GB2312"/>
                <w:lang w:eastAsia="zh-CN"/>
              </w:rPr>
              <w:t>（一）切实保障全市经济发展用地需求</w:t>
            </w:r>
            <w:r>
              <w:rPr>
                <w:rFonts w:ascii="仿宋_GB2312" w:eastAsia="仿宋_GB2312"/>
                <w:lang w:eastAsia="zh-CN"/>
              </w:rPr>
              <w:t>;</w:t>
            </w:r>
            <w:r>
              <w:rPr>
                <w:rFonts w:hint="eastAsia" w:ascii="仿宋_GB2312" w:eastAsia="仿宋_GB2312"/>
                <w:lang w:eastAsia="zh-CN"/>
              </w:rPr>
              <w:t>（二）土地出让有序开展</w:t>
            </w:r>
            <w:r>
              <w:rPr>
                <w:rFonts w:ascii="仿宋_GB2312" w:eastAsia="仿宋_GB2312"/>
                <w:lang w:eastAsia="zh-CN"/>
              </w:rPr>
              <w:t>;</w:t>
            </w:r>
            <w:r>
              <w:rPr>
                <w:rFonts w:hint="eastAsia" w:ascii="仿宋_GB2312" w:eastAsia="仿宋_GB2312"/>
                <w:lang w:eastAsia="zh-CN"/>
              </w:rPr>
              <w:t>（三）矿山收入势头良好</w:t>
            </w:r>
            <w:r>
              <w:rPr>
                <w:rFonts w:ascii="仿宋_GB2312" w:eastAsia="仿宋_GB2312"/>
                <w:lang w:eastAsia="zh-CN"/>
              </w:rPr>
              <w:t>;</w:t>
            </w:r>
            <w:r>
              <w:rPr>
                <w:rFonts w:hint="eastAsia" w:ascii="仿宋_GB2312" w:eastAsia="仿宋_GB2312"/>
                <w:lang w:eastAsia="zh-CN"/>
              </w:rPr>
              <w:t>（四）耕地指标收入成效显著</w:t>
            </w:r>
            <w:r>
              <w:rPr>
                <w:rFonts w:ascii="仿宋_GB2312" w:eastAsia="仿宋_GB2312"/>
                <w:lang w:eastAsia="zh-CN"/>
              </w:rPr>
              <w:t>;</w:t>
            </w:r>
            <w:r>
              <w:rPr>
                <w:rFonts w:hint="eastAsia" w:ascii="仿宋_GB2312" w:eastAsia="仿宋_GB2312"/>
                <w:lang w:eastAsia="zh-CN"/>
              </w:rPr>
              <w:t>（五）争资争项超额完成</w:t>
            </w:r>
            <w:r>
              <w:rPr>
                <w:rFonts w:ascii="仿宋_GB2312" w:eastAsia="仿宋_GB2312"/>
                <w:lang w:eastAsia="zh-CN"/>
              </w:rPr>
              <w:t>;</w:t>
            </w:r>
            <w:r>
              <w:rPr>
                <w:rFonts w:hint="eastAsia" w:ascii="仿宋_GB2312" w:eastAsia="仿宋_GB2312"/>
                <w:lang w:eastAsia="zh-CN"/>
              </w:rPr>
              <w:t>（六）非税收入应收尽收</w:t>
            </w:r>
            <w:r>
              <w:rPr>
                <w:rFonts w:ascii="仿宋_GB2312" w:eastAsia="仿宋_GB2312"/>
                <w:lang w:eastAsia="zh-CN"/>
              </w:rPr>
              <w:t>;</w:t>
            </w:r>
            <w:r>
              <w:rPr>
                <w:rFonts w:hint="eastAsia" w:ascii="仿宋_GB2312" w:eastAsia="仿宋_GB2312"/>
                <w:lang w:eastAsia="zh-CN"/>
              </w:rPr>
              <w:t>（七）国有三资有效盘活</w:t>
            </w:r>
            <w:r>
              <w:rPr>
                <w:rFonts w:ascii="仿宋_GB2312" w:eastAsia="仿宋_GB2312"/>
                <w:lang w:eastAsia="zh-CN"/>
              </w:rPr>
              <w:t>;</w:t>
            </w:r>
            <w:r>
              <w:rPr>
                <w:rFonts w:hint="eastAsia" w:ascii="仿宋_GB2312" w:eastAsia="仿宋_GB2312"/>
                <w:lang w:eastAsia="zh-CN"/>
              </w:rPr>
              <w:t>（八）积极主动协费协税。</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eastAsia="仿宋_GB2312"/>
                <w:lang w:eastAsia="zh-CN"/>
              </w:rPr>
              <w:t>（一）切实保障全市经济发展用地需求</w:t>
            </w:r>
            <w:r>
              <w:rPr>
                <w:rFonts w:ascii="仿宋_GB2312" w:eastAsia="仿宋_GB2312"/>
                <w:lang w:eastAsia="zh-CN"/>
              </w:rPr>
              <w:t>;</w:t>
            </w:r>
            <w:r>
              <w:rPr>
                <w:rFonts w:hint="eastAsia" w:ascii="仿宋_GB2312" w:eastAsia="仿宋_GB2312"/>
                <w:lang w:eastAsia="zh-CN"/>
              </w:rPr>
              <w:t>（二）土地出让有序开展</w:t>
            </w:r>
            <w:r>
              <w:rPr>
                <w:rFonts w:ascii="仿宋_GB2312" w:eastAsia="仿宋_GB2312"/>
                <w:lang w:eastAsia="zh-CN"/>
              </w:rPr>
              <w:t>;</w:t>
            </w:r>
            <w:r>
              <w:rPr>
                <w:rFonts w:hint="eastAsia" w:ascii="仿宋_GB2312" w:eastAsia="仿宋_GB2312"/>
                <w:lang w:eastAsia="zh-CN"/>
              </w:rPr>
              <w:t>（三）矿山收入势头良好</w:t>
            </w:r>
            <w:r>
              <w:rPr>
                <w:rFonts w:ascii="仿宋_GB2312" w:eastAsia="仿宋_GB2312"/>
                <w:lang w:eastAsia="zh-CN"/>
              </w:rPr>
              <w:t>;</w:t>
            </w:r>
            <w:r>
              <w:rPr>
                <w:rFonts w:hint="eastAsia" w:ascii="仿宋_GB2312" w:eastAsia="仿宋_GB2312"/>
                <w:lang w:eastAsia="zh-CN"/>
              </w:rPr>
              <w:t>（四）耕地指标收入成效显著</w:t>
            </w:r>
            <w:r>
              <w:rPr>
                <w:rFonts w:ascii="仿宋_GB2312" w:eastAsia="仿宋_GB2312"/>
                <w:lang w:eastAsia="zh-CN"/>
              </w:rPr>
              <w:t>;</w:t>
            </w:r>
            <w:r>
              <w:rPr>
                <w:rFonts w:hint="eastAsia" w:ascii="仿宋_GB2312" w:eastAsia="仿宋_GB2312"/>
                <w:lang w:eastAsia="zh-CN"/>
              </w:rPr>
              <w:t>（五）争资争项超额完成</w:t>
            </w:r>
            <w:r>
              <w:rPr>
                <w:rFonts w:ascii="仿宋_GB2312" w:eastAsia="仿宋_GB2312"/>
                <w:lang w:eastAsia="zh-CN"/>
              </w:rPr>
              <w:t>;</w:t>
            </w:r>
            <w:r>
              <w:rPr>
                <w:rFonts w:hint="eastAsia" w:ascii="仿宋_GB2312" w:eastAsia="仿宋_GB2312"/>
                <w:lang w:eastAsia="zh-CN"/>
              </w:rPr>
              <w:t>（六）非税收入应收尽收</w:t>
            </w:r>
            <w:r>
              <w:rPr>
                <w:rFonts w:ascii="仿宋_GB2312" w:eastAsia="仿宋_GB2312"/>
                <w:lang w:eastAsia="zh-CN"/>
              </w:rPr>
              <w:t>;</w:t>
            </w:r>
            <w:r>
              <w:rPr>
                <w:rFonts w:hint="eastAsia" w:ascii="仿宋_GB2312" w:eastAsia="仿宋_GB2312"/>
                <w:lang w:eastAsia="zh-CN"/>
              </w:rPr>
              <w:t>（七）国有三资有效盘活</w:t>
            </w:r>
            <w:r>
              <w:rPr>
                <w:rFonts w:ascii="仿宋_GB2312" w:eastAsia="仿宋_GB2312"/>
                <w:lang w:eastAsia="zh-CN"/>
              </w:rPr>
              <w:t>;</w:t>
            </w:r>
            <w:r>
              <w:rPr>
                <w:rFonts w:hint="eastAsia" w:ascii="仿宋_GB2312" w:eastAsia="仿宋_GB2312"/>
                <w:lang w:eastAsia="zh-CN"/>
              </w:rPr>
              <w:t>（八）积极主动协费协税。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firstLineChars="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lang w:eastAsia="zh-CN"/>
              </w:rPr>
            </w:pPr>
          </w:p>
        </w:tc>
        <w:tc>
          <w:tcPr>
            <w:tcW w:w="1069" w:type="dxa"/>
            <w:vMerge w:val="restart"/>
            <w:tcBorders>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提供土地利用数据</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1.确保耕地和基本农田面积不变;2.提供土地利用数据</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基本完成</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资源得到合理利用</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1.充分利用闲置土地资源(荒地、空心房变绿;2.增加绿化面积，有灾无险</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严格按照相关规定进行</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完成时间</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202</w:t>
            </w:r>
            <w:r>
              <w:rPr>
                <w:rFonts w:hint="eastAsia" w:ascii="仿宋_GB2312" w:hAnsi="宋体" w:eastAsia="仿宋_GB2312" w:cs="仿宋_GB2312"/>
                <w:i w:val="0"/>
                <w:iCs w:val="0"/>
                <w:snapToGrid w:val="0"/>
                <w:color w:val="000000"/>
                <w:kern w:val="0"/>
                <w:sz w:val="20"/>
                <w:szCs w:val="20"/>
                <w:u w:val="none"/>
                <w:lang w:val="en-US" w:eastAsia="zh-CN" w:bidi="ar"/>
              </w:rPr>
              <w:t>2</w:t>
            </w:r>
            <w:r>
              <w:rPr>
                <w:rFonts w:hint="default" w:ascii="仿宋_GB2312" w:hAnsi="宋体" w:eastAsia="仿宋_GB2312" w:cs="仿宋_GB2312"/>
                <w:i w:val="0"/>
                <w:iCs w:val="0"/>
                <w:snapToGrid w:val="0"/>
                <w:color w:val="000000"/>
                <w:kern w:val="0"/>
                <w:sz w:val="20"/>
                <w:szCs w:val="20"/>
                <w:u w:val="none"/>
                <w:lang w:val="en-US" w:eastAsia="zh-CN" w:bidi="ar"/>
              </w:rPr>
              <w:t>年全年</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202</w:t>
            </w:r>
            <w:r>
              <w:rPr>
                <w:rFonts w:hint="eastAsia" w:ascii="仿宋_GB2312" w:hAnsi="宋体" w:eastAsia="仿宋_GB2312" w:cs="仿宋_GB2312"/>
                <w:i w:val="0"/>
                <w:iCs w:val="0"/>
                <w:snapToGrid w:val="0"/>
                <w:color w:val="000000"/>
                <w:kern w:val="0"/>
                <w:sz w:val="20"/>
                <w:szCs w:val="20"/>
                <w:u w:val="none"/>
                <w:lang w:val="en-US" w:eastAsia="zh-CN" w:bidi="ar"/>
              </w:rPr>
              <w:t>2</w:t>
            </w:r>
            <w:r>
              <w:rPr>
                <w:rFonts w:hint="default" w:ascii="仿宋_GB2312" w:hAnsi="宋体" w:eastAsia="仿宋_GB2312" w:cs="仿宋_GB2312"/>
                <w:i w:val="0"/>
                <w:iCs w:val="0"/>
                <w:snapToGrid w:val="0"/>
                <w:color w:val="000000"/>
                <w:kern w:val="0"/>
                <w:sz w:val="20"/>
                <w:szCs w:val="20"/>
                <w:u w:val="none"/>
                <w:lang w:val="en-US" w:eastAsia="zh-CN" w:bidi="ar"/>
              </w:rPr>
              <w:t>年全年</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restart"/>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促进经济发展</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1.征收土地出让金 2.经费及人员</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基本完成、按实际情况支出 规范</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群众办事简便</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很少有荒地荒山，充分发挥生态循环作用</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基本完成</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生态环境改善状况</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有所提升</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有所提升</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持续</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持续</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持续</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000000" w:sz="4" w:space="0"/>
              <w:bottom w:val="single" w:color="000000" w:sz="4" w:space="0"/>
            </w:tcBorders>
            <w:vAlign w:val="center"/>
          </w:tcPr>
          <w:p>
            <w:pPr>
              <w:spacing w:line="240" w:lineRule="auto"/>
              <w:jc w:val="left"/>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社会公众满意度</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restart"/>
            <w:tcBorders>
              <w:top w:val="single" w:color="000000" w:sz="4" w:space="0"/>
              <w:bottom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eastAsia="仿宋_GB2312"/>
                <w:kern w:val="0"/>
              </w:rPr>
            </w:pPr>
            <w:r>
              <w:rPr>
                <w:rFonts w:hint="eastAsia" w:ascii="仿宋_GB2312" w:eastAsia="仿宋_GB2312"/>
                <w:kern w:val="0"/>
                <w:lang w:val="en-US" w:eastAsia="zh-CN"/>
              </w:rPr>
              <w:t>（20分）</w:t>
            </w: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经济成本指标</w:t>
            </w:r>
          </w:p>
        </w:tc>
        <w:tc>
          <w:tcPr>
            <w:tcW w:w="1249" w:type="dxa"/>
            <w:tcBorders>
              <w:bottom w:val="single" w:color="000000" w:sz="4" w:space="0"/>
            </w:tcBorders>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费用及成本有效控制</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1.控制人工成本 2.控制材料成本</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厉行节约控制人员经费、公用经费和项目经费支出</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社会成本指标</w:t>
            </w:r>
          </w:p>
        </w:tc>
        <w:tc>
          <w:tcPr>
            <w:tcW w:w="1249" w:type="dxa"/>
            <w:tcBorders>
              <w:top w:val="single" w:color="000000" w:sz="4" w:space="0"/>
            </w:tcBorders>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对社会发展可能造成的负面影响</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无</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无</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firstLineChars="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生态环境成本指标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对自然生态环境造成的负面影响</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无</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无</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988" w:type="dxa"/>
            <w:gridSpan w:val="6"/>
            <w:vAlign w:val="center"/>
          </w:tcPr>
          <w:p>
            <w:pPr>
              <w:spacing w:line="240" w:lineRule="auto"/>
              <w:ind w:firstLine="420" w:firstLineChars="0"/>
              <w:jc w:val="center"/>
              <w:rPr>
                <w:rFonts w:ascii="仿宋_GB2312" w:eastAsia="仿宋_GB2312"/>
                <w:kern w:val="0"/>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jc w:val="right"/>
              <w:rPr>
                <w:rFonts w:ascii="仿宋_GB2312" w:eastAsia="仿宋_GB2312"/>
                <w:kern w:val="0"/>
              </w:rPr>
            </w:pPr>
            <w:r>
              <w:rPr>
                <w:rFonts w:hint="eastAsia" w:ascii="仿宋_GB2312" w:eastAsia="仿宋_GB2312"/>
                <w:kern w:val="0"/>
                <w:lang w:val="en-US" w:eastAsia="zh-CN"/>
              </w:rPr>
              <w:t>99.8</w:t>
            </w:r>
          </w:p>
        </w:tc>
        <w:tc>
          <w:tcPr>
            <w:tcW w:w="1423" w:type="dxa"/>
            <w:vAlign w:val="center"/>
          </w:tcPr>
          <w:p>
            <w:pPr>
              <w:spacing w:line="240" w:lineRule="auto"/>
              <w:ind w:firstLine="420" w:firstLineChars="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kern w:val="0"/>
          <w:lang w:val="en-US" w:eastAsia="zh-CN"/>
        </w:rPr>
        <w:t>2024.10.11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13611166895</w:t>
      </w:r>
      <w:r>
        <w:rPr>
          <w:rFonts w:ascii="仿宋_GB2312" w:hAnsi="宋体" w:eastAsia="仿宋_GB2312" w:cs="宋体"/>
          <w:kern w:val="0"/>
          <w:lang w:eastAsia="zh-CN"/>
        </w:rPr>
        <w:t xml:space="preserve">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 w:hAnsi="仿宋" w:eastAsia="仿宋" w:cs="仿宋"/>
                <w:color w:val="000000"/>
                <w:kern w:val="0"/>
                <w:sz w:val="24"/>
                <w:szCs w:val="24"/>
                <w:lang w:val="en-US" w:eastAsia="zh-CN" w:bidi="ar-SA"/>
              </w:rPr>
              <w:t>耕地进出平衡技术服务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资金来源</w:t>
            </w: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809" w:type="dxa"/>
            <w:vAlign w:val="center"/>
          </w:tcPr>
          <w:p>
            <w:pPr>
              <w:jc w:val="center"/>
              <w:rPr>
                <w:rFonts w:ascii="仿宋_GB2312" w:hAnsi="宋体" w:eastAsia="仿宋_GB2312" w:cs="宋体"/>
                <w:kern w:val="0"/>
                <w:lang w:eastAsia="zh-CN"/>
              </w:rPr>
            </w:pPr>
          </w:p>
        </w:tc>
        <w:tc>
          <w:tcPr>
            <w:tcW w:w="849" w:type="dxa"/>
            <w:vAlign w:val="center"/>
          </w:tcPr>
          <w:p>
            <w:pPr>
              <w:jc w:val="center"/>
              <w:rPr>
                <w:rFonts w:hint="default" w:ascii="仿宋_GB2312" w:hAnsi="宋体" w:eastAsia="仿宋_GB2312" w:cs="宋体"/>
                <w:kern w:val="0"/>
                <w:lang w:val="en-US" w:eastAsia="zh-CN"/>
              </w:rPr>
            </w:pPr>
          </w:p>
        </w:tc>
        <w:tc>
          <w:tcPr>
            <w:tcW w:w="1383" w:type="dxa"/>
            <w:vAlign w:val="center"/>
          </w:tcPr>
          <w:p>
            <w:pPr>
              <w:jc w:val="center"/>
              <w:rPr>
                <w:rFonts w:hint="default"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pPr>
              <w:jc w:val="center"/>
              <w:rPr>
                <w:rFonts w:ascii="仿宋_GB2312" w:hAnsi="宋体" w:eastAsia="仿宋_GB2312" w:cs="宋体"/>
                <w:kern w:val="0"/>
                <w:lang w:eastAsia="zh-CN"/>
              </w:rPr>
            </w:pPr>
          </w:p>
        </w:tc>
        <w:tc>
          <w:tcPr>
            <w:tcW w:w="849" w:type="dxa"/>
            <w:vAlign w:val="center"/>
          </w:tcPr>
          <w:p>
            <w:pPr>
              <w:jc w:val="center"/>
              <w:rPr>
                <w:rFonts w:ascii="仿宋_GB2312" w:hAnsi="宋体" w:eastAsia="仿宋_GB2312" w:cs="宋体"/>
                <w:kern w:val="0"/>
                <w:lang w:eastAsia="zh-CN"/>
              </w:rPr>
            </w:pPr>
          </w:p>
        </w:tc>
        <w:tc>
          <w:tcPr>
            <w:tcW w:w="1383" w:type="dxa"/>
            <w:vAlign w:val="center"/>
          </w:tcPr>
          <w:p>
            <w:pPr>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pPr>
              <w:jc w:val="center"/>
              <w:rPr>
                <w:rFonts w:ascii="仿宋_GB2312" w:hAnsi="宋体" w:eastAsia="仿宋_GB2312" w:cs="宋体"/>
                <w:kern w:val="0"/>
                <w:lang w:eastAsia="zh-CN"/>
              </w:rPr>
            </w:pPr>
          </w:p>
        </w:tc>
        <w:tc>
          <w:tcPr>
            <w:tcW w:w="849" w:type="dxa"/>
            <w:vAlign w:val="center"/>
          </w:tcPr>
          <w:p>
            <w:pPr>
              <w:jc w:val="center"/>
              <w:rPr>
                <w:rFonts w:ascii="仿宋_GB2312" w:hAnsi="宋体" w:eastAsia="仿宋_GB2312" w:cs="宋体"/>
                <w:kern w:val="0"/>
                <w:lang w:eastAsia="zh-CN"/>
              </w:rPr>
            </w:pPr>
          </w:p>
        </w:tc>
        <w:tc>
          <w:tcPr>
            <w:tcW w:w="1383" w:type="dxa"/>
            <w:vAlign w:val="center"/>
          </w:tcPr>
          <w:p>
            <w:pPr>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099" w:type="dxa"/>
            <w:vAlign w:val="center"/>
          </w:tcPr>
          <w:p>
            <w:pPr>
              <w:keepNext w:val="0"/>
              <w:keepLines w:val="0"/>
              <w:widowControl/>
              <w:suppressLineNumbers w:val="0"/>
              <w:jc w:val="center"/>
              <w:textAlignment w:val="center"/>
              <w:rPr>
                <w:rFonts w:hint="eastAsia"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809" w:type="dxa"/>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80.00%</w:t>
            </w:r>
          </w:p>
        </w:tc>
        <w:tc>
          <w:tcPr>
            <w:tcW w:w="1383" w:type="dxa"/>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编制完成年度耕地进出平衡总体方案</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编制完成年度耕地进出平衡总体方案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完成数量</w:t>
            </w:r>
          </w:p>
        </w:tc>
        <w:tc>
          <w:tcPr>
            <w:tcW w:w="1099" w:type="dxa"/>
            <w:tcBorders>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转出耕地10.49公顷</w:t>
            </w:r>
          </w:p>
        </w:tc>
        <w:tc>
          <w:tcPr>
            <w:tcW w:w="1099" w:type="dxa"/>
            <w:tcBorders>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转出耕地10.49公顷</w:t>
            </w:r>
          </w:p>
        </w:tc>
        <w:tc>
          <w:tcPr>
            <w:tcW w:w="809" w:type="dxa"/>
            <w:tcBorders>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完成的质量情况</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能否通过审查</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通过审查</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完成时间</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2023年全年</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2023年全年</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促进经济发展</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有所提升</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促进社会和谐发展</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粮食安全保障</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有保障</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生态环境改善状况</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有所改善</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3" w:type="dxa"/>
            <w:vAlign w:val="center"/>
          </w:tcPr>
          <w:p>
            <w:pPr>
              <w:keepNext w:val="0"/>
              <w:keepLines w:val="0"/>
              <w:widowControl/>
              <w:suppressLineNumbers w:val="0"/>
              <w:jc w:val="left"/>
              <w:textAlignment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可持续发展</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提高各级耕地保护意识</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持续</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受益对象满意度</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≥95%</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keepNext w:val="0"/>
              <w:keepLines w:val="0"/>
              <w:widowControl/>
              <w:suppressLineNumbers w:val="0"/>
              <w:jc w:val="left"/>
              <w:textAlignment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将成本控制在预算范围内</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将成本控制在预算范围内</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将成本控制在预算范围内</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c>
          <w:tcPr>
            <w:tcW w:w="1099"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c>
          <w:tcPr>
            <w:tcW w:w="809"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tbl>
      <w:tblPr>
        <w:tblStyle w:val="5"/>
        <w:tblW w:w="9560"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9"/>
        <w:gridCol w:w="426"/>
        <w:gridCol w:w="1065"/>
        <w:gridCol w:w="1000"/>
        <w:gridCol w:w="1810"/>
        <w:gridCol w:w="1530"/>
        <w:gridCol w:w="830"/>
        <w:gridCol w:w="96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679"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项目支出名称</w:t>
            </w:r>
          </w:p>
        </w:tc>
        <w:tc>
          <w:tcPr>
            <w:tcW w:w="8881" w:type="dxa"/>
            <w:gridSpan w:val="8"/>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国土空间总体规划实施评估专题研究编制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79"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8881" w:type="dxa"/>
            <w:gridSpan w:val="8"/>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4" w:hRule="atLeast"/>
        </w:trPr>
        <w:tc>
          <w:tcPr>
            <w:tcW w:w="679"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主管部门</w:t>
            </w:r>
          </w:p>
        </w:tc>
        <w:tc>
          <w:tcPr>
            <w:tcW w:w="4301" w:type="dxa"/>
            <w:gridSpan w:val="4"/>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汨罗市自然资源局</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实施单位</w:t>
            </w:r>
          </w:p>
        </w:tc>
        <w:tc>
          <w:tcPr>
            <w:tcW w:w="3050" w:type="dxa"/>
            <w:gridSpan w:val="3"/>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汨罗市自然资源局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79"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项目资金(万元)</w:t>
            </w:r>
          </w:p>
        </w:tc>
        <w:tc>
          <w:tcPr>
            <w:tcW w:w="1491" w:type="dxa"/>
            <w:gridSpan w:val="2"/>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资金来源</w:t>
            </w:r>
          </w:p>
        </w:tc>
        <w:tc>
          <w:tcPr>
            <w:tcW w:w="100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年初预算数</w:t>
            </w:r>
          </w:p>
        </w:tc>
        <w:tc>
          <w:tcPr>
            <w:tcW w:w="181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全年预算数</w:t>
            </w:r>
          </w:p>
        </w:tc>
        <w:tc>
          <w:tcPr>
            <w:tcW w:w="153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全年执行数</w:t>
            </w:r>
          </w:p>
        </w:tc>
        <w:tc>
          <w:tcPr>
            <w:tcW w:w="83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分值</w:t>
            </w:r>
          </w:p>
        </w:tc>
        <w:tc>
          <w:tcPr>
            <w:tcW w:w="96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执行率</w:t>
            </w:r>
          </w:p>
        </w:tc>
        <w:tc>
          <w:tcPr>
            <w:tcW w:w="126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0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81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53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83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96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26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0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81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53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83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96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26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其中:当年财政拨款</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2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上年结转金额</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2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其它资金</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2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年度资金总额</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100.00%</w:t>
            </w:r>
          </w:p>
        </w:tc>
        <w:tc>
          <w:tcPr>
            <w:tcW w:w="12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679"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年度总体目标</w:t>
            </w:r>
          </w:p>
        </w:tc>
        <w:tc>
          <w:tcPr>
            <w:tcW w:w="4301" w:type="dxa"/>
            <w:gridSpan w:val="4"/>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预期目标</w:t>
            </w:r>
          </w:p>
        </w:tc>
        <w:tc>
          <w:tcPr>
            <w:tcW w:w="4580" w:type="dxa"/>
            <w:gridSpan w:val="4"/>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实际完成情况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79"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4301" w:type="dxa"/>
            <w:gridSpan w:val="4"/>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通过对汨罗市进行充分调研，收集有关项目的详实资料，开展汨罗市国土空间规划实施评估、国土空间开发保护现状评估、城镇开发边界划定和生态保护红线评估优化调整等4项专题研究编制工作。</w:t>
            </w:r>
          </w:p>
        </w:tc>
        <w:tc>
          <w:tcPr>
            <w:tcW w:w="4580" w:type="dxa"/>
            <w:gridSpan w:val="4"/>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0"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301" w:type="dxa"/>
            <w:gridSpan w:val="4"/>
            <w:vMerge w:val="continue"/>
            <w:tcBorders>
              <w:tl2br w:val="nil"/>
              <w:tr2bl w:val="nil"/>
            </w:tcBorders>
            <w:shd w:val="clear" w:color="auto" w:fill="auto"/>
            <w:vAlign w:val="center"/>
          </w:tcPr>
          <w:p>
            <w:pPr>
              <w:jc w:val="left"/>
              <w:rPr>
                <w:rFonts w:hint="eastAsia" w:ascii="微软雅黑" w:hAnsi="微软雅黑" w:eastAsia="微软雅黑" w:cs="微软雅黑"/>
                <w:i w:val="0"/>
                <w:iCs w:val="0"/>
                <w:color w:val="000000"/>
                <w:sz w:val="20"/>
                <w:szCs w:val="20"/>
                <w:u w:val="none"/>
              </w:rPr>
            </w:pPr>
          </w:p>
        </w:tc>
        <w:tc>
          <w:tcPr>
            <w:tcW w:w="4580" w:type="dxa"/>
            <w:gridSpan w:val="4"/>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1"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301" w:type="dxa"/>
            <w:gridSpan w:val="4"/>
            <w:vMerge w:val="continue"/>
            <w:tcBorders>
              <w:tl2br w:val="nil"/>
              <w:tr2bl w:val="nil"/>
            </w:tcBorders>
            <w:shd w:val="clear" w:color="auto" w:fill="auto"/>
            <w:vAlign w:val="center"/>
          </w:tcPr>
          <w:p>
            <w:pPr>
              <w:jc w:val="left"/>
              <w:rPr>
                <w:rFonts w:hint="eastAsia" w:ascii="微软雅黑" w:hAnsi="微软雅黑" w:eastAsia="微软雅黑" w:cs="微软雅黑"/>
                <w:i w:val="0"/>
                <w:iCs w:val="0"/>
                <w:color w:val="000000"/>
                <w:sz w:val="20"/>
                <w:szCs w:val="20"/>
                <w:u w:val="none"/>
              </w:rPr>
            </w:pPr>
          </w:p>
        </w:tc>
        <w:tc>
          <w:tcPr>
            <w:tcW w:w="4580" w:type="dxa"/>
            <w:gridSpan w:val="4"/>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trPr>
        <w:tc>
          <w:tcPr>
            <w:tcW w:w="679"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绩效指标</w:t>
            </w:r>
          </w:p>
        </w:tc>
        <w:tc>
          <w:tcPr>
            <w:tcW w:w="426"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一级指标</w:t>
            </w:r>
          </w:p>
        </w:tc>
        <w:tc>
          <w:tcPr>
            <w:tcW w:w="1065"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二级指标</w:t>
            </w:r>
          </w:p>
        </w:tc>
        <w:tc>
          <w:tcPr>
            <w:tcW w:w="100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三级指标</w:t>
            </w:r>
          </w:p>
        </w:tc>
        <w:tc>
          <w:tcPr>
            <w:tcW w:w="181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年度指标值</w:t>
            </w:r>
          </w:p>
        </w:tc>
        <w:tc>
          <w:tcPr>
            <w:tcW w:w="153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实际完成值</w:t>
            </w:r>
          </w:p>
        </w:tc>
        <w:tc>
          <w:tcPr>
            <w:tcW w:w="83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分值</w:t>
            </w:r>
          </w:p>
        </w:tc>
        <w:tc>
          <w:tcPr>
            <w:tcW w:w="96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得分</w:t>
            </w:r>
          </w:p>
        </w:tc>
        <w:tc>
          <w:tcPr>
            <w:tcW w:w="126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65"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81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53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3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6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65"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81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53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3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6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产出指标</w:t>
            </w: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数量指标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完成数量</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通过汨罗市自然资源局专题评审</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通过汨罗市自然资源局专题评审</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0"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质量指标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完成的质量情况</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为汨罗市总体规划编制奠定坚实基础、为科学编制国土空间规划提供决策依据、合理划定汨罗市城镇开发边界、提出汨罗市生态保护红线优化调整方案</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通过汨罗市自然资源局专题评审</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时效指标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完成时间</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2023年全年</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2023年全年</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效益指标</w:t>
            </w: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经济效益指标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促进经济发展</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促进经济发展</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有所提升</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社会效益指标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促进社会和谐发展</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保障生态良好</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良好</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生态效益指标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生态环境改善状况</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生态环境改善状况</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有所改善</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可持续影响指标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可持续发展</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持续</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持续</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满意度指标</w:t>
            </w: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服务对象满意度指标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受益对象满意度</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受益对象满意度大于95%；社会公众满意度大于95%</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≥95%</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成本指标</w:t>
            </w: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经济成本指标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将成本控制在预算范围内</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将成本控制在预算批复金额80万元以内；降低统计成本</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完成</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0"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社会成本指标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对社会发展可能造成的负面影响</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生态环境成本指标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对自然生态环境造成的负面影响</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6510" w:type="dxa"/>
            <w:gridSpan w:val="6"/>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总分</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Pr>
        <w:spacing w:before="52" w:line="219" w:lineRule="auto"/>
        <w:jc w:val="left"/>
        <w:rPr>
          <w:rFonts w:ascii="仿宋_GB2312" w:hAnsi="宋体" w:eastAsia="仿宋_GB2312" w:cs="宋体"/>
          <w:kern w:val="0"/>
          <w:lang w:eastAsia="zh-CN"/>
        </w:rPr>
      </w:pPr>
    </w:p>
    <w:p>
      <w:pPr>
        <w:spacing w:before="52" w:line="219" w:lineRule="auto"/>
        <w:jc w:val="left"/>
        <w:rPr>
          <w:rFonts w:ascii="仿宋_GB2312" w:hAnsi="宋体" w:eastAsia="仿宋_GB2312" w:cs="宋体"/>
          <w:kern w:val="0"/>
          <w:lang w:eastAsia="zh-CN"/>
        </w:rPr>
      </w:pPr>
    </w:p>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填表人：周利</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2024.10.11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13611166895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年度汨罗市自然资源局系统部门整体支出绩效自评报告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汨罗市自然资源局 (盖章)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11</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2023年度</w:t>
      </w:r>
      <w:r>
        <w:rPr>
          <w:rFonts w:hint="eastAsia" w:ascii="黑体" w:hAnsi="黑体" w:eastAsia="黑体" w:cs="黑体"/>
          <w:spacing w:val="16"/>
          <w:sz w:val="40"/>
          <w:szCs w:val="40"/>
          <w:lang w:eastAsia="zh-CN"/>
        </w:rPr>
        <w:t>汨罗市自然资源局系统</w:t>
      </w:r>
      <w:r>
        <w:rPr>
          <w:rFonts w:ascii="黑体" w:hAnsi="黑体" w:eastAsia="黑体" w:cs="黑体"/>
          <w:spacing w:val="16"/>
          <w:sz w:val="40"/>
          <w:szCs w:val="40"/>
        </w:rPr>
        <w:t>部门整体</w:t>
      </w:r>
    </w:p>
    <w:p>
      <w:pPr>
        <w:spacing w:before="130" w:line="221" w:lineRule="auto"/>
        <w:jc w:val="center"/>
        <w:rPr>
          <w:rFonts w:hint="eastAsia" w:ascii="黑体" w:hAnsi="黑体" w:eastAsia="黑体" w:cs="黑体"/>
          <w:spacing w:val="16"/>
          <w:sz w:val="40"/>
          <w:szCs w:val="40"/>
          <w:lang w:eastAsia="zh-CN"/>
        </w:rPr>
      </w:pPr>
      <w:r>
        <w:rPr>
          <w:rFonts w:ascii="黑体" w:hAnsi="黑体" w:eastAsia="黑体" w:cs="黑体"/>
          <w:spacing w:val="16"/>
          <w:sz w:val="40"/>
          <w:szCs w:val="40"/>
        </w:rPr>
        <w:t>支出</w:t>
      </w:r>
      <w:r>
        <w:rPr>
          <w:rFonts w:hint="eastAsia" w:ascii="黑体" w:hAnsi="黑体" w:eastAsia="黑体" w:cs="黑体"/>
          <w:spacing w:val="16"/>
          <w:sz w:val="40"/>
          <w:szCs w:val="40"/>
          <w:lang w:eastAsia="zh-CN"/>
        </w:rPr>
        <w:t>绩效自评报告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按照财政预算绩效管理工作的总体要求，2023年汨罗市不动产登记中心，编制人数208人，在职人数208人。基本支出2688.73万元，另外项目支出2038.03万元，全部实行整体支出绩效管理。</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9"/>
        <w:spacing w:line="600" w:lineRule="exact"/>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2023年度</w:t>
      </w:r>
      <w:r>
        <w:rPr>
          <w:rFonts w:hint="eastAsia" w:ascii="Times New Roman" w:hAnsi="Times New Roman" w:eastAsia="仿宋_GB2312"/>
          <w:kern w:val="0"/>
          <w:sz w:val="32"/>
          <w:szCs w:val="32"/>
          <w:lang w:eastAsia="zh-CN"/>
        </w:rPr>
        <w:t>基本支出主要用于工资福利支出、一般商品服务支出。其中工资福利支出为</w:t>
      </w:r>
      <w:r>
        <w:rPr>
          <w:rFonts w:hint="eastAsia" w:ascii="Times New Roman" w:hAnsi="Times New Roman" w:eastAsia="仿宋_GB2312"/>
          <w:kern w:val="0"/>
          <w:sz w:val="32"/>
          <w:szCs w:val="32"/>
          <w:lang w:val="en-US" w:eastAsia="zh-CN"/>
        </w:rPr>
        <w:t>1986.31万元，一般商品服务支出为702.43万元。</w:t>
      </w:r>
    </w:p>
    <w:p>
      <w:pPr>
        <w:pStyle w:val="9"/>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pPr>
        <w:pStyle w:val="9"/>
        <w:numPr>
          <w:ilvl w:val="0"/>
          <w:numId w:val="0"/>
        </w:numPr>
        <w:spacing w:line="600" w:lineRule="exact"/>
        <w:jc w:val="both"/>
        <w:rPr>
          <w:rFonts w:hint="eastAsia" w:ascii="方正黑体_GBK" w:hAnsi="仿宋" w:eastAsia="方正黑体_GBK" w:cs="仿宋"/>
          <w:snapToGrid w:val="0"/>
          <w:color w:val="000000"/>
          <w:sz w:val="32"/>
          <w:szCs w:val="32"/>
          <w:lang w:val="en-US" w:eastAsia="zh-CN" w:bidi="ar-SA"/>
        </w:rPr>
      </w:pPr>
      <w:r>
        <w:rPr>
          <w:rFonts w:hint="eastAsia" w:ascii="Times New Roman" w:hAnsi="Times New Roman" w:eastAsia="仿宋_GB2312"/>
          <w:kern w:val="0"/>
          <w:sz w:val="32"/>
          <w:szCs w:val="32"/>
          <w:lang w:val="en-US" w:eastAsia="zh-CN"/>
        </w:rPr>
        <w:t xml:space="preserve">    2023年度项目支出2038.03万元，为了更好的保障自然资源得到合理利用，促进生态平衡，促进可持续发展，进行了村庄规划及空间规划等编制工作、土地及国土变更调查、自然资源确权和权籍调查等项目。通过项目的执行对汨罗的自然资源进行摸底、规划，促进各项自然资源有序的开发，保护生态平衡。</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numPr>
          <w:ilvl w:val="0"/>
          <w:numId w:val="0"/>
        </w:numPr>
        <w:spacing w:line="600" w:lineRule="exact"/>
        <w:ind w:left="640" w:leftChars="0"/>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2023年度政府性基金预算支出为2038.03万元，用于项目支出。</w:t>
      </w:r>
    </w:p>
    <w:p>
      <w:pPr>
        <w:numPr>
          <w:ilvl w:val="0"/>
          <w:numId w:val="0"/>
        </w:numPr>
        <w:spacing w:line="600" w:lineRule="exact"/>
        <w:ind w:left="640" w:leftChars="0"/>
        <w:jc w:val="both"/>
        <w:rPr>
          <w:rFonts w:hint="eastAsia" w:ascii="方正黑体_GBK" w:eastAsia="方正黑体_GBK"/>
          <w:kern w:val="0"/>
          <w:sz w:val="32"/>
          <w:szCs w:val="32"/>
          <w:lang w:eastAsia="zh-CN"/>
        </w:rPr>
      </w:pPr>
    </w:p>
    <w:p>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highlight w:val="none"/>
          <w:lang w:val="en-US" w:eastAsia="zh-CN" w:bidi="ar-SA"/>
        </w:rPr>
        <w:t>2023年度社会保险基金预算支出0万元。</w:t>
      </w:r>
    </w:p>
    <w:p>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highlight w:val="none"/>
          <w:lang w:val="en-US" w:eastAsia="zh-CN" w:bidi="ar-SA"/>
        </w:rPr>
        <w:t>2023年度社会保险基金预算支出0万元。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年，我单位积极履职，强化管理，较好地完成了年度工作目标。通过加强预算收支管理，不断建立健全内部管理制度，梳理内部管理流程，部门整体支出管理水平得到提升。</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numPr>
          <w:ilvl w:val="0"/>
          <w:numId w:val="4"/>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项目预算有待细化。预算编制不够明确和细化尤其是项目预算，预算的编制和实际项目的执行出现偏差，合理性有待提高，预算执行力度有待加强。</w:t>
      </w:r>
    </w:p>
    <w:p>
      <w:pPr>
        <w:numPr>
          <w:ilvl w:val="0"/>
          <w:numId w:val="4"/>
        </w:num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公用经费的控制有一定难度，且公用经费预算编制和实际支出科目金额出现偏差。</w:t>
      </w:r>
    </w:p>
    <w:p>
      <w:pPr>
        <w:numPr>
          <w:ilvl w:val="0"/>
          <w:numId w:val="5"/>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numPr>
          <w:ilvl w:val="0"/>
          <w:numId w:val="6"/>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针对项目预算问题，预算下达项目严格按照预算要求开展项目，进一步加强单位内部机构的预算管理意识，严格按照预算编制的相关制度和要求进行预算编制，保证预算的科学性、可控性及可执行性。</w:t>
      </w:r>
    </w:p>
    <w:p>
      <w:pPr>
        <w:numPr>
          <w:ilvl w:val="0"/>
          <w:numId w:val="6"/>
        </w:num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numPr>
          <w:ilvl w:val="0"/>
          <w:numId w:val="6"/>
        </w:numPr>
        <w:spacing w:line="600" w:lineRule="exact"/>
        <w:ind w:firstLine="640" w:firstLineChars="200"/>
        <w:jc w:val="both"/>
        <w:rPr>
          <w:rFonts w:hint="eastAsia" w:ascii="方正黑体_GBK" w:eastAsia="方正黑体_GBK"/>
          <w:kern w:val="0"/>
          <w:sz w:val="32"/>
          <w:szCs w:val="32"/>
          <w:lang w:eastAsia="zh-CN"/>
        </w:rPr>
      </w:pPr>
      <w:r>
        <w:rPr>
          <w:rFonts w:hint="default" w:eastAsia="仿宋_GB2312"/>
          <w:kern w:val="0"/>
          <w:sz w:val="32"/>
          <w:szCs w:val="32"/>
          <w:lang w:val="en-US" w:eastAsia="zh-CN"/>
        </w:rPr>
        <w:t>对相关人员加强培训，特别是针对《预算法》《行政事业单位会计制度》等学习培训，规范部门预算收支核算，切实提高部门预算收支管理水平。</w:t>
      </w:r>
    </w:p>
    <w:p>
      <w:pPr>
        <w:numPr>
          <w:ilvl w:val="0"/>
          <w:numId w:val="5"/>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根据预算绩效管理要求，我单位认真贯彻国家和省、市关于预算绩效管理工作的有关要求，确定部门预算项目和预算额度，清晰描述预算项目开支范围和内容，确定预算项目的绩效目标、绩效指标和评价标准，为预算绩效控制、绩效分析、绩效评价打下好的基础。</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line="578" w:lineRule="exact"/>
        <w:jc w:val="center"/>
        <w:rPr>
          <w:rFonts w:ascii="黑体" w:hAnsi="黑体" w:eastAsia="黑体" w:cs="黑体"/>
          <w:sz w:val="42"/>
          <w:szCs w:val="42"/>
          <w:lang w:eastAsia="zh-CN"/>
        </w:rPr>
      </w:pPr>
      <w:r>
        <w:rPr>
          <w:rFonts w:hint="eastAsia" w:ascii="黑体" w:hAnsi="黑体" w:eastAsia="黑体" w:cs="黑体"/>
          <w:spacing w:val="15"/>
          <w:position w:val="10"/>
          <w:sz w:val="42"/>
          <w:szCs w:val="42"/>
          <w:lang w:eastAsia="zh-CN"/>
        </w:rPr>
        <w:t>2023年度</w:t>
      </w:r>
      <w:r>
        <w:rPr>
          <w:rFonts w:hint="eastAsia" w:ascii="黑体" w:hAnsi="黑体" w:eastAsia="黑体" w:cs="黑体"/>
          <w:position w:val="10"/>
          <w:sz w:val="42"/>
          <w:szCs w:val="42"/>
          <w:lang w:eastAsia="zh-CN"/>
        </w:rPr>
        <w:t>汨罗市耕地进出平衡</w:t>
      </w:r>
      <w:r>
        <w:rPr>
          <w:rFonts w:hint="eastAsia" w:ascii="黑体" w:hAnsi="黑体" w:eastAsia="黑体" w:cs="黑体"/>
          <w:spacing w:val="15"/>
          <w:position w:val="10"/>
          <w:sz w:val="42"/>
          <w:szCs w:val="42"/>
          <w:lang w:eastAsia="zh-CN"/>
        </w:rPr>
        <w:t>项目支出</w:t>
      </w:r>
    </w:p>
    <w:p>
      <w:pPr>
        <w:spacing w:line="220" w:lineRule="auto"/>
        <w:jc w:val="center"/>
        <w:rPr>
          <w:rFonts w:ascii="黑体" w:hAnsi="黑体" w:eastAsia="黑体" w:cs="黑体"/>
          <w:sz w:val="42"/>
          <w:szCs w:val="42"/>
          <w:lang w:eastAsia="zh-CN"/>
        </w:rPr>
      </w:pPr>
      <w:r>
        <w:rPr>
          <w:rFonts w:hint="eastAsia" w:ascii="黑体" w:hAnsi="黑体" w:eastAsia="黑体" w:cs="黑体"/>
          <w:spacing w:val="10"/>
          <w:sz w:val="42"/>
          <w:szCs w:val="42"/>
          <w:lang w:eastAsia="zh-CN"/>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lang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lang w:eastAsia="zh-CN"/>
        </w:rPr>
        <w:t>汨罗市自然资源局</w:t>
      </w:r>
      <w:r>
        <w:rPr>
          <w:spacing w:val="-22"/>
          <w:sz w:val="27"/>
          <w:szCs w:val="27"/>
          <w:u w:val="single"/>
          <w:lang w:eastAsia="zh-CN"/>
        </w:rPr>
        <w:t>(盖章)</w:t>
      </w:r>
    </w:p>
    <w:p>
      <w:pPr>
        <w:pStyle w:val="2"/>
        <w:spacing w:before="89" w:line="221" w:lineRule="auto"/>
        <w:ind w:firstLine="1620" w:firstLineChars="600"/>
        <w:rPr>
          <w:sz w:val="27"/>
          <w:szCs w:val="27"/>
        </w:rPr>
      </w:pP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11</w:t>
      </w:r>
      <w:r>
        <w:rPr>
          <w:spacing w:val="12"/>
          <w:position w:val="26"/>
          <w:sz w:val="27"/>
          <w:szCs w:val="27"/>
        </w:rPr>
        <w:t xml:space="preserve"> </w:t>
      </w:r>
      <w:r>
        <w:rPr>
          <w:spacing w:val="-13"/>
          <w:position w:val="26"/>
          <w:sz w:val="27"/>
          <w:szCs w:val="27"/>
        </w:rPr>
        <w:t>日</w:t>
      </w:r>
    </w:p>
    <w:p>
      <w:pPr>
        <w:pStyle w:val="2"/>
        <w:spacing w:before="1" w:line="223" w:lineRule="auto"/>
        <w:ind w:left="3560" w:firstLine="762" w:firstLineChars="30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ascii="黑体" w:hAnsi="黑体" w:eastAsia="黑体" w:cs="黑体"/>
          <w:sz w:val="31"/>
          <w:szCs w:val="31"/>
        </w:rPr>
      </w:pPr>
      <w:r>
        <w:rPr>
          <w:rFonts w:ascii="黑体" w:hAnsi="黑体" w:eastAsia="黑体" w:cs="黑体"/>
          <w:b/>
          <w:bCs/>
          <w:spacing w:val="-15"/>
          <w:sz w:val="31"/>
          <w:szCs w:val="31"/>
        </w:rPr>
        <w:t>一、项目支出基本情况</w:t>
      </w:r>
    </w:p>
    <w:p>
      <w:pPr>
        <w:numPr>
          <w:ilvl w:val="0"/>
          <w:numId w:val="7"/>
        </w:numPr>
        <w:spacing w:line="560" w:lineRule="exact"/>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项目支出概况</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2020年以来，党中央、国务院连续作出了坚决制止耕地“非农化”、防止耕地“非粮化”的决策部署。2021年9月新施行的《土地管理法实施条例》更是首次在法规层面对耕地转为其他农用地作出规定，明确“国家对耕地实行特殊保护，严守耕地保护红线，严格控制耕地转为林地、草地、园地等其他农用地”，进一步拓展了土地用途管制的重点和内容。2021年11月，《自然资源部、农业农村部、国家林业和草原局关于严格耕地用途管制有关问题的通知》首次提出耕地“进出平衡”的概念，要求对一般耕地转为林地、草地、园地的，要实行耕地“进出平衡”，并明确要求县级人民政府应组织编制年度耕地“进出平衡”总体方案，明确耕地转为林地、草地、园地等其他农用地及农业设施建设用地的规模、布局、时序和年度内落实“进出平衡”的安排，并组织实施。</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为满足耕地保护的要求，组织编制了汨罗市2023年度耕地进出平衡总体方案，并选定技术单位。</w:t>
      </w:r>
    </w:p>
    <w:p>
      <w:pPr>
        <w:numPr>
          <w:ilvl w:val="0"/>
          <w:numId w:val="7"/>
        </w:numPr>
        <w:spacing w:line="560" w:lineRule="exact"/>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建立了相关业务专项财务管理制度，加强资金管理，对项目资金使用情况，实行跟踪监控。一是实行专款专用。二是健全财务机制。建立专项资金管理制度、领导责任制、会计制度和出纳制度等。制定了专项资金使用管理暂行办法，从资金取得-使用管理-用后监管都进行了规定，加强了专项资金使用过程的控制和追踪问效。会计科目设置规范，账务处理正确，入账依据充分，各种审批手续完备。三是执行预决算管理。严格按预算管理要求使用资金，严格按进度和合同拨付资金，严格执行政府采购制度；四是严格审批程序。按照“先报再审后用”的原则，由实施方提出申请，相关单位签署意见确认资金额度，经财务股初审后，报局分管领导审批。五是全程接受财政等部门的监管。严格执行国库集中支付制度，严防截留、挪用资金，打造相关业务专项资金在阳光下运行。</w:t>
      </w:r>
    </w:p>
    <w:p>
      <w:pPr>
        <w:pStyle w:val="2"/>
        <w:numPr>
          <w:ilvl w:val="0"/>
          <w:numId w:val="7"/>
        </w:numPr>
        <w:spacing w:line="56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项目支出绩效目标完成程度</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编制完成汨罗市2023年度耕地进出平衡总体方案，并通过主管单位审查。</w:t>
      </w:r>
    </w:p>
    <w:p>
      <w:pPr>
        <w:numPr>
          <w:ilvl w:val="0"/>
          <w:numId w:val="8"/>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spacing w:line="560" w:lineRule="exact"/>
        <w:ind w:firstLine="640" w:firstLineChars="200"/>
        <w:outlineLvl w:val="0"/>
        <w:rPr>
          <w:rFonts w:ascii="黑体" w:hAnsi="黑体" w:eastAsia="黑体" w:cs="黑体"/>
          <w:b/>
          <w:bCs/>
          <w:spacing w:val="-15"/>
          <w:sz w:val="31"/>
          <w:szCs w:val="31"/>
          <w:highlight w:val="yellow"/>
          <w:lang w:eastAsia="zh-CN"/>
        </w:rPr>
      </w:pPr>
      <w:r>
        <w:rPr>
          <w:rFonts w:hint="eastAsia" w:eastAsia="仿宋_GB2312"/>
          <w:sz w:val="32"/>
          <w:szCs w:val="32"/>
          <w:lang w:eastAsia="zh-CN"/>
        </w:rPr>
        <w:t>本次绩效评价遵循科学规范、公开公正、绩效相关的原则，重点评价项目决策的项目目标、决策过程、资金分配，项目管理的资金到位、资金管理、组织实施，项目绩效的项目产出、项目效果等三方面。</w:t>
      </w:r>
    </w:p>
    <w:p>
      <w:pPr>
        <w:numPr>
          <w:ilvl w:val="0"/>
          <w:numId w:val="8"/>
        </w:num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项目支出主要绩效及评价结论</w:t>
      </w:r>
    </w:p>
    <w:p>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编制完成2023年度耕地进出平衡总体方案，并通过上级审查，配合各系统图斑销号。综合得出2023年度汨罗市耕地进出平衡项目绩效评价综合得分98分，等级为“A级”。</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为完成上级交办的任务，守好耕地保护底线目标，确保汨罗市年度耕地总量平衡，项目支出必要、合理。</w:t>
      </w:r>
    </w:p>
    <w:p>
      <w:pPr>
        <w:numPr>
          <w:ilvl w:val="0"/>
          <w:numId w:val="9"/>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项目执行过程情况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项目严格按照各级节点要求，编制并提交相关成果。</w:t>
      </w:r>
    </w:p>
    <w:p>
      <w:pPr>
        <w:numPr>
          <w:ilvl w:val="0"/>
          <w:numId w:val="9"/>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项目已按照各级要求完成相关工作，项目资金使用的预定目标已如期完成。</w:t>
      </w:r>
    </w:p>
    <w:p>
      <w:pPr>
        <w:numPr>
          <w:ilvl w:val="0"/>
          <w:numId w:val="9"/>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项目支出效益情况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项目满足相关图斑销号要求，摸清了年度耕地流入流出情况，完成了耕地相关指标绩效考核。</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项目实施前明确了部门长期、中期目标，做好项目前期准备，立项依据充分。</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前期设定合理的项目绩效目标，保证了相关性、完整性、与预算匹配性。</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财务制度健全，资金拔付到位。</w:t>
      </w:r>
    </w:p>
    <w:p>
      <w:pPr>
        <w:numPr>
          <w:ilvl w:val="0"/>
          <w:numId w:val="10"/>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在项目实施过程中要按照项目实施过程来及时修正绩效目标，保证项目按时按量完成。</w:t>
      </w:r>
    </w:p>
    <w:p>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七、其他需要说明的问题</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pPr>
        <w:spacing w:before="201" w:line="578" w:lineRule="exact"/>
        <w:ind w:left="2169"/>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国土空间总体规划实施评估专题研究编制</w:t>
      </w:r>
      <w:r>
        <w:rPr>
          <w:rFonts w:ascii="黑体" w:hAnsi="黑体" w:eastAsia="黑体" w:cs="黑体"/>
          <w:spacing w:val="15"/>
          <w:position w:val="10"/>
          <w:sz w:val="42"/>
          <w:szCs w:val="42"/>
          <w:lang w:eastAsia="zh-CN"/>
        </w:rPr>
        <w:t>项目支出</w:t>
      </w:r>
    </w:p>
    <w:p>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2"/>
        <w:spacing w:before="89" w:line="221" w:lineRule="auto"/>
        <w:ind w:left="2270"/>
        <w:rPr>
          <w:sz w:val="27"/>
          <w:szCs w:val="27"/>
          <w:lang w:eastAsia="zh-CN"/>
        </w:rPr>
      </w:pPr>
      <w:r>
        <w:rPr>
          <w:spacing w:val="-22"/>
          <w:sz w:val="27"/>
          <w:szCs w:val="27"/>
          <w:lang w:eastAsia="zh-CN"/>
        </w:rPr>
        <w:t>部 门</w:t>
      </w:r>
      <w:bookmarkStart w:id="0" w:name="_GoBack"/>
      <w:bookmarkEnd w:id="0"/>
      <w:r>
        <w:rPr>
          <w:spacing w:val="-22"/>
          <w:sz w:val="27"/>
          <w:szCs w:val="27"/>
          <w:lang w:eastAsia="zh-CN"/>
        </w:rPr>
        <w:t>名称：</w:t>
      </w:r>
      <w:r>
        <w:rPr>
          <w:spacing w:val="-22"/>
          <w:sz w:val="27"/>
          <w:szCs w:val="27"/>
          <w:u w:val="single"/>
          <w:lang w:eastAsia="zh-CN"/>
        </w:rPr>
        <w:t xml:space="preserve">  </w:t>
      </w:r>
      <w:r>
        <w:rPr>
          <w:rFonts w:hint="eastAsia"/>
          <w:spacing w:val="-22"/>
          <w:sz w:val="27"/>
          <w:szCs w:val="27"/>
          <w:u w:val="single"/>
          <w:lang w:eastAsia="zh-CN"/>
        </w:rPr>
        <w:t>汨罗市自然资源局</w:t>
      </w:r>
      <w:r>
        <w:rPr>
          <w:spacing w:val="-22"/>
          <w:sz w:val="27"/>
          <w:szCs w:val="27"/>
          <w:u w:val="single"/>
          <w:lang w:eastAsia="zh-CN"/>
        </w:rPr>
        <w:t>(盖章)</w:t>
      </w:r>
    </w:p>
    <w:p>
      <w:pPr>
        <w:pStyle w:val="2"/>
        <w:spacing w:before="289" w:line="610" w:lineRule="exact"/>
        <w:ind w:left="3490"/>
        <w:rPr>
          <w:sz w:val="27"/>
          <w:szCs w:val="27"/>
          <w:lang w:eastAsia="zh-CN"/>
        </w:rPr>
      </w:pPr>
      <w:r>
        <w:rPr>
          <w:rFonts w:hint="eastAsia"/>
          <w:spacing w:val="-13"/>
          <w:position w:val="26"/>
          <w:sz w:val="27"/>
          <w:szCs w:val="27"/>
          <w:lang w:eastAsia="zh-CN"/>
        </w:rPr>
        <w:t>2024</w:t>
      </w:r>
      <w:r>
        <w:rPr>
          <w:spacing w:val="-13"/>
          <w:position w:val="26"/>
          <w:sz w:val="27"/>
          <w:szCs w:val="27"/>
          <w:lang w:eastAsia="zh-CN"/>
        </w:rPr>
        <w:t xml:space="preserve">年 </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4</w:t>
      </w:r>
      <w:r>
        <w:rPr>
          <w:spacing w:val="-13"/>
          <w:position w:val="26"/>
          <w:sz w:val="27"/>
          <w:szCs w:val="27"/>
          <w:lang w:eastAsia="zh-CN"/>
        </w:rPr>
        <w:t>日</w:t>
      </w:r>
    </w:p>
    <w:p>
      <w:pPr>
        <w:pStyle w:val="2"/>
        <w:spacing w:before="1" w:line="223" w:lineRule="auto"/>
        <w:ind w:left="3560"/>
        <w:rPr>
          <w:sz w:val="24"/>
          <w:szCs w:val="24"/>
          <w:lang w:eastAsia="zh-CN"/>
        </w:rPr>
      </w:pPr>
      <w:r>
        <w:rPr>
          <w:spacing w:val="7"/>
          <w:sz w:val="24"/>
          <w:szCs w:val="24"/>
          <w:lang w:eastAsia="zh-CN"/>
        </w:rPr>
        <w:t>(此面为封面)</w:t>
      </w:r>
    </w:p>
    <w:p>
      <w:pPr>
        <w:spacing w:line="223" w:lineRule="auto"/>
        <w:rPr>
          <w:sz w:val="24"/>
          <w:szCs w:val="24"/>
          <w:lang w:eastAsia="zh-CN"/>
        </w:rPr>
        <w:sectPr>
          <w:footerReference r:id="rId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ascii="黑体" w:hAnsi="黑体" w:eastAsia="黑体" w:cs="黑体"/>
          <w:sz w:val="31"/>
          <w:szCs w:val="31"/>
        </w:rPr>
      </w:pPr>
      <w:r>
        <w:rPr>
          <w:rFonts w:ascii="黑体" w:hAnsi="黑体" w:eastAsia="黑体" w:cs="黑体"/>
          <w:b/>
          <w:bCs/>
          <w:spacing w:val="-15"/>
          <w:sz w:val="31"/>
          <w:szCs w:val="31"/>
        </w:rPr>
        <w:t>一、项目支出基本情况</w:t>
      </w:r>
    </w:p>
    <w:p>
      <w:pPr>
        <w:numPr>
          <w:ilvl w:val="0"/>
          <w:numId w:val="11"/>
        </w:numPr>
        <w:spacing w:line="560" w:lineRule="exact"/>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项目支出概况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根据《中共中央国务院关于建立国土空间规划体系并监督实施的若干意见》（中发【2019】18号）、《中共湖南省委湖南省人民政府关于建立全省国土空间规划体系并监督实施的意见》湘发【2020】9号和《湖南省自然资源厅关于全面开展国土空间规划编制工作的通知》湘自然资发【2020】44号等文件，以及自然资源部、湖南省自然资源厅最新的相关编制要求，通过对汨罗市进行充分调研，收集有关项目的详实资料，开展汨罗市国土空间规划实施评估、国土空间开发保护现状评估、城镇开发边界划定和生态保护红线评估优化调整等4项专题研究编制工作。</w:t>
      </w:r>
    </w:p>
    <w:p>
      <w:pPr>
        <w:numPr>
          <w:ilvl w:val="0"/>
          <w:numId w:val="11"/>
        </w:numPr>
        <w:kinsoku/>
        <w:spacing w:line="560" w:lineRule="exact"/>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建立了相关业务专项财务管理制度，加强资金管理，对项目资金使用情况，实行跟踪监控。一是实行专款专用。二是健全财务机制。建立专项资金管理制度、领导责任制、会计制度和出纳制度等。制定了专项资金使用管理暂行办法，从资金取得-使用管理-用后监管都进行了规定，加强了专项资金使用过程的控制和追踪问效。会计科目设置规范，账务处理正确，入账依据充分，各种审批手续完备。三是执行预决算管理。严格按预算管理要求使用资金，严格按进度和合同拨付资金，严格执行政府采购制度；四是严格审批程序。按照“先报再审后用”的原则，由实施方提出申请，相关单位签署意见确认资金额度，经财务股初审后，报局分管领导审批。五是全程接受财政等部门的监管。严格执行国库集中支付制度，严防截留、挪用资金，打造相关业务专项资金在阳光下运行。</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(三)项目支出绩效目标完成程度</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通过对汨罗市进行充分调研，收集有关项目的详实资料，开展汨罗市国土空间规划实施评估、国土空间开发保护现状评估、城镇开发边界划定和生态保护红线评估优化调整等4项专题研究编制工作。</w:t>
      </w:r>
    </w:p>
    <w:p>
      <w:pPr>
        <w:numPr>
          <w:ilvl w:val="0"/>
          <w:numId w:val="12"/>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spacing w:line="560" w:lineRule="exact"/>
        <w:ind w:firstLine="640" w:firstLineChars="200"/>
        <w:outlineLvl w:val="0"/>
        <w:rPr>
          <w:rFonts w:ascii="黑体" w:hAnsi="黑体" w:eastAsia="黑体" w:cs="黑体"/>
          <w:b/>
          <w:bCs/>
          <w:spacing w:val="-15"/>
          <w:sz w:val="31"/>
          <w:szCs w:val="31"/>
          <w:highlight w:val="yellow"/>
          <w:lang w:eastAsia="zh-CN"/>
        </w:rPr>
      </w:pPr>
      <w:r>
        <w:rPr>
          <w:rFonts w:hint="eastAsia" w:eastAsia="仿宋_GB2312"/>
          <w:sz w:val="32"/>
          <w:szCs w:val="32"/>
          <w:lang w:eastAsia="zh-CN"/>
        </w:rPr>
        <w:t>本次绩效评价遵循科学规范、公开公正、绩效相关的原则，重点评价项目决策的项目目标、决策过程、资金分配，项目管理的资金到位、资金管理、组织实施，项目绩效的项目产出、项目效果等三方面。</w:t>
      </w:r>
    </w:p>
    <w:p>
      <w:pPr>
        <w:spacing w:line="560" w:lineRule="exact"/>
        <w:ind w:left="420" w:left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lang w:eastAsia="zh-CN"/>
        </w:rPr>
        <w:t>项目支出主要绩效及评价结论</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依据总体目标，已形成4个专题成果，综合得分100分，等级为“优秀”。</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为完成好国土空间总体规划实施评估专题研究编制工作，坚决按照上级对编制工作的组织要求，技术要求，资金管理要求等，保证项目支出必要、连贯、合理、有效。</w:t>
      </w:r>
    </w:p>
    <w:p>
      <w:pPr>
        <w:numPr>
          <w:ilvl w:val="0"/>
          <w:numId w:val="9"/>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项目执行过程情况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项目实施严格按照各级时间节点要求，技术要求，咨询论证，如期编制，提交成果，评审报批。</w:t>
      </w:r>
    </w:p>
    <w:p>
      <w:pPr>
        <w:numPr>
          <w:ilvl w:val="0"/>
          <w:numId w:val="13"/>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依据项目总目标已形成汨罗市国土空间规划实施评估、国土空间开发保护现状评估、城镇开发边界划定和生态保护红线评估优化调整4个专题成果。</w:t>
      </w:r>
    </w:p>
    <w:p>
      <w:pPr>
        <w:spacing w:line="560" w:lineRule="exact"/>
        <w:ind w:left="420" w:leftChars="200"/>
        <w:jc w:val="both"/>
        <w:rPr>
          <w:rFonts w:eastAsia="仿宋_GB2312"/>
          <w:sz w:val="32"/>
          <w:szCs w:val="32"/>
          <w:lang w:eastAsia="zh-CN"/>
        </w:rPr>
      </w:pPr>
      <w:r>
        <w:rPr>
          <w:rFonts w:hint="eastAsia" w:eastAsia="仿宋_GB2312"/>
          <w:sz w:val="32"/>
          <w:szCs w:val="32"/>
          <w:lang w:eastAsia="zh-CN"/>
        </w:rPr>
        <w:t>（四）项目支出效益情况</w:t>
      </w:r>
    </w:p>
    <w:p>
      <w:pPr>
        <w:spacing w:line="560" w:lineRule="exact"/>
        <w:ind w:left="420" w:leftChars="200" w:firstLine="640" w:firstLineChars="200"/>
        <w:jc w:val="both"/>
        <w:rPr>
          <w:rFonts w:eastAsia="仿宋_GB2312"/>
          <w:sz w:val="32"/>
          <w:szCs w:val="32"/>
          <w:lang w:eastAsia="zh-CN"/>
        </w:rPr>
      </w:pPr>
      <w:r>
        <w:rPr>
          <w:rFonts w:hint="eastAsia" w:eastAsia="仿宋_GB2312"/>
          <w:sz w:val="32"/>
          <w:szCs w:val="32"/>
          <w:lang w:eastAsia="zh-CN"/>
        </w:rPr>
        <w:t>为汨罗市总体规划编制奠定坚实基础、为科学编制国土空间规划提供决策依据，合理划定汨罗市城镇开发边界，提出汨罗市生态保护红线优化调整方案。</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2"/>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（一）加强组织领导，成立编制领导小组，专门组织实施国土空间总体规划编制工作；</w:t>
      </w:r>
    </w:p>
    <w:p>
      <w:pPr>
        <w:pStyle w:val="2"/>
        <w:spacing w:line="560" w:lineRule="exact"/>
        <w:ind w:firstLine="640" w:firstLineChars="200"/>
        <w:jc w:val="both"/>
        <w:rPr>
          <w:rFonts w:ascii="Arial" w:hAnsi="Arial" w:eastAsia="仿宋_GB2312" w:cs="Arial"/>
          <w:sz w:val="32"/>
          <w:szCs w:val="32"/>
          <w:lang w:eastAsia="zh-CN"/>
        </w:rPr>
      </w:pPr>
      <w:r>
        <w:rPr>
          <w:rFonts w:hint="eastAsia" w:ascii="Arial" w:hAnsi="Arial" w:eastAsia="仿宋_GB2312" w:cs="Arial"/>
          <w:sz w:val="32"/>
          <w:szCs w:val="32"/>
          <w:lang w:eastAsia="zh-CN"/>
        </w:rPr>
        <w:t>（二）做好目标规划，按目标制定的时间、任务、要求执行到位；</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（三）做好资金保障工作。</w:t>
      </w:r>
    </w:p>
    <w:p>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有关建议</w:t>
      </w:r>
    </w:p>
    <w:p>
      <w:pPr>
        <w:spacing w:line="560" w:lineRule="exact"/>
        <w:ind w:firstLine="873" w:firstLineChars="300"/>
        <w:outlineLvl w:val="0"/>
        <w:rPr>
          <w:rFonts w:ascii="仿宋" w:hAnsi="仿宋" w:eastAsia="仿宋" w:cs="仿宋"/>
          <w:b/>
          <w:bCs/>
          <w:spacing w:val="-15"/>
          <w:sz w:val="32"/>
          <w:szCs w:val="32"/>
          <w:lang w:eastAsia="zh-CN"/>
        </w:rPr>
      </w:pPr>
      <w:r>
        <w:rPr>
          <w:rFonts w:hint="eastAsia" w:ascii="仿宋" w:hAnsi="仿宋" w:eastAsia="仿宋" w:cs="仿宋"/>
          <w:b/>
          <w:bCs/>
          <w:spacing w:val="-15"/>
          <w:sz w:val="32"/>
          <w:szCs w:val="32"/>
          <w:lang w:eastAsia="zh-CN"/>
        </w:rPr>
        <w:t>无。</w:t>
      </w:r>
    </w:p>
    <w:p>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七、其他需要说明的问题</w:t>
      </w:r>
    </w:p>
    <w:p>
      <w:pPr>
        <w:ind w:firstLine="960" w:firstLineChars="300"/>
        <w:rPr>
          <w:rFonts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98A27"/>
    <w:multiLevelType w:val="singleLevel"/>
    <w:tmpl w:val="95198A27"/>
    <w:lvl w:ilvl="0" w:tentative="0">
      <w:start w:val="2"/>
      <w:numFmt w:val="chineseCounting"/>
      <w:lvlText w:val="(%1)"/>
      <w:lvlJc w:val="left"/>
      <w:pPr>
        <w:tabs>
          <w:tab w:val="left" w:pos="312"/>
        </w:tabs>
      </w:pPr>
      <w:rPr>
        <w:rFonts w:hint="eastAsia"/>
      </w:rPr>
    </w:lvl>
  </w:abstractNum>
  <w:abstractNum w:abstractNumId="1">
    <w:nsid w:val="9FEDAAA3"/>
    <w:multiLevelType w:val="singleLevel"/>
    <w:tmpl w:val="9FEDAAA3"/>
    <w:lvl w:ilvl="0" w:tentative="0">
      <w:start w:val="8"/>
      <w:numFmt w:val="chineseCounting"/>
      <w:suff w:val="nothing"/>
      <w:lvlText w:val="%1、"/>
      <w:lvlJc w:val="left"/>
      <w:rPr>
        <w:rFonts w:hint="eastAsia"/>
      </w:rPr>
    </w:lvl>
  </w:abstractNum>
  <w:abstractNum w:abstractNumId="2">
    <w:nsid w:val="A96B1E04"/>
    <w:multiLevelType w:val="singleLevel"/>
    <w:tmpl w:val="A96B1E04"/>
    <w:lvl w:ilvl="0" w:tentative="0">
      <w:start w:val="3"/>
      <w:numFmt w:val="chineseCounting"/>
      <w:suff w:val="nothing"/>
      <w:lvlText w:val="（%1）"/>
      <w:lvlJc w:val="left"/>
      <w:rPr>
        <w:rFonts w:hint="eastAsia"/>
      </w:rPr>
    </w:lvl>
  </w:abstractNum>
  <w:abstractNum w:abstractNumId="3">
    <w:nsid w:val="BF772B8E"/>
    <w:multiLevelType w:val="singleLevel"/>
    <w:tmpl w:val="BF772B8E"/>
    <w:lvl w:ilvl="0" w:tentative="0">
      <w:start w:val="4"/>
      <w:numFmt w:val="chineseCounting"/>
      <w:suff w:val="nothing"/>
      <w:lvlText w:val="%1、"/>
      <w:lvlJc w:val="left"/>
      <w:rPr>
        <w:rFonts w:hint="eastAsia"/>
      </w:rPr>
    </w:lvl>
  </w:abstractNum>
  <w:abstractNum w:abstractNumId="4">
    <w:nsid w:val="BFE9D208"/>
    <w:multiLevelType w:val="singleLevel"/>
    <w:tmpl w:val="BFE9D208"/>
    <w:lvl w:ilvl="0" w:tentative="0">
      <w:start w:val="1"/>
      <w:numFmt w:val="chineseCounting"/>
      <w:suff w:val="nothing"/>
      <w:lvlText w:val="%1、"/>
      <w:lvlJc w:val="left"/>
      <w:rPr>
        <w:rFonts w:hint="eastAsia"/>
      </w:rPr>
    </w:lvl>
  </w:abstractNum>
  <w:abstractNum w:abstractNumId="5">
    <w:nsid w:val="EDDBDAD6"/>
    <w:multiLevelType w:val="singleLevel"/>
    <w:tmpl w:val="EDDBDAD6"/>
    <w:lvl w:ilvl="0" w:tentative="0">
      <w:start w:val="1"/>
      <w:numFmt w:val="decimal"/>
      <w:suff w:val="nothing"/>
      <w:lvlText w:val="%1、"/>
      <w:lvlJc w:val="left"/>
    </w:lvl>
  </w:abstractNum>
  <w:abstractNum w:abstractNumId="6">
    <w:nsid w:val="F77FE374"/>
    <w:multiLevelType w:val="singleLevel"/>
    <w:tmpl w:val="F77FE374"/>
    <w:lvl w:ilvl="0" w:tentative="0">
      <w:start w:val="1"/>
      <w:numFmt w:val="decimal"/>
      <w:suff w:val="nothing"/>
      <w:lvlText w:val="%1、"/>
      <w:lvlJc w:val="left"/>
    </w:lvl>
  </w:abstractNum>
  <w:abstractNum w:abstractNumId="7">
    <w:nsid w:val="1CBBFC71"/>
    <w:multiLevelType w:val="singleLevel"/>
    <w:tmpl w:val="1CBBFC71"/>
    <w:lvl w:ilvl="0" w:tentative="0">
      <w:start w:val="2"/>
      <w:numFmt w:val="chineseCounting"/>
      <w:suff w:val="nothing"/>
      <w:lvlText w:val="%1、"/>
      <w:lvlJc w:val="left"/>
      <w:rPr>
        <w:rFonts w:hint="eastAsia"/>
      </w:rPr>
    </w:lvl>
  </w:abstractNum>
  <w:abstractNum w:abstractNumId="8">
    <w:nsid w:val="33B95427"/>
    <w:multiLevelType w:val="singleLevel"/>
    <w:tmpl w:val="33B95427"/>
    <w:lvl w:ilvl="0" w:tentative="0">
      <w:start w:val="2"/>
      <w:numFmt w:val="chineseCounting"/>
      <w:suff w:val="nothing"/>
      <w:lvlText w:val="%1、"/>
      <w:lvlJc w:val="left"/>
      <w:rPr>
        <w:rFonts w:hint="eastAsia"/>
      </w:rPr>
    </w:lvl>
  </w:abstractNum>
  <w:abstractNum w:abstractNumId="9">
    <w:nsid w:val="33F7C347"/>
    <w:multiLevelType w:val="singleLevel"/>
    <w:tmpl w:val="33F7C347"/>
    <w:lvl w:ilvl="0" w:tentative="0">
      <w:start w:val="2"/>
      <w:numFmt w:val="chineseCounting"/>
      <w:suff w:val="nothing"/>
      <w:lvlText w:val="（%1）"/>
      <w:lvlJc w:val="left"/>
      <w:rPr>
        <w:rFonts w:hint="eastAsia"/>
      </w:rPr>
    </w:lvl>
  </w:abstractNum>
  <w:abstractNum w:abstractNumId="10">
    <w:nsid w:val="48B8C48B"/>
    <w:multiLevelType w:val="singleLevel"/>
    <w:tmpl w:val="48B8C48B"/>
    <w:lvl w:ilvl="0" w:tentative="0">
      <w:start w:val="1"/>
      <w:numFmt w:val="chineseCounting"/>
      <w:lvlText w:val="(%1)"/>
      <w:lvlJc w:val="left"/>
      <w:pPr>
        <w:tabs>
          <w:tab w:val="left" w:pos="312"/>
        </w:tabs>
      </w:pPr>
      <w:rPr>
        <w:rFonts w:hint="eastAsia"/>
      </w:rPr>
    </w:lvl>
  </w:abstractNum>
  <w:abstractNum w:abstractNumId="11">
    <w:nsid w:val="567C8C72"/>
    <w:multiLevelType w:val="singleLevel"/>
    <w:tmpl w:val="567C8C72"/>
    <w:lvl w:ilvl="0" w:tentative="0">
      <w:start w:val="1"/>
      <w:numFmt w:val="chineseCounting"/>
      <w:lvlText w:val="(%1)"/>
      <w:lvlJc w:val="left"/>
      <w:pPr>
        <w:tabs>
          <w:tab w:val="left" w:pos="312"/>
        </w:tabs>
      </w:pPr>
      <w:rPr>
        <w:rFonts w:hint="eastAsia"/>
      </w:rPr>
    </w:lvl>
  </w:abstractNum>
  <w:abstractNum w:abstractNumId="12">
    <w:nsid w:val="657ED36B"/>
    <w:multiLevelType w:val="singleLevel"/>
    <w:tmpl w:val="657ED36B"/>
    <w:lvl w:ilvl="0" w:tentative="0">
      <w:start w:val="6"/>
      <w:numFmt w:val="chineseCounting"/>
      <w:suff w:val="nothing"/>
      <w:lvlText w:val="%1、"/>
      <w:lvlJc w:val="left"/>
      <w:rPr>
        <w:rFonts w:hint="eastAsia"/>
      </w:rPr>
    </w:lvl>
  </w:abstractNum>
  <w:num w:numId="1">
    <w:abstractNumId w:val="4"/>
  </w:num>
  <w:num w:numId="2">
    <w:abstractNumId w:val="9"/>
  </w:num>
  <w:num w:numId="3">
    <w:abstractNumId w:val="3"/>
  </w:num>
  <w:num w:numId="4">
    <w:abstractNumId w:val="6"/>
  </w:num>
  <w:num w:numId="5">
    <w:abstractNumId w:val="1"/>
  </w:num>
  <w:num w:numId="6">
    <w:abstractNumId w:val="5"/>
  </w:num>
  <w:num w:numId="7">
    <w:abstractNumId w:val="11"/>
  </w:num>
  <w:num w:numId="8">
    <w:abstractNumId w:val="8"/>
  </w:num>
  <w:num w:numId="9">
    <w:abstractNumId w:val="0"/>
  </w:num>
  <w:num w:numId="10">
    <w:abstractNumId w:val="12"/>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0ZmZlZTEyYzZiODMwNTZlM2VmMzMxNTExOTMxZTMifQ=="/>
  </w:docVars>
  <w:rsids>
    <w:rsidRoot w:val="00000000"/>
    <w:rsid w:val="0179244F"/>
    <w:rsid w:val="01AF3811"/>
    <w:rsid w:val="03795BF7"/>
    <w:rsid w:val="086E756B"/>
    <w:rsid w:val="09B71227"/>
    <w:rsid w:val="0ACF37E5"/>
    <w:rsid w:val="0B400BC6"/>
    <w:rsid w:val="0D074274"/>
    <w:rsid w:val="0E68228D"/>
    <w:rsid w:val="0EA6787F"/>
    <w:rsid w:val="0FD31ACD"/>
    <w:rsid w:val="120038EF"/>
    <w:rsid w:val="12BA2270"/>
    <w:rsid w:val="15276E52"/>
    <w:rsid w:val="184B14B9"/>
    <w:rsid w:val="19D32FBC"/>
    <w:rsid w:val="1E6A4395"/>
    <w:rsid w:val="22E14EC6"/>
    <w:rsid w:val="25557A3D"/>
    <w:rsid w:val="26A646AF"/>
    <w:rsid w:val="26EA5ED7"/>
    <w:rsid w:val="27A93B82"/>
    <w:rsid w:val="27BB1A8B"/>
    <w:rsid w:val="2AE00186"/>
    <w:rsid w:val="2AE01F34"/>
    <w:rsid w:val="308216BE"/>
    <w:rsid w:val="34FE1149"/>
    <w:rsid w:val="359978AF"/>
    <w:rsid w:val="3A4D6EBA"/>
    <w:rsid w:val="3A550786"/>
    <w:rsid w:val="3B7A130F"/>
    <w:rsid w:val="3BC60157"/>
    <w:rsid w:val="3CE55188"/>
    <w:rsid w:val="3E7A1653"/>
    <w:rsid w:val="3F1104B7"/>
    <w:rsid w:val="418E2292"/>
    <w:rsid w:val="43BA01B0"/>
    <w:rsid w:val="44AB4F09"/>
    <w:rsid w:val="485458B8"/>
    <w:rsid w:val="48E05F5A"/>
    <w:rsid w:val="494A1329"/>
    <w:rsid w:val="4AFF49AD"/>
    <w:rsid w:val="4E8862BB"/>
    <w:rsid w:val="4EDF20DE"/>
    <w:rsid w:val="4F8B6063"/>
    <w:rsid w:val="51617371"/>
    <w:rsid w:val="52FA3F96"/>
    <w:rsid w:val="55850F17"/>
    <w:rsid w:val="57AE6D93"/>
    <w:rsid w:val="5A415C8B"/>
    <w:rsid w:val="5ABF12B7"/>
    <w:rsid w:val="5EF552A7"/>
    <w:rsid w:val="5FB623A7"/>
    <w:rsid w:val="609D67B3"/>
    <w:rsid w:val="64E5191A"/>
    <w:rsid w:val="65E25E59"/>
    <w:rsid w:val="663056AF"/>
    <w:rsid w:val="6E3851B0"/>
    <w:rsid w:val="70227EC6"/>
    <w:rsid w:val="764E2089"/>
    <w:rsid w:val="76B55F2B"/>
    <w:rsid w:val="784167CA"/>
    <w:rsid w:val="7ED67756"/>
    <w:rsid w:val="AF1C2D39"/>
    <w:rsid w:val="F6FF86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6435</Words>
  <Characters>7049</Characters>
  <TotalTime>16</TotalTime>
  <ScaleCrop>false</ScaleCrop>
  <LinksUpToDate>false</LinksUpToDate>
  <CharactersWithSpaces>7167</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2025-06-11T16:48:50Z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ies>
</file>