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4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2.2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10.36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11.44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14.96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2.08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1.32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1.32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0.49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3.08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3.08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0.22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1.1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8.23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任典刚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13574011119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李俊</w:t>
      </w:r>
    </w:p>
    <w:p w14:paraId="24A7AE35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7E156EA0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5560FC5B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62A6BF17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4390D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488866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184D6A9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1ED14581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</w:p>
          <w:p w14:paraId="3DA4DC2C">
            <w:pPr>
              <w:bidi w:val="0"/>
              <w:ind w:firstLine="303" w:firstLineChars="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汨罗水库管理所</w:t>
            </w:r>
          </w:p>
        </w:tc>
      </w:tr>
      <w:tr w14:paraId="5304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149F18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7FBCC51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6DB4AC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90444A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29C2A6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1CD5A18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37D16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2FE9345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B8AB68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6205E0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20030E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4A144F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F911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9F7B5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AD4055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5ECBDEF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125.6</w:t>
            </w:r>
          </w:p>
        </w:tc>
        <w:tc>
          <w:tcPr>
            <w:tcW w:w="1298" w:type="dxa"/>
            <w:vAlign w:val="center"/>
          </w:tcPr>
          <w:p w14:paraId="514D0D4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125.6</w:t>
            </w:r>
          </w:p>
        </w:tc>
        <w:tc>
          <w:tcPr>
            <w:tcW w:w="1269" w:type="dxa"/>
            <w:vAlign w:val="center"/>
          </w:tcPr>
          <w:p w14:paraId="71384897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135.8</w:t>
            </w:r>
          </w:p>
        </w:tc>
        <w:tc>
          <w:tcPr>
            <w:tcW w:w="699" w:type="dxa"/>
            <w:vAlign w:val="center"/>
          </w:tcPr>
          <w:p w14:paraId="05AD39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4000CADC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38C4962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10</w:t>
            </w:r>
          </w:p>
        </w:tc>
      </w:tr>
      <w:tr w14:paraId="6D07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B5851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5BA9B12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752D046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293FC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F0EE0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B30C33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125.6</w:t>
            </w:r>
          </w:p>
        </w:tc>
        <w:tc>
          <w:tcPr>
            <w:tcW w:w="4260" w:type="dxa"/>
            <w:gridSpan w:val="4"/>
            <w:vAlign w:val="center"/>
          </w:tcPr>
          <w:p w14:paraId="6ED848D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125.6</w:t>
            </w:r>
          </w:p>
        </w:tc>
      </w:tr>
      <w:tr w14:paraId="7114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AA3CC5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ED6733D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31BD675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 w14:paraId="37C8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45EFA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742CD26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024899F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79BEF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ADE81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FD4642B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479236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1E0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45EA80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57A05A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1D4F750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88F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0A76F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9A6F02C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1保障古培镇、汩罗镇、归义镇的农田灌溉用水。</w:t>
            </w:r>
          </w:p>
          <w:p w14:paraId="4CE05975">
            <w:pPr>
              <w:spacing w:line="240" w:lineRule="auto"/>
              <w:jc w:val="both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2保障水库、堤坝安全、水库大坝、堤防、水闸、溢洪道等养护、除杂。</w:t>
            </w:r>
          </w:p>
          <w:p w14:paraId="69BFC6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3渠道清淤、除杂、维修建设等。</w:t>
            </w:r>
          </w:p>
        </w:tc>
        <w:tc>
          <w:tcPr>
            <w:tcW w:w="4260" w:type="dxa"/>
            <w:gridSpan w:val="4"/>
            <w:vAlign w:val="center"/>
          </w:tcPr>
          <w:p w14:paraId="57B9F7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全年完成渠道清淤工作7000余米，除杂工作近万米，渠道维修衬砌共4处，合计450米。整修闸门3次，负责28座水库的维修养护工作及三个乡镇的2.4万亩农田灌溉。单位各项工作正常开展，得到上级部门一致肯定。</w:t>
            </w:r>
          </w:p>
        </w:tc>
      </w:tr>
      <w:tr w14:paraId="48F72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28CCFC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4863762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4DA4AD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38DBDDB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5D070C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BEFA55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710FA1C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4D99943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0BEAA9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0A74869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218D98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6CFB322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6EBE211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208092F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3CAA8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6EBF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8EBDD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6C5AAB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CD112A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458E6DC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831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渠道维修衬砌4处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06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450米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BC0618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vAlign w:val="center"/>
          </w:tcPr>
          <w:p w14:paraId="67E83CC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19A3B99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E080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A4834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54C4F0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0E2F9B1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E978E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CBD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中小型水库维修养护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座）</w:t>
            </w:r>
          </w:p>
        </w:tc>
        <w:tc>
          <w:tcPr>
            <w:tcW w:w="1269" w:type="dxa"/>
            <w:vAlign w:val="center"/>
          </w:tcPr>
          <w:p w14:paraId="16E5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99" w:type="dxa"/>
            <w:vAlign w:val="center"/>
          </w:tcPr>
          <w:p w14:paraId="596C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vAlign w:val="center"/>
          </w:tcPr>
          <w:p w14:paraId="3D67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3D3DB9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83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90BE4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5351925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3E8A42E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96339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A8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渠道清淤除杂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69" w:type="dxa"/>
            <w:vAlign w:val="center"/>
          </w:tcPr>
          <w:p w14:paraId="5BDE3385">
            <w:pPr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8000米</w:t>
            </w:r>
          </w:p>
        </w:tc>
        <w:tc>
          <w:tcPr>
            <w:tcW w:w="699" w:type="dxa"/>
            <w:vAlign w:val="center"/>
          </w:tcPr>
          <w:p w14:paraId="701E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vAlign w:val="center"/>
          </w:tcPr>
          <w:p w14:paraId="5609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2DA8E0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030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CAB0C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9BD6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6DCD8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F03BF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1DE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服务灌溉农田面积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1269" w:type="dxa"/>
            <w:vAlign w:val="bottom"/>
          </w:tcPr>
          <w:p w14:paraId="1B0F2C8E">
            <w:pPr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万亩</w:t>
            </w:r>
          </w:p>
        </w:tc>
        <w:tc>
          <w:tcPr>
            <w:tcW w:w="699" w:type="dxa"/>
            <w:vAlign w:val="center"/>
          </w:tcPr>
          <w:p w14:paraId="0707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869" w:type="dxa"/>
            <w:vAlign w:val="center"/>
          </w:tcPr>
          <w:p w14:paraId="4567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1423" w:type="dxa"/>
            <w:vAlign w:val="center"/>
          </w:tcPr>
          <w:p w14:paraId="2F46FE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355F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17776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975324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03AEE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2C2EA5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E6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项目验收合格率（%)</w:t>
            </w:r>
          </w:p>
        </w:tc>
        <w:tc>
          <w:tcPr>
            <w:tcW w:w="1269" w:type="dxa"/>
            <w:vAlign w:val="center"/>
          </w:tcPr>
          <w:p w14:paraId="6883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vAlign w:val="center"/>
          </w:tcPr>
          <w:p w14:paraId="5BBB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90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6436F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64E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DD47A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D822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A6476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A4721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5FB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任务完成合格率(%)</w:t>
            </w:r>
          </w:p>
        </w:tc>
        <w:tc>
          <w:tcPr>
            <w:tcW w:w="1269" w:type="dxa"/>
            <w:vAlign w:val="center"/>
          </w:tcPr>
          <w:p w14:paraId="0CF4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vAlign w:val="center"/>
          </w:tcPr>
          <w:p w14:paraId="1C5F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C7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2F2FE5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7219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5DD63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BF308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0C5BC1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40CE93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bottom"/>
          </w:tcPr>
          <w:p w14:paraId="4AE7D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工程完成进度（%）</w:t>
            </w:r>
          </w:p>
        </w:tc>
        <w:tc>
          <w:tcPr>
            <w:tcW w:w="1269" w:type="dxa"/>
            <w:vAlign w:val="center"/>
          </w:tcPr>
          <w:p w14:paraId="5CDD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vAlign w:val="center"/>
          </w:tcPr>
          <w:p w14:paraId="445B13F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4222B2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A2C78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7D9D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B223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405015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6686D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D1D68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bottom"/>
          </w:tcPr>
          <w:p w14:paraId="6E52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项目资金完成率（%)</w:t>
            </w:r>
          </w:p>
        </w:tc>
        <w:tc>
          <w:tcPr>
            <w:tcW w:w="1269" w:type="dxa"/>
            <w:vAlign w:val="center"/>
          </w:tcPr>
          <w:p w14:paraId="400A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vAlign w:val="center"/>
          </w:tcPr>
          <w:p w14:paraId="67CD59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D8DF37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993A0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8AEE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E3C1F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58523F9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B46D13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2153A7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5D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促进地方农业发展（%）</w:t>
            </w:r>
          </w:p>
        </w:tc>
        <w:tc>
          <w:tcPr>
            <w:tcW w:w="1269" w:type="dxa"/>
            <w:vAlign w:val="center"/>
          </w:tcPr>
          <w:p w14:paraId="14F9CB4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79C7773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4031FA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4D392B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325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8DD07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1C837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E7CAD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7B2EC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FC8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保障了农业生产大局稳定率（%）</w:t>
            </w:r>
          </w:p>
        </w:tc>
        <w:tc>
          <w:tcPr>
            <w:tcW w:w="1269" w:type="dxa"/>
            <w:vAlign w:val="center"/>
          </w:tcPr>
          <w:p w14:paraId="3A6298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54A9157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9E693A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5CC8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DB9C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8F9C5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D46D5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58DB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191FD7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D14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促进地方农业发展（%）</w:t>
            </w:r>
          </w:p>
        </w:tc>
        <w:tc>
          <w:tcPr>
            <w:tcW w:w="1269" w:type="dxa"/>
            <w:vAlign w:val="center"/>
          </w:tcPr>
          <w:p w14:paraId="0B48AD3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F00DDA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1BF916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2943746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A8A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1748AF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C8517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88BC86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3C9AF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462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保障了农业生产大局稳定率（%）</w:t>
            </w:r>
          </w:p>
        </w:tc>
        <w:tc>
          <w:tcPr>
            <w:tcW w:w="1269" w:type="dxa"/>
            <w:vAlign w:val="center"/>
          </w:tcPr>
          <w:p w14:paraId="7F16AA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3382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D71139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768B86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135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6CB9EC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B8CA37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305B9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783C98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5E4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改善水库及周边环境</w:t>
            </w:r>
          </w:p>
        </w:tc>
        <w:tc>
          <w:tcPr>
            <w:tcW w:w="1269" w:type="dxa"/>
            <w:vAlign w:val="center"/>
          </w:tcPr>
          <w:p w14:paraId="6E371695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明显改善</w:t>
            </w:r>
          </w:p>
        </w:tc>
        <w:tc>
          <w:tcPr>
            <w:tcW w:w="699" w:type="dxa"/>
            <w:vAlign w:val="center"/>
          </w:tcPr>
          <w:p w14:paraId="1DA5A7E6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vAlign w:val="center"/>
          </w:tcPr>
          <w:p w14:paraId="24FC692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372459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FBC8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173D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86FAF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37388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E6DDF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EE3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促进地方生态文明建设</w:t>
            </w:r>
          </w:p>
        </w:tc>
        <w:tc>
          <w:tcPr>
            <w:tcW w:w="1269" w:type="dxa"/>
            <w:vAlign w:val="center"/>
          </w:tcPr>
          <w:p w14:paraId="69BB063F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明显提高</w:t>
            </w:r>
          </w:p>
        </w:tc>
        <w:tc>
          <w:tcPr>
            <w:tcW w:w="699" w:type="dxa"/>
            <w:vAlign w:val="center"/>
          </w:tcPr>
          <w:p w14:paraId="224B7AA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869" w:type="dxa"/>
            <w:vAlign w:val="center"/>
          </w:tcPr>
          <w:p w14:paraId="5EDF857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423" w:type="dxa"/>
            <w:vAlign w:val="center"/>
          </w:tcPr>
          <w:p w14:paraId="2BCC24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36C8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AC5B3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950194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1B36C6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2246F3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C1183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66AE4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B78BE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5FAF053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8EE28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E9EB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D75AB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49DA788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BA4F86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583BBC1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69589C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51F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地方群众满意度（%）</w:t>
            </w:r>
          </w:p>
        </w:tc>
        <w:tc>
          <w:tcPr>
            <w:tcW w:w="1269" w:type="dxa"/>
            <w:vAlign w:val="center"/>
          </w:tcPr>
          <w:p w14:paraId="72D2ABAB">
            <w:pPr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vAlign w:val="center"/>
          </w:tcPr>
          <w:p w14:paraId="6AB8A65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2EF25C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5FF90D6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8AA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9DAA6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3A0DD12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1157E89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B36659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3EFAB5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063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降低成本</w:t>
            </w:r>
          </w:p>
        </w:tc>
        <w:tc>
          <w:tcPr>
            <w:tcW w:w="1269" w:type="dxa"/>
            <w:vAlign w:val="center"/>
          </w:tcPr>
          <w:p w14:paraId="51613852">
            <w:pPr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合规合法</w:t>
            </w:r>
          </w:p>
        </w:tc>
        <w:tc>
          <w:tcPr>
            <w:tcW w:w="699" w:type="dxa"/>
            <w:vAlign w:val="center"/>
          </w:tcPr>
          <w:p w14:paraId="709CE13C">
            <w:pPr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5B95C82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34C095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CEE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11345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D373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4DDB500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36BD19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B5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保障了农业生产大局稳定率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69" w:type="dxa"/>
            <w:vAlign w:val="center"/>
          </w:tcPr>
          <w:p w14:paraId="1B5D8789">
            <w:pPr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096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Align w:val="center"/>
          </w:tcPr>
          <w:p w14:paraId="5771D10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E2711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5E06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A60E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10E295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347FAD7C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5B8C29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C6A97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改善水库及周边环境</w:t>
            </w:r>
          </w:p>
        </w:tc>
        <w:tc>
          <w:tcPr>
            <w:tcW w:w="1269" w:type="dxa"/>
            <w:vAlign w:val="center"/>
          </w:tcPr>
          <w:p w14:paraId="5E50D161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明显提高</w:t>
            </w:r>
          </w:p>
        </w:tc>
        <w:tc>
          <w:tcPr>
            <w:tcW w:w="699" w:type="dxa"/>
            <w:vAlign w:val="center"/>
          </w:tcPr>
          <w:p w14:paraId="232DC2C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CED3D2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6B1ED56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73EB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2796DD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349379F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73A1BB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4377FF3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hint="eastAsia" w:ascii="仿宋" w:hAnsi="仿宋" w:eastAsia="仿宋" w:cs="仿宋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21"/>
          <w:szCs w:val="21"/>
          <w:lang w:val="en-US" w:eastAsia="zh-CN" w:bidi="ar-SA"/>
        </w:rPr>
        <w:t>填表人：任典刚   填报日期：2024.10.25    联系电话：13574011119  单位负责人签字：李俊</w:t>
      </w:r>
    </w:p>
    <w:p w14:paraId="4CDCA5F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" w:hAnsi="仿宋" w:eastAsia="仿宋" w:cs="仿宋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仿宋" w:hAnsi="仿宋" w:eastAsia="仿宋" w:cs="仿宋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仿宋" w:hAnsi="仿宋" w:eastAsia="仿宋" w:cs="仿宋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hint="eastAsia" w:ascii="仿宋" w:hAnsi="仿宋" w:eastAsia="仿宋" w:cs="仿宋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仿宋" w:hAnsi="仿宋" w:eastAsia="仿宋" w:cs="仿宋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rFonts w:hint="eastAsia" w:ascii="仿宋" w:hAnsi="仿宋" w:eastAsia="仿宋" w:cs="仿宋"/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项目资金 (万元)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0分)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(30分)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满意度指标(10分)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hint="eastAsia" w:ascii="仿宋" w:hAnsi="仿宋" w:eastAsia="仿宋" w:cs="仿宋"/>
          <w:kern w:val="0"/>
          <w:lang w:eastAsia="zh-CN"/>
        </w:rPr>
      </w:pPr>
      <w:r>
        <w:rPr>
          <w:rFonts w:hint="eastAsia" w:ascii="仿宋" w:hAnsi="仿宋" w:eastAsia="仿宋" w:cs="仿宋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hint="eastAsia" w:ascii="仿宋" w:hAnsi="仿宋" w:eastAsia="仿宋" w:cs="仿宋"/>
          <w:kern w:val="0"/>
          <w:lang w:eastAsia="zh-CN"/>
        </w:rPr>
      </w:pPr>
    </w:p>
    <w:p w14:paraId="0EF3B55A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" w:hAnsi="仿宋" w:eastAsia="仿宋" w:cs="仿宋"/>
          <w:kern w:val="0"/>
          <w:lang w:eastAsia="zh-CN"/>
        </w:rPr>
        <w:t>填表人：           填报日期：            联系电话：           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年度汨罗水库管理所整体支出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4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hint="eastAsia" w:ascii="黑体" w:hAnsi="黑体" w:eastAsia="黑体" w:cs="黑体"/>
          <w:spacing w:val="16"/>
          <w:sz w:val="40"/>
          <w:szCs w:val="40"/>
        </w:rPr>
      </w:pPr>
      <w:r>
        <w:rPr>
          <w:rFonts w:hint="eastAsia"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hint="eastAsia"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Style w:val="11"/>
          <w:rFonts w:hint="eastAsia" w:ascii="黑体" w:hAnsi="黑体" w:eastAsia="黑体" w:cs="黑体"/>
          <w:b w:val="0"/>
          <w:bCs/>
          <w:lang w:eastAsia="zh-CN"/>
        </w:rPr>
        <w:t>汨罗水库管理所</w:t>
      </w:r>
      <w:r>
        <w:rPr>
          <w:rStyle w:val="11"/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hint="eastAsia"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hint="eastAsia"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hint="eastAsia"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hint="eastAsia"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bookmarkStart w:id="0" w:name="_GoBack"/>
      <w:bookmarkEnd w:id="0"/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32"/>
          <w:szCs w:val="32"/>
          <w:lang w:val="en-US" w:eastAsia="zh-CN" w:bidi="ar-SA"/>
        </w:rPr>
        <w:t>部门(单位)基本情况</w:t>
      </w:r>
    </w:p>
    <w:p w14:paraId="2344C0B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lang w:val="en-US" w:eastAsia="zh-CN" w:bidi="ar-SA"/>
        </w:rPr>
        <w:t xml:space="preserve">汨罗水库管理所是财政全额拔款,公益二类事业单位,负责为农村用水提供服务,负责古培镇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lang w:val="en-US" w:eastAsia="zh-CN" w:bidi="ar-SA"/>
        </w:rPr>
        <w:t>汨罗镇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lang w:val="en-US" w:eastAsia="zh-CN" w:bidi="ar-SA"/>
        </w:rPr>
        <w:t>城郊乡等乡镇农田灌溉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lang w:val="en-US" w:eastAsia="zh-CN" w:bidi="ar-SA"/>
        </w:rPr>
        <w:t>防洪保安等职能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z w:val="30"/>
          <w:szCs w:val="30"/>
          <w:lang w:val="en-US" w:eastAsia="zh-CN" w:bidi="ar-SA"/>
        </w:rPr>
        <w:t>预算编制人员11人,退休5人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B44B15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(一)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职能职责</w:t>
      </w:r>
    </w:p>
    <w:p w14:paraId="4A543369">
      <w:pPr>
        <w:pStyle w:val="10"/>
        <w:spacing w:line="480" w:lineRule="exact"/>
        <w:ind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１、为农村用水提供服务，负责古培、汨罗镇、城郊乡等乡镇的农田灌溉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;</w:t>
      </w:r>
    </w:p>
    <w:p w14:paraId="79D60AAC">
      <w:pPr>
        <w:spacing w:line="480" w:lineRule="exact"/>
        <w:jc w:val="left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　　　２、河道保洁，水库维修养护，防洪保安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;</w:t>
      </w:r>
    </w:p>
    <w:p w14:paraId="59905F01">
      <w:pPr>
        <w:ind w:firstLine="840" w:firstLineChars="300"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３、完成水利局和市人民政府交办的其他任务。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FF0000"/>
          <w:kern w:val="0"/>
          <w:sz w:val="22"/>
        </w:rPr>
        <w:t xml:space="preserve"> </w:t>
      </w:r>
    </w:p>
    <w:p w14:paraId="3153B00D">
      <w:pPr>
        <w:widowControl/>
        <w:spacing w:line="6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）内设机构设置。</w:t>
      </w:r>
    </w:p>
    <w:p w14:paraId="69459044">
      <w:pPr>
        <w:widowControl/>
        <w:spacing w:line="600" w:lineRule="exact"/>
        <w:ind w:left="141" w:leftChars="67"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汨罗市汨罗水库管理所内设4股室，其中包括：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办公室、业务股、服务中心、财务股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。</w:t>
      </w:r>
    </w:p>
    <w:p w14:paraId="3010A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E2474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 w14:paraId="20D44225">
      <w:pPr>
        <w:spacing w:line="600" w:lineRule="exact"/>
        <w:ind w:firstLine="562" w:firstLineChars="200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二、一般公共预算支出情况</w:t>
      </w:r>
    </w:p>
    <w:p w14:paraId="7D246391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2023年预算总收入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135.8</w:t>
      </w:r>
      <w:r>
        <w:rPr>
          <w:rFonts w:hint="eastAsia" w:ascii="仿宋" w:hAnsi="仿宋" w:eastAsia="仿宋"/>
          <w:sz w:val="28"/>
          <w:szCs w:val="28"/>
        </w:rPr>
        <w:t>万元，总支出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135.8</w:t>
      </w:r>
      <w:r>
        <w:rPr>
          <w:rFonts w:hint="eastAsia" w:ascii="仿宋" w:hAnsi="仿宋" w:eastAsia="仿宋"/>
          <w:sz w:val="28"/>
          <w:szCs w:val="28"/>
        </w:rPr>
        <w:t>万元，其中基本支出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127.01</w:t>
      </w:r>
      <w:r>
        <w:rPr>
          <w:rFonts w:hint="eastAsia" w:ascii="仿宋" w:hAnsi="仿宋" w:eastAsia="仿宋"/>
          <w:sz w:val="28"/>
          <w:szCs w:val="28"/>
        </w:rPr>
        <w:t>万元，项目支出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8.8</w:t>
      </w:r>
      <w:r>
        <w:rPr>
          <w:rFonts w:hint="eastAsia" w:ascii="仿宋" w:hAnsi="仿宋" w:eastAsia="仿宋"/>
          <w:sz w:val="28"/>
          <w:szCs w:val="28"/>
        </w:rPr>
        <w:t>万元，无收支结余。</w:t>
      </w:r>
    </w:p>
    <w:p w14:paraId="3BE174F7">
      <w:pPr>
        <w:spacing w:line="600" w:lineRule="exact"/>
        <w:ind w:firstLine="562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（一）基本支出情况</w:t>
      </w:r>
    </w:p>
    <w:p w14:paraId="3F030A8E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127.01</w:t>
      </w:r>
      <w:r>
        <w:rPr>
          <w:rFonts w:hint="eastAsia" w:ascii="仿宋" w:hAnsi="仿宋" w:eastAsia="仿宋"/>
          <w:sz w:val="28"/>
          <w:szCs w:val="28"/>
        </w:rPr>
        <w:t>万元，其中人员支出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112.05</w:t>
      </w:r>
      <w:r>
        <w:rPr>
          <w:rFonts w:hint="eastAsia" w:ascii="仿宋" w:hAnsi="仿宋" w:eastAsia="仿宋"/>
          <w:sz w:val="28"/>
          <w:szCs w:val="28"/>
        </w:rPr>
        <w:t>万元，公用支出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14.96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2C1AA1D0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2023年三公经费年初预算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/>
          <w:sz w:val="28"/>
          <w:szCs w:val="28"/>
        </w:rPr>
        <w:t>万元，其中公务接待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/>
          <w:sz w:val="28"/>
          <w:szCs w:val="28"/>
        </w:rPr>
        <w:t>万元，公务用车运行维护0万元，实际支出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万元，其中公务接待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/>
          <w:sz w:val="28"/>
          <w:szCs w:val="28"/>
        </w:rPr>
        <w:t>万元，公务用车运行维护0万元，比年初预算减少3.33万元，下降53.7%。原因是厉行节约，减少公务接待支出。</w:t>
      </w:r>
    </w:p>
    <w:p w14:paraId="20BFDEE0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</w:p>
    <w:p w14:paraId="00657FCB">
      <w:pPr>
        <w:pStyle w:val="10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16D3C52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三、政府性基金预算支出情况</w:t>
      </w:r>
    </w:p>
    <w:p w14:paraId="2A755169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四、国有资本经营预算支出情况</w:t>
      </w:r>
    </w:p>
    <w:p w14:paraId="07F1EBC0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五、社会保险基金预算支出情况</w:t>
      </w:r>
    </w:p>
    <w:p w14:paraId="03087A41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六、部门整体支出绩效情况</w:t>
      </w:r>
    </w:p>
    <w:p w14:paraId="7435DC61">
      <w:pPr>
        <w:spacing w:line="6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今年以来，我局认真深入落实习近平总书记“节水优先、空间均衡、系统治理、两手发力”治水思路和关于治水重要论述精神，全面贯彻落实中央、省、市各级水利工作会议决策部署，全面统筹、加强调度，压实责任、加大投入，克服极端天气和国内经济运行压力加大的不利影响，出台一系列统揽经济发展大盘的政策措施，全力推动全市水利项目稳步发展。本部门整体支出和专项支出管理得到了有效提升，并取得了较好的成效，自我评价分数为</w:t>
      </w:r>
      <w:r>
        <w:rPr>
          <w:rFonts w:hint="eastAsia" w:ascii="仿宋" w:hAnsi="仿宋" w:eastAsia="仿宋"/>
          <w:color w:val="auto"/>
          <w:sz w:val="28"/>
          <w:szCs w:val="28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分。</w:t>
      </w:r>
    </w:p>
    <w:p w14:paraId="0A5EBD7F">
      <w:pPr>
        <w:numPr>
          <w:ilvl w:val="0"/>
          <w:numId w:val="2"/>
        </w:numPr>
        <w:spacing w:line="6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部门整体支出和专项资金管理</w:t>
      </w:r>
    </w:p>
    <w:p w14:paraId="63468D07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严格预算支出管理。在支出预算编制上，人员经费按照配置定额，逐人核定编制，公用经费分类分档，按定额编制；根据“总量控制、计划管理”的要求从严控制行政经费，压缩公务费开支，严格控制“三公”经费，资产的配置严格政府采购，按照预算科目和项目资金的规定使用财政资金，保障部门整体支出的规范化、制度化。</w:t>
      </w:r>
    </w:p>
    <w:p w14:paraId="3651CE9F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执行资金预算化管理，积极推进部门整体支出、项目支出绩效管理。财务股负责组织、协调各部门预算绩效管理；各部门组织编制部门预算和绩效目标，对项目绩效目标完成情况进行总结分析，撰写绩效报告送财务股；根据绩效评价结果改进预算绩效管理，通过资金预算编制、调整、执行、控制、绩效评价，增强政府资金投入、产出效能，提高财政资金使用效益。</w:t>
      </w:r>
    </w:p>
    <w:p w14:paraId="0BF26742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3、成立了单位内部控制领导小组，由一把手直接领导。建立了单位层面的内控运行制约机制。</w:t>
      </w:r>
    </w:p>
    <w:p w14:paraId="5F4744BB">
      <w:pPr>
        <w:numPr>
          <w:ilvl w:val="0"/>
          <w:numId w:val="2"/>
        </w:numPr>
        <w:spacing w:line="6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部门整体支出情况</w:t>
      </w:r>
    </w:p>
    <w:p w14:paraId="1E0DFB78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我单位2023年部门整体支出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135.8</w:t>
      </w:r>
      <w:r>
        <w:rPr>
          <w:rFonts w:hint="eastAsia" w:ascii="仿宋" w:hAnsi="仿宋" w:eastAsia="仿宋"/>
          <w:sz w:val="28"/>
          <w:szCs w:val="28"/>
        </w:rPr>
        <w:t>万元，其中：1</w:t>
      </w:r>
      <w:r>
        <w:rPr>
          <w:rFonts w:hint="eastAsia" w:ascii="仿宋" w:hAnsi="仿宋" w:eastAsia="仿宋"/>
          <w:sz w:val="28"/>
          <w:szCs w:val="28"/>
          <w:lang w:eastAsia="zh-CN"/>
        </w:rPr>
        <w:t>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127</w:t>
      </w:r>
      <w:r>
        <w:rPr>
          <w:rFonts w:hint="eastAsia" w:ascii="仿宋" w:hAnsi="仿宋" w:eastAsia="仿宋"/>
          <w:sz w:val="28"/>
          <w:szCs w:val="28"/>
        </w:rPr>
        <w:t>万元，占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93.52</w:t>
      </w:r>
      <w:r>
        <w:rPr>
          <w:rFonts w:hint="eastAsia" w:ascii="仿宋" w:hAnsi="仿宋" w:eastAsia="仿宋"/>
          <w:sz w:val="28"/>
          <w:szCs w:val="28"/>
        </w:rPr>
        <w:t>%（人员支出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112.05</w:t>
      </w:r>
      <w:r>
        <w:rPr>
          <w:rFonts w:hint="eastAsia" w:ascii="仿宋" w:hAnsi="仿宋" w:eastAsia="仿宋"/>
          <w:sz w:val="28"/>
          <w:szCs w:val="28"/>
        </w:rPr>
        <w:t>万元，占基本支出8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.2%，公用经费支出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14.96</w:t>
      </w:r>
      <w:r>
        <w:rPr>
          <w:rFonts w:hint="eastAsia" w:ascii="仿宋" w:hAnsi="仿宋" w:eastAsia="仿宋"/>
          <w:sz w:val="28"/>
          <w:szCs w:val="28"/>
        </w:rPr>
        <w:t>万元，占基本支出1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.8%）；2、项目支出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8.8</w:t>
      </w:r>
      <w:r>
        <w:rPr>
          <w:rFonts w:hint="eastAsia" w:ascii="仿宋" w:hAnsi="仿宋" w:eastAsia="仿宋"/>
          <w:sz w:val="28"/>
          <w:szCs w:val="28"/>
        </w:rPr>
        <w:t>万元，占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6.48</w:t>
      </w:r>
      <w:r>
        <w:rPr>
          <w:rFonts w:hint="eastAsia" w:ascii="仿宋" w:hAnsi="仿宋" w:eastAsia="仿宋"/>
          <w:sz w:val="28"/>
          <w:szCs w:val="28"/>
        </w:rPr>
        <w:t>%。</w:t>
      </w:r>
    </w:p>
    <w:p w14:paraId="12329087">
      <w:pPr>
        <w:numPr>
          <w:ilvl w:val="0"/>
          <w:numId w:val="2"/>
        </w:numPr>
        <w:spacing w:line="6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固定资产管理情况</w:t>
      </w:r>
    </w:p>
    <w:p w14:paraId="312A4A00">
      <w:pPr>
        <w:spacing w:line="600" w:lineRule="exact"/>
        <w:ind w:firstLine="562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坚持厉行节约、物尽其用的原则，我单位闲置的资产由办公室统一调剂使用，发挥其效益，对不能用的资产，采取了处置后购置，保障资产的安全高效利用。2023年我单位固定资产总值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457.52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 w14:paraId="788DE12B">
      <w:pPr>
        <w:numPr>
          <w:ilvl w:val="0"/>
          <w:numId w:val="2"/>
        </w:numPr>
        <w:spacing w:line="600" w:lineRule="exact"/>
        <w:ind w:firstLine="562" w:firstLineChars="200"/>
        <w:jc w:val="both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整体目标完成情况</w:t>
      </w:r>
    </w:p>
    <w:p w14:paraId="52008453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我单位工作开展情况及主要事业成效：</w:t>
      </w:r>
    </w:p>
    <w:p w14:paraId="0D890B53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1、强化措施，全力保障了防汛抗灾工作，</w:t>
      </w:r>
    </w:p>
    <w:p w14:paraId="146F1A95">
      <w:pPr>
        <w:spacing w:line="600" w:lineRule="exact"/>
        <w:ind w:firstLine="840" w:firstLineChars="3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全年无水库在设计暴雨洪水内溃坝，有效保障了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座中型水库防汛监管；无堤垸在保证洪水内溃堤，无重大工程事件无重大水污染事件。</w:t>
      </w:r>
    </w:p>
    <w:p w14:paraId="79010364">
      <w:pPr>
        <w:spacing w:line="600" w:lineRule="exact"/>
        <w:ind w:firstLine="562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2、是强化管理，全力确保项目建设工作</w:t>
      </w:r>
    </w:p>
    <w:p w14:paraId="0B162CE5">
      <w:pPr>
        <w:spacing w:line="600" w:lineRule="exact"/>
        <w:ind w:firstLine="562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年推进河湖面貌根本好转，加强水土保持、水资源管理保护执法队伍的建设。认真践行节水优先，空间均衡，系统治理，两手发力，持续加大河湖管护和治理力度，推进河湖面貌根本好转，守护好一江碧水，建设更高品质生态文化活力汨罗，保障汨罗</w:t>
      </w:r>
      <w:r>
        <w:rPr>
          <w:rFonts w:hint="eastAsia" w:ascii="仿宋" w:hAnsi="仿宋" w:eastAsia="仿宋"/>
          <w:sz w:val="28"/>
          <w:szCs w:val="28"/>
          <w:lang w:eastAsia="zh-CN"/>
        </w:rPr>
        <w:t>水库</w:t>
      </w:r>
      <w:r>
        <w:rPr>
          <w:rFonts w:hint="eastAsia" w:ascii="仿宋" w:hAnsi="仿宋" w:eastAsia="仿宋"/>
          <w:sz w:val="28"/>
          <w:szCs w:val="28"/>
        </w:rPr>
        <w:t>的管理运行及维护，解决</w:t>
      </w:r>
      <w:r>
        <w:rPr>
          <w:rFonts w:hint="eastAsia" w:ascii="仿宋" w:hAnsi="仿宋" w:eastAsia="仿宋"/>
          <w:sz w:val="28"/>
          <w:szCs w:val="28"/>
          <w:lang w:eastAsia="zh-CN"/>
        </w:rPr>
        <w:t>周边乡镇安全用水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保证农田灌溉</w:t>
      </w:r>
      <w:r>
        <w:rPr>
          <w:rFonts w:hint="eastAsia" w:ascii="仿宋" w:hAnsi="仿宋" w:eastAsia="仿宋"/>
          <w:sz w:val="28"/>
          <w:szCs w:val="28"/>
        </w:rPr>
        <w:t>，确保我市安全度汛。</w:t>
      </w:r>
    </w:p>
    <w:p w14:paraId="1AA0D1DC">
      <w:pPr>
        <w:spacing w:line="6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</w:p>
    <w:p w14:paraId="4D33A17F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七、存在的问题及原因分析</w:t>
      </w:r>
    </w:p>
    <w:p w14:paraId="7694F547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部门整体支出相比专项支出而言，社</w:t>
      </w:r>
      <w:r>
        <w:rPr>
          <w:rFonts w:hint="eastAsia" w:ascii="仿宋" w:hAnsi="仿宋" w:eastAsia="仿宋"/>
          <w:sz w:val="28"/>
          <w:szCs w:val="28"/>
        </w:rPr>
        <w:t>会效益较好，经济效益不明显。业务工作分项需更加清晰，不能很好的对比支出与成果，投入与产出效果，很难针对性的发现问题，分析问题，提出解决方案。</w:t>
      </w:r>
    </w:p>
    <w:p w14:paraId="1D9664DE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1、年初预算整体制包含本级预算，上级预算资金无法预知，年初预算与年终决算数据差距较大。</w:t>
      </w:r>
    </w:p>
    <w:p w14:paraId="24823031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2、部门整体支出相比专项支出而言，社会效益好，经济效益不明显。</w:t>
      </w:r>
    </w:p>
    <w:p w14:paraId="7D198D88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3、业务工作分项不清晰，不能很好的对比支出与成果，投入与产出效果，很难针对性的发现问题，分析问题，提出解决方案。</w:t>
      </w:r>
    </w:p>
    <w:p w14:paraId="6438EC23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4、专项资金拨付的时间与项目实施的进度存在时间差异，专项已启动，但上级资金不能拨付到位。</w:t>
      </w:r>
    </w:p>
    <w:p w14:paraId="121AE527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5、为确保项目工程质量，我局管理方收取一定的合同履约及工程师质量保证金，并且由于工程的进度不一致，导致专项资金拨付偏迟。</w:t>
      </w:r>
    </w:p>
    <w:p w14:paraId="352D1223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6、某些项目受地方干扰及政策影响较大，导致进度较慢。</w:t>
      </w:r>
    </w:p>
    <w:p w14:paraId="64D09216">
      <w:pPr>
        <w:spacing w:line="600" w:lineRule="exact"/>
        <w:ind w:firstLine="562" w:firstLineChars="200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八、下一步改进措施</w:t>
      </w:r>
    </w:p>
    <w:p w14:paraId="358306F0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1、学习如何科学合理制定绩效目标及考核体系，充分发挥绩效工作效用。</w:t>
      </w:r>
    </w:p>
    <w:p w14:paraId="078E1518">
      <w:pPr>
        <w:spacing w:line="6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2、对于能细分、归总的业务工作，效仿专项支出进行管理以便更好的进行绩效评价，发现不足，提出改进。</w:t>
      </w:r>
    </w:p>
    <w:p w14:paraId="37ACA1CA">
      <w:p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E2B087D">
      <w:pPr>
        <w:spacing w:line="600" w:lineRule="exact"/>
        <w:ind w:firstLine="560" w:firstLineChars="200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部门整体支出绩效自评结果按照上级要求统一公开到相关网站。</w:t>
      </w:r>
    </w:p>
    <w:p w14:paraId="03E13B94">
      <w:pPr>
        <w:numPr>
          <w:ilvl w:val="0"/>
          <w:numId w:val="3"/>
        </w:num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其他需要说明的情况</w:t>
      </w:r>
    </w:p>
    <w:p w14:paraId="022ABDF1">
      <w:pPr>
        <w:numPr>
          <w:ilvl w:val="0"/>
          <w:numId w:val="0"/>
        </w:numPr>
        <w:spacing w:line="600" w:lineRule="exact"/>
        <w:ind w:firstLine="960" w:firstLineChars="3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无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3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3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3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3C29FD86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0021A428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4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4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4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4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EBF02"/>
    <w:multiLevelType w:val="singleLevel"/>
    <w:tmpl w:val="A7DEBF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10CFAA"/>
    <w:multiLevelType w:val="singleLevel"/>
    <w:tmpl w:val="B910CFAA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13145FD"/>
    <w:multiLevelType w:val="singleLevel"/>
    <w:tmpl w:val="D13145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yNmU0ZTRkODMwN2U4Y2U2YjU2Zjg4YmMwMzVlOTM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8C85F0B"/>
    <w:rsid w:val="2AE00186"/>
    <w:rsid w:val="30110DE2"/>
    <w:rsid w:val="308216BE"/>
    <w:rsid w:val="334E397C"/>
    <w:rsid w:val="34FE1149"/>
    <w:rsid w:val="393126B9"/>
    <w:rsid w:val="3A550786"/>
    <w:rsid w:val="3B7A130F"/>
    <w:rsid w:val="3C416C3B"/>
    <w:rsid w:val="494A1329"/>
    <w:rsid w:val="4F8B6063"/>
    <w:rsid w:val="52FA3F96"/>
    <w:rsid w:val="55850F17"/>
    <w:rsid w:val="57AE6D93"/>
    <w:rsid w:val="5FB623A7"/>
    <w:rsid w:val="640B1CE3"/>
    <w:rsid w:val="66C76F9C"/>
    <w:rsid w:val="66D16DBA"/>
    <w:rsid w:val="68072BE0"/>
    <w:rsid w:val="6E3851B0"/>
    <w:rsid w:val="784167CA"/>
    <w:rsid w:val="79B63A8F"/>
    <w:rsid w:val="7C1C1C6D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basedOn w:val="1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3989</Words>
  <Characters>4351</Characters>
  <TotalTime>2</TotalTime>
  <ScaleCrop>false</ScaleCrop>
  <LinksUpToDate>false</LinksUpToDate>
  <CharactersWithSpaces>4471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红叶</cp:lastModifiedBy>
  <cp:lastPrinted>2024-05-21T14:05:00Z</cp:lastPrinted>
  <dcterms:modified xsi:type="dcterms:W3CDTF">2024-10-25T10:50:24Z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88C6042B18D44676B5E2A4FB3C9E3385_13</vt:lpwstr>
  </property>
</Properties>
</file>