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20B89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ind w:firstLine="630" w:firstLineChars="3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lang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59E2C3CD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  <w:bookmarkStart w:id="0" w:name="_GoBack"/>
      <w:bookmarkEnd w:id="0"/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汨罗市桥坪关山水库管理所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630" w:firstLineChars="30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129.41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129.41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210" w:firstLineChars="10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630" w:firstLineChars="30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129.41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129.41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751AEA9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为农村水电发展提供服务.灌溉、发电、供水。</w:t>
            </w:r>
          </w:p>
          <w:p w14:paraId="45EAA10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负责生活、生产经营和生态环境用水的统筹和保障。</w:t>
            </w:r>
          </w:p>
          <w:p w14:paraId="5630C8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负责农村水利工作，组织开展灌排工程建设与改造，负责农村饮水安全工程建设管理工作，指导节水灌溉有关工作。指导农村水利改革创新和社会化服务体系建设，指导农村水能资源开发。对渠道进行维修养护</w:t>
            </w:r>
          </w:p>
        </w:tc>
        <w:tc>
          <w:tcPr>
            <w:tcW w:w="4260" w:type="dxa"/>
            <w:gridSpan w:val="4"/>
            <w:vAlign w:val="center"/>
          </w:tcPr>
          <w:p w14:paraId="633C44C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为农村水电发展提供服务.灌溉、发电、供水。</w:t>
            </w:r>
          </w:p>
          <w:p w14:paraId="6CD5C05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负责生活、生产经营和生态环境用水的统筹和保障。</w:t>
            </w:r>
          </w:p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负责农村水利工作，组织开展灌排工程建设与改造，负责农村饮水安全工程建设管理工作，指导节水灌溉有关工作。指导农村水利改革创新和社会化服务体系建设，指导农村水能资源开发。对渠道进行维修养护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渠道维修养护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4条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4条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无安全事故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20"/>
                <w:lang w:eastAsia="zh-CN"/>
              </w:rPr>
              <w:t>0起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20"/>
                <w:lang w:eastAsia="zh-CN"/>
              </w:rPr>
              <w:t>0起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水电灌溉等工作按时完成率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20"/>
                <w:lang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20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4EC5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94C6C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7EBC3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E73072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32611957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促进经济发展</w:t>
            </w:r>
          </w:p>
        </w:tc>
        <w:tc>
          <w:tcPr>
            <w:tcW w:w="1298" w:type="dxa"/>
            <w:vAlign w:val="center"/>
          </w:tcPr>
          <w:p w14:paraId="078289F3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有所提升</w:t>
            </w:r>
          </w:p>
        </w:tc>
        <w:tc>
          <w:tcPr>
            <w:tcW w:w="1269" w:type="dxa"/>
            <w:vAlign w:val="center"/>
          </w:tcPr>
          <w:p w14:paraId="7A453B8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有所提升</w:t>
            </w:r>
          </w:p>
        </w:tc>
        <w:tc>
          <w:tcPr>
            <w:tcW w:w="699" w:type="dxa"/>
            <w:vAlign w:val="center"/>
          </w:tcPr>
          <w:p w14:paraId="415A3F6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AC58B9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0A34D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4DB10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0D8D4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2404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DE220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提高农民居民健康生活水平，为加快我市新农村建设提供有力保障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提高农民居民健康生活水平，为加快我市新农村建设提供有力保障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提高农民居民健康生活水平，为加快我市新农村建设提供有力保障</w:t>
            </w: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10DC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10F1A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AC029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C66E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14AC289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65E6D137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负责生活、生产经营和生态环境用水的统筹和保障。</w:t>
            </w:r>
          </w:p>
          <w:p w14:paraId="637EF1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负责生活、生产经营和生态环境用水的统筹和保障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负责生活、生产经营和生态环境用水的统筹和保障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F0190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F4912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3DC03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6481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4C250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保护周边生态环境及农作物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保护周边生态环境及农作物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保护周边生态环境及农作物</w:t>
            </w: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群众满意率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67D8AA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D1571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4AA98D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5F318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3D62FDE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3ED4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D4C98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FC22B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97110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760B7D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jc w:val="both"/>
              <w:rPr>
                <w:rFonts w:hint="eastAsia"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预算批复金额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jc w:val="both"/>
              <w:rPr>
                <w:rFonts w:hint="default" w:ascii="仿宋_GB2312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126.17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jc w:val="both"/>
              <w:rPr>
                <w:rFonts w:hint="default" w:ascii="仿宋_GB2312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126.17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210" w:firstLineChars="10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 w:firstLineChars="20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jc w:val="both"/>
              <w:rPr>
                <w:rFonts w:hint="eastAsia"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对社会发展造成的负面影响</w:t>
            </w: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jc w:val="both"/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jc w:val="both"/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699" w:type="dxa"/>
            <w:vAlign w:val="center"/>
          </w:tcPr>
          <w:p w14:paraId="765229A3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012A71B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jc w:val="both"/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对自然和生态环境造成的负面影响</w:t>
            </w: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jc w:val="both"/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jc w:val="both"/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699" w:type="dxa"/>
            <w:vAlign w:val="center"/>
          </w:tcPr>
          <w:p w14:paraId="6C36DE67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B31F2AB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96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29FDDC75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汨罗市桥坪关山水库管理所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部门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(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单位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)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18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hint="eastAsia" w:ascii="Times New Roman" w:hAnsi="Times New Roman" w:eastAsia="宋体" w:cs="Times New Roman"/>
          <w:sz w:val="40"/>
          <w:szCs w:val="40"/>
          <w:lang w:eastAsia="zh-CN"/>
        </w:rPr>
        <w:t>汨罗市桥坪关山水库管理所</w:t>
      </w:r>
      <w:r>
        <w:rPr>
          <w:rFonts w:ascii="Times New Roman" w:hAnsi="Times New Roman" w:eastAsia="Times New Roman" w:cs="Times New Roman"/>
          <w:spacing w:val="75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left="-10" w:leftChars="0" w:firstLine="640" w:firstLineChars="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 w14:paraId="3AA6B47A">
      <w:pPr>
        <w:pStyle w:val="10"/>
        <w:ind w:left="1360" w:firstLine="0" w:firstLineChars="0"/>
        <w:rPr>
          <w:rFonts w:hint="eastAsia" w:cs="宋体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汨罗市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  <w:lang w:eastAsia="zh-CN"/>
        </w:rPr>
        <w:t>桥坪关山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水库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</w:rPr>
        <w:t>管理所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本级，隶属市水利局二级机构，为公益二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  <w:lang w:eastAsia="zh-CN"/>
        </w:rPr>
        <w:t>类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事业单位，并为财政差额拨款单位。在编在岗职工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  <w:lang w:val="en-US" w:eastAsia="zh-CN"/>
        </w:rPr>
        <w:t>24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人，退休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  <w:lang w:val="en-US" w:eastAsia="zh-CN"/>
        </w:rPr>
        <w:t>37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人。</w:t>
      </w:r>
    </w:p>
    <w:p w14:paraId="5494762A">
      <w:pPr>
        <w:pStyle w:val="5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cs="Arial" w:asciiTheme="minorEastAsia" w:hAnsiTheme="minorEastAsia" w:eastAsiaTheme="minorEastAsia"/>
          <w:snapToGrid w:val="0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snapToGrid w:val="0"/>
          <w:sz w:val="32"/>
          <w:szCs w:val="32"/>
        </w:rPr>
        <w:t>职能职责</w:t>
      </w:r>
    </w:p>
    <w:p w14:paraId="151AAFF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color w:val="555555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cs="Arial" w:asciiTheme="minorEastAsia" w:hAnsiTheme="minorEastAsia" w:eastAsiaTheme="minorEastAsia"/>
          <w:snapToGrid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555555"/>
          <w:kern w:val="0"/>
          <w:sz w:val="28"/>
          <w:szCs w:val="28"/>
          <w:shd w:val="clear" w:color="auto" w:fill="FFFFFF"/>
          <w:lang w:val="en-US" w:eastAsia="zh-CN" w:bidi="ar-SA"/>
        </w:rPr>
        <w:t>1、为农村水电发展提供服务.灌溉、发电、供水。</w:t>
      </w:r>
    </w:p>
    <w:p w14:paraId="074C07A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555555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555555"/>
          <w:kern w:val="0"/>
          <w:sz w:val="28"/>
          <w:szCs w:val="28"/>
          <w:shd w:val="clear" w:color="auto" w:fill="FFFFFF"/>
          <w:lang w:val="en-US" w:eastAsia="zh-CN" w:bidi="ar-SA"/>
        </w:rPr>
        <w:t>2、负责生活、生产经营和生态环境用水的统筹和保障。</w:t>
      </w:r>
    </w:p>
    <w:p w14:paraId="59DD4B7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555555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555555"/>
          <w:kern w:val="0"/>
          <w:sz w:val="28"/>
          <w:szCs w:val="28"/>
          <w:shd w:val="clear" w:color="auto" w:fill="FFFFFF"/>
          <w:lang w:val="en-US" w:eastAsia="zh-CN" w:bidi="ar-SA"/>
        </w:rPr>
        <w:t>3、指导水资源保护工作，组织编制实施水资源保护规划，指导饮用水水源保护有关工作，指导地下水开发利用、地下水资源管理保护。</w:t>
      </w:r>
    </w:p>
    <w:p w14:paraId="2F463BE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555555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555555"/>
          <w:kern w:val="0"/>
          <w:sz w:val="28"/>
          <w:szCs w:val="28"/>
          <w:shd w:val="clear" w:color="auto" w:fill="FFFFFF"/>
          <w:lang w:val="en-US" w:eastAsia="zh-CN" w:bidi="ar-SA"/>
        </w:rPr>
        <w:t>4、负责节约用水工作，拟定节约用水办公，组织编制节约用水规划并监督实施。组织实施用水总量控制等管理制度，指导和推动节水型社会建设工作。</w:t>
      </w:r>
    </w:p>
    <w:p w14:paraId="3E849C2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555555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555555"/>
          <w:kern w:val="0"/>
          <w:sz w:val="28"/>
          <w:szCs w:val="28"/>
          <w:shd w:val="clear" w:color="auto" w:fill="FFFFFF"/>
          <w:lang w:val="en-US" w:eastAsia="zh-CN" w:bidi="ar-SA"/>
        </w:rPr>
        <w:t>5、负责农村水利工作，组织开展灌排工程建设与改造，负责农村饮水安全工程建设管理工作，指导节水灌溉有关工作。指导农村水利改革创新和社会化服务体系建设，指导农村水能资源开发。</w:t>
      </w:r>
    </w:p>
    <w:p w14:paraId="1EA45C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555555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555555"/>
          <w:kern w:val="0"/>
          <w:sz w:val="28"/>
          <w:szCs w:val="28"/>
          <w:shd w:val="clear" w:color="auto" w:fill="FFFFFF"/>
          <w:lang w:val="en-US" w:eastAsia="zh-CN" w:bidi="ar-SA"/>
        </w:rPr>
        <w:t>6、负责节水灌溉有关工作；</w:t>
      </w:r>
    </w:p>
    <w:p w14:paraId="66C0695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cs="Arial" w:asciiTheme="minorEastAsia" w:hAnsiTheme="minorEastAsia" w:eastAsiaTheme="minorEastAsia"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555555"/>
          <w:kern w:val="0"/>
          <w:sz w:val="28"/>
          <w:szCs w:val="28"/>
          <w:shd w:val="clear" w:color="auto" w:fill="FFFFFF"/>
          <w:lang w:val="en-US" w:eastAsia="zh-CN" w:bidi="ar-SA"/>
        </w:rPr>
        <w:t>7、完成水利局交办的其他任务</w:t>
      </w:r>
    </w:p>
    <w:p w14:paraId="7BD0C97D">
      <w:pPr>
        <w:pStyle w:val="10"/>
        <w:ind w:left="1360" w:firstLine="0" w:firstLineChars="0"/>
        <w:rPr>
          <w:rFonts w:hint="eastAsia" w:cs="宋体" w:asciiTheme="minorEastAsia" w:hAnsiTheme="minorEastAsia" w:eastAsiaTheme="minorEastAsia"/>
          <w:color w:val="auto"/>
          <w:sz w:val="28"/>
          <w:szCs w:val="28"/>
          <w:lang w:val="en-US" w:eastAsia="zh-CN"/>
        </w:rPr>
      </w:pP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 w14:paraId="2B8E5FFE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149C5BB0">
      <w:pPr>
        <w:spacing w:line="600" w:lineRule="exact"/>
        <w:ind w:firstLine="560" w:firstLineChars="200"/>
        <w:jc w:val="both"/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年基本支出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129.41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万元</w:t>
      </w: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,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其中人员支出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129.41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万元</w:t>
      </w: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,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公用支出0万元。</w:t>
      </w:r>
    </w:p>
    <w:p w14:paraId="42AB4F0C">
      <w:pPr>
        <w:spacing w:line="600" w:lineRule="exact"/>
        <w:ind w:firstLine="56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年三公经费年初预算0万元</w:t>
      </w: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,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其中公务接待0万元</w:t>
      </w: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,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公务用车运行维护</w:t>
      </w: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万元</w:t>
      </w: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,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实际支出0万元</w:t>
      </w: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 xml:space="preserve">, 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其中公务接待0万元</w:t>
      </w: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,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公务用车运行维护</w:t>
      </w: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万元。</w:t>
      </w:r>
    </w:p>
    <w:p w14:paraId="00657FCB">
      <w:pPr>
        <w:pStyle w:val="10"/>
        <w:numPr>
          <w:ilvl w:val="0"/>
          <w:numId w:val="2"/>
        </w:numPr>
        <w:spacing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169BBB8B">
      <w:pPr>
        <w:pStyle w:val="10"/>
        <w:spacing w:line="600" w:lineRule="exact"/>
        <w:ind w:firstLine="700" w:firstLineChars="250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年无项目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收入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，无项目支出。</w:t>
      </w:r>
    </w:p>
    <w:p w14:paraId="516D3C52">
      <w:pPr>
        <w:numPr>
          <w:ilvl w:val="0"/>
          <w:numId w:val="0"/>
        </w:numPr>
        <w:spacing w:line="600" w:lineRule="exact"/>
        <w:ind w:left="63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三、政府性基金预算支出情况</w:t>
      </w:r>
    </w:p>
    <w:p w14:paraId="46C7C9FC">
      <w:pPr>
        <w:spacing w:line="600" w:lineRule="exact"/>
        <w:ind w:firstLine="560" w:firstLineChars="200"/>
        <w:jc w:val="both"/>
        <w:rPr>
          <w:rFonts w:hint="eastAsia" w:ascii="方正黑体_GBK" w:eastAsia="仿宋"/>
          <w:kern w:val="0"/>
          <w:sz w:val="32"/>
          <w:szCs w:val="32"/>
          <w:lang w:val="en-US" w:eastAsia="zh-CN"/>
        </w:rPr>
      </w:pP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年无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政府性基金预算财政收入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，无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政府性基金预算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支出。</w:t>
      </w:r>
    </w:p>
    <w:p w14:paraId="2A755169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国有资本经营预算支出情况</w:t>
      </w:r>
    </w:p>
    <w:p w14:paraId="5C6BA27E">
      <w:pPr>
        <w:spacing w:line="600" w:lineRule="exact"/>
        <w:ind w:firstLine="560" w:firstLineChars="200"/>
        <w:jc w:val="both"/>
        <w:rPr>
          <w:rFonts w:hint="eastAsia" w:ascii="方正黑体_GBK" w:eastAsia="仿宋"/>
          <w:kern w:val="0"/>
          <w:sz w:val="32"/>
          <w:szCs w:val="32"/>
          <w:lang w:val="en-US" w:eastAsia="zh-CN"/>
        </w:rPr>
      </w:pP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年无国有资本经营预算收入，无国有资本经营预算支出。</w:t>
      </w:r>
    </w:p>
    <w:p w14:paraId="07F1EBC0">
      <w:pPr>
        <w:numPr>
          <w:ilvl w:val="0"/>
          <w:numId w:val="3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 w14:paraId="27A8CF88">
      <w:pPr>
        <w:numPr>
          <w:ilvl w:val="0"/>
          <w:numId w:val="0"/>
        </w:numPr>
        <w:spacing w:line="600" w:lineRule="exact"/>
        <w:ind w:left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年无社会保险基金预算收入，无社会保险基金预算支出。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0B108DA8">
      <w:pPr>
        <w:spacing w:line="600" w:lineRule="exact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根据汨罗市财政局关于开展</w:t>
      </w: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年度部门整体支出绩效自评工作的通知要求，我单位在工作总结和数据收集、整理、汇总、分析、核查等各项工作的基础上，对预算资金使用、管理和效益情况进行自评，形成</w:t>
      </w: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年度整体支出绩效评价报告如下。本部门整体支出管理得到了有效提升，并取得了较好的成效，自我评价分数为96分。</w:t>
      </w:r>
    </w:p>
    <w:p w14:paraId="79F84B76">
      <w:pPr>
        <w:numPr>
          <w:ilvl w:val="0"/>
          <w:numId w:val="4"/>
        </w:numPr>
        <w:spacing w:line="600" w:lineRule="exact"/>
        <w:ind w:left="-10" w:leftChars="0" w:firstLine="640" w:firstLineChars="0"/>
        <w:jc w:val="both"/>
        <w:rPr>
          <w:rFonts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部门整体支出管理</w:t>
      </w:r>
    </w:p>
    <w:p w14:paraId="268F547B">
      <w:pPr>
        <w:numPr>
          <w:ilvl w:val="0"/>
          <w:numId w:val="5"/>
        </w:numPr>
        <w:spacing w:line="600" w:lineRule="exact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严格预算支出管理。在支出预算编制上，人员经费按照配置定额，逐人核定编制。按照预算科目的规定使用财政资金，保障部门整体支出的规范化、制度化。</w:t>
      </w:r>
    </w:p>
    <w:p w14:paraId="5C19DDA8">
      <w:pPr>
        <w:spacing w:line="600" w:lineRule="exact"/>
        <w:ind w:firstLine="560" w:firstLineChars="200"/>
        <w:jc w:val="both"/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2、执行资金预算化管理，积极推进部门整体支出绩效管理。负责组织、协调各部门预算绩效管理；各部门组织编制部门预算和绩效目标，对项目绩效目标完成情况进行总结分析，撰写绩效报告送计财股；根据绩效评价结果改进预算绩效管理，通过资金预算编制、调整、执行、控制、绩效评价，增强政府资金投入、产出效能，提高财政资金使用效益。</w:t>
      </w:r>
    </w:p>
    <w:p w14:paraId="4FE10A05">
      <w:pPr>
        <w:numPr>
          <w:ilvl w:val="0"/>
          <w:numId w:val="4"/>
        </w:numPr>
        <w:spacing w:line="600" w:lineRule="exact"/>
        <w:ind w:left="-10" w:leftChars="0" w:firstLine="640" w:firstLineChars="0"/>
        <w:jc w:val="both"/>
        <w:rPr>
          <w:rFonts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部门整体支出情况</w:t>
      </w:r>
    </w:p>
    <w:p w14:paraId="31E9E31D">
      <w:pPr>
        <w:spacing w:line="600" w:lineRule="exact"/>
        <w:ind w:firstLine="560" w:firstLineChars="200"/>
        <w:jc w:val="both"/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我单位202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年部门整体支出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129.41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万元，其中：1、基本支出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129.41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万元，占总支出100%（人员支出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129.41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万元，占基本支出100%，）；2、项目支出0万元，占总支出0%。</w:t>
      </w:r>
    </w:p>
    <w:p w14:paraId="0D1E20AF">
      <w:pPr>
        <w:numPr>
          <w:ilvl w:val="0"/>
          <w:numId w:val="4"/>
        </w:numPr>
        <w:spacing w:line="600" w:lineRule="exact"/>
        <w:ind w:left="-10" w:leftChars="0" w:firstLine="640" w:firstLineChars="0"/>
        <w:jc w:val="both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整体目标完成情况</w:t>
      </w:r>
    </w:p>
    <w:p w14:paraId="2D699875">
      <w:pPr>
        <w:spacing w:line="600" w:lineRule="exact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年预算总收入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129.41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万元，总支出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129.41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万元，其中基本支出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129.41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万元</w:t>
      </w: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,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项目支出0万元，无收支结余。</w:t>
      </w:r>
    </w:p>
    <w:p w14:paraId="47E9D5F8">
      <w:pPr>
        <w:spacing w:line="600" w:lineRule="exact"/>
        <w:ind w:firstLine="560" w:firstLineChars="200"/>
        <w:jc w:val="both"/>
        <w:rPr>
          <w:rFonts w:hint="default" w:asciiTheme="minorEastAsia" w:hAnsiTheme="minorEastAsia" w:eastAsiaTheme="minorEastAsia"/>
          <w:color w:val="auto"/>
          <w:sz w:val="28"/>
          <w:szCs w:val="28"/>
          <w:lang w:val="en-US" w:eastAsia="zh-CN"/>
        </w:rPr>
      </w:pP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完成桥坪关山水库防汛抗旱指挥部日常工作。指挥部备用、应急处险物资储备，确保安全度汛。完成川山坪镇农田灌溉、发电、供水等工作。认真践行节水优先，空间均衡，系统治理，两手发力，持续加大水库管护和治理力度，推进水库面貌根本好转，守护好一江碧水。</w:t>
      </w:r>
    </w:p>
    <w:p w14:paraId="76855093">
      <w:pPr>
        <w:spacing w:line="600" w:lineRule="exact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</w:p>
    <w:p w14:paraId="32B25370">
      <w:pPr>
        <w:numPr>
          <w:ilvl w:val="0"/>
          <w:numId w:val="0"/>
        </w:numPr>
        <w:spacing w:line="600" w:lineRule="exact"/>
        <w:ind w:left="630" w:leftChars="0"/>
        <w:jc w:val="both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335941A1">
      <w:pPr>
        <w:spacing w:line="600" w:lineRule="exact"/>
        <w:ind w:firstLine="560" w:firstLineChars="200"/>
        <w:jc w:val="both"/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部门整体支出相比而言，社会效益较好，经济效益不明显。业务工作分项需更加清晰，不能很好的对比支出与成果，投入与产出效果，今儿很难针对性的发现问题，分析问题，提出解决方案。</w:t>
      </w:r>
    </w:p>
    <w:p w14:paraId="2512DF4F">
      <w:pPr>
        <w:spacing w:line="600" w:lineRule="exact"/>
        <w:ind w:firstLine="560" w:firstLineChars="200"/>
        <w:jc w:val="both"/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1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、年初预算整体只包含本级预算，上级预算资金无法预知，年初预算与年终决算数据差距较大。</w:t>
      </w:r>
    </w:p>
    <w:p w14:paraId="46935A94">
      <w:pPr>
        <w:spacing w:line="600" w:lineRule="exact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、业务工作分项不清晰，不能很好的对比支出与成果，投入与产出效果，很难针对性的发现问题，分析问题，提出解决方案。</w:t>
      </w:r>
    </w:p>
    <w:p w14:paraId="21E6073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15C5474E">
      <w:pPr>
        <w:spacing w:line="600" w:lineRule="exact"/>
        <w:ind w:firstLine="560" w:firstLineChars="200"/>
        <w:jc w:val="both"/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1、学习如何科学合理制定绩效目标及考核体系，充分发挥绩效工作效用。</w:t>
      </w:r>
    </w:p>
    <w:p w14:paraId="0A5248C8">
      <w:pPr>
        <w:spacing w:line="600" w:lineRule="exact"/>
        <w:ind w:firstLine="560" w:firstLineChars="200"/>
        <w:jc w:val="both"/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2、对于能细分、归总的业务工作，效仿专项支出进行管理，一遍更好的进行绩效评价，发现不足，提出改进。</w:t>
      </w:r>
    </w:p>
    <w:p w14:paraId="42D4F912">
      <w:pPr>
        <w:spacing w:line="600" w:lineRule="exact"/>
        <w:ind w:firstLine="56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3、财务上，会计核算要更加详细，为本单位各项工作的开展、总结、评估提供有效数据资料支撑，为各项业务工作更好的开展提供帮助。</w:t>
      </w:r>
    </w:p>
    <w:p w14:paraId="37ACA1C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1CEA0AB1">
      <w:pPr>
        <w:spacing w:line="600" w:lineRule="exact"/>
        <w:ind w:firstLine="56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部门整体支出绩效自评结果按照上级要求统一公开到相关网站。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 w14:paraId="0F7D610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41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( 单</w:t>
      </w:r>
      <w:r>
        <w:rPr>
          <w:spacing w:val="-19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位</w:t>
      </w:r>
      <w:r>
        <w:rPr>
          <w:spacing w:val="-43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203143DF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0021A428">
      <w:pPr>
        <w:spacing w:before="190" w:line="227" w:lineRule="auto"/>
        <w:ind w:left="3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71B21C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EBF02"/>
    <w:multiLevelType w:val="singleLevel"/>
    <w:tmpl w:val="A7DEBF02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AE6D89F1"/>
    <w:multiLevelType w:val="singleLevel"/>
    <w:tmpl w:val="AE6D89F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14C132B"/>
    <w:multiLevelType w:val="singleLevel"/>
    <w:tmpl w:val="B14C132B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3">
    <w:nsid w:val="DBAB3D76"/>
    <w:multiLevelType w:val="singleLevel"/>
    <w:tmpl w:val="DBAB3D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8F0164D"/>
    <w:multiLevelType w:val="singleLevel"/>
    <w:tmpl w:val="F8F016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QyNmU0ZTRkODMwN2U4Y2U2YjU2Zjg4YmMwMzVlOTMifQ=="/>
  </w:docVars>
  <w:rsids>
    <w:rsidRoot w:val="00000000"/>
    <w:rsid w:val="01AF3811"/>
    <w:rsid w:val="03795BF7"/>
    <w:rsid w:val="07312529"/>
    <w:rsid w:val="086E756B"/>
    <w:rsid w:val="0ACF37E5"/>
    <w:rsid w:val="0B400BC6"/>
    <w:rsid w:val="0E68228D"/>
    <w:rsid w:val="15276E52"/>
    <w:rsid w:val="174A21FA"/>
    <w:rsid w:val="19D32FBC"/>
    <w:rsid w:val="1E6A4395"/>
    <w:rsid w:val="25557A3D"/>
    <w:rsid w:val="26EA5ED7"/>
    <w:rsid w:val="27A93B82"/>
    <w:rsid w:val="280454E4"/>
    <w:rsid w:val="2AE00186"/>
    <w:rsid w:val="308216BE"/>
    <w:rsid w:val="34FE1149"/>
    <w:rsid w:val="3A550786"/>
    <w:rsid w:val="3B7A130F"/>
    <w:rsid w:val="4A79304B"/>
    <w:rsid w:val="4F8B6063"/>
    <w:rsid w:val="52FA3F96"/>
    <w:rsid w:val="55850F17"/>
    <w:rsid w:val="57AE6D93"/>
    <w:rsid w:val="5FB623A7"/>
    <w:rsid w:val="6E3851B0"/>
    <w:rsid w:val="788842AE"/>
    <w:rsid w:val="7E83025A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 w:val="0"/>
      <w:kinsoku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Calibri" w:hAnsi="Calibri" w:eastAsia="宋体" w:cs="Times New Roman"/>
      <w:snapToGrid/>
      <w:color w:val="auto"/>
      <w:sz w:val="24"/>
      <w:szCs w:val="24"/>
      <w:lang w:eastAsia="zh-CN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360</Words>
  <Characters>393</Characters>
  <TotalTime>10</TotalTime>
  <ScaleCrop>false</ScaleCrop>
  <LinksUpToDate>false</LinksUpToDate>
  <CharactersWithSpaces>439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游思</cp:lastModifiedBy>
  <cp:lastPrinted>2024-05-21T14:05:00Z</cp:lastPrinted>
  <dcterms:modified xsi:type="dcterms:W3CDTF">2025-06-30T08:54:37Z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2052-12.1.0.19302</vt:lpwstr>
  </property>
  <property fmtid="{D5CDD505-2E9C-101B-9397-08002B2CF9AE}" pid="6" name="ICV">
    <vt:lpwstr>39D027C0225E4289ADAEC3E980E2D0D6_13</vt:lpwstr>
  </property>
</Properties>
</file>