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52</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2.83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2.83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12212.26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3187</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15113.27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2743.8</w:t>
            </w:r>
          </w:p>
        </w:tc>
        <w:tc>
          <w:tcPr>
            <w:tcW w:w="2039"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3187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3166.67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敬老院运转及照料</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530</w:t>
            </w: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民政系统其它专项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困难残疾人生活补贴和重度残疾人护理</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基本养老服务补贴</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83.8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孤儿生活费（含未成年人保护资金）</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百岁老人保健费</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殡葬改革</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spacing w:line="240" w:lineRule="auto"/>
              <w:ind w:firstLine="420" w:firstLineChars="2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农村特困供养、城市居民最低生活保障金、农村居民最低生活保障金、临时救助金</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1600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pPr>
              <w:tabs>
                <w:tab w:val="left" w:pos="960"/>
              </w:tabs>
              <w:spacing w:line="240" w:lineRule="auto"/>
              <w:ind w:firstLine="420" w:firstLineChars="2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慈善总会专项及抗战老兵补助</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162.34</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95.30</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155.76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17.57</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6.76</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55.57</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14.56</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pPr>
              <w:tabs>
                <w:tab w:val="left" w:pos="983"/>
              </w:tabs>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5.2</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300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spacing w:line="240" w:lineRule="auto"/>
              <w:ind w:firstLine="420"/>
              <w:jc w:val="center"/>
              <w:rPr>
                <w:rFonts w:ascii="仿宋_GB2312" w:eastAsia="仿宋_GB2312"/>
                <w:kern w:val="0"/>
                <w:lang w:val="en-US" w:eastAsia="en-US"/>
              </w:rPr>
            </w:pPr>
          </w:p>
        </w:tc>
        <w:tc>
          <w:tcPr>
            <w:tcW w:w="958" w:type="dxa"/>
            <w:vAlign w:val="center"/>
          </w:tcPr>
          <w:p>
            <w:pPr>
              <w:spacing w:line="240" w:lineRule="auto"/>
              <w:ind w:firstLine="420"/>
              <w:jc w:val="center"/>
              <w:rPr>
                <w:rFonts w:ascii="仿宋_GB2312" w:eastAsia="仿宋_GB2312"/>
                <w:kern w:val="0"/>
                <w:lang w:val="en-US" w:eastAsia="en-US"/>
              </w:rPr>
            </w:pPr>
          </w:p>
        </w:tc>
        <w:tc>
          <w:tcPr>
            <w:tcW w:w="960" w:type="dxa"/>
            <w:vAlign w:val="center"/>
          </w:tcPr>
          <w:p>
            <w:pPr>
              <w:spacing w:line="240" w:lineRule="auto"/>
              <w:ind w:firstLine="420"/>
              <w:jc w:val="center"/>
              <w:rPr>
                <w:rFonts w:ascii="仿宋_GB2312" w:eastAsia="仿宋_GB2312"/>
                <w:kern w:val="0"/>
                <w:lang w:val="en-US" w:eastAsia="en-US"/>
              </w:rPr>
            </w:pPr>
          </w:p>
        </w:tc>
        <w:tc>
          <w:tcPr>
            <w:tcW w:w="1079" w:type="dxa"/>
            <w:vAlign w:val="center"/>
          </w:tcPr>
          <w:p>
            <w:pPr>
              <w:spacing w:line="240" w:lineRule="auto"/>
              <w:ind w:firstLine="420"/>
              <w:jc w:val="center"/>
              <w:rPr>
                <w:rFonts w:ascii="仿宋_GB2312" w:eastAsia="仿宋_GB2312"/>
                <w:kern w:val="0"/>
                <w:lang w:val="en-US" w:eastAsia="en-US"/>
              </w:rPr>
            </w:pPr>
          </w:p>
        </w:tc>
        <w:tc>
          <w:tcPr>
            <w:tcW w:w="1039" w:type="dxa"/>
            <w:vAlign w:val="center"/>
          </w:tcPr>
          <w:p>
            <w:pPr>
              <w:spacing w:line="240" w:lineRule="auto"/>
              <w:ind w:firstLine="420"/>
              <w:jc w:val="center"/>
              <w:rPr>
                <w:rFonts w:ascii="仿宋_GB2312" w:eastAsia="仿宋_GB2312"/>
                <w:kern w:val="0"/>
                <w:lang w:val="en-US" w:eastAsia="en-US"/>
              </w:rPr>
            </w:pPr>
          </w:p>
        </w:tc>
        <w:tc>
          <w:tcPr>
            <w:tcW w:w="944" w:type="dxa"/>
            <w:vAlign w:val="center"/>
          </w:tcPr>
          <w:p>
            <w:pPr>
              <w:spacing w:line="240" w:lineRule="auto"/>
              <w:ind w:firstLine="420"/>
              <w:jc w:val="center"/>
              <w:rPr>
                <w:rFonts w:ascii="仿宋_GB2312" w:eastAsia="仿宋_GB2312"/>
                <w:kern w:val="0"/>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1.规范日常办公支出：严格差旅审批，严控办公用品等日常支出。</w:t>
            </w:r>
          </w:p>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2.减少公务接待：合理安排和减少不必要的接待活动，简化接待程序和标准，避免铺张浪费和过度消费。</w:t>
            </w:r>
          </w:p>
          <w:p>
            <w:pPr>
              <w:spacing w:line="240" w:lineRule="auto"/>
              <w:ind w:firstLine="420"/>
              <w:jc w:val="center"/>
              <w:rPr>
                <w:rFonts w:ascii="仿宋_GB2312" w:eastAsia="仿宋_GB2312"/>
                <w:kern w:val="0"/>
                <w:lang w:val="en-US" w:eastAsia="en-US"/>
              </w:rPr>
            </w:pPr>
            <w:r>
              <w:rPr>
                <w:rFonts w:hint="eastAsia" w:ascii="仿宋_GB2312" w:eastAsia="仿宋_GB2312"/>
                <w:kern w:val="0"/>
                <w:lang w:val="en-US" w:eastAsia="zh-CN"/>
              </w:rPr>
              <w:t>3.强化节能减排：节约用水用电，合理安排工作时间，避免再无人时开启电脑电器设备。</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574"/>
        <w:gridCol w:w="1562"/>
        <w:gridCol w:w="625"/>
        <w:gridCol w:w="875"/>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汨罗市民政局 （本级）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74"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62"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2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7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922"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3878.87</w:t>
            </w:r>
          </w:p>
        </w:tc>
        <w:tc>
          <w:tcPr>
            <w:tcW w:w="1574"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15869.49</w:t>
            </w:r>
          </w:p>
        </w:tc>
        <w:tc>
          <w:tcPr>
            <w:tcW w:w="1562"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15869.49</w:t>
            </w:r>
          </w:p>
        </w:tc>
        <w:tc>
          <w:tcPr>
            <w:tcW w:w="625"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75"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922"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984"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其中：一般公共预算：15354.64</w:t>
            </w:r>
          </w:p>
        </w:tc>
        <w:tc>
          <w:tcPr>
            <w:tcW w:w="3984" w:type="dxa"/>
            <w:gridSpan w:val="4"/>
            <w:vAlign w:val="center"/>
          </w:tcPr>
          <w:p>
            <w:pPr>
              <w:tabs>
                <w:tab w:val="center" w:pos="2125"/>
              </w:tabs>
              <w:spacing w:line="240" w:lineRule="auto"/>
              <w:ind w:firstLine="420"/>
              <w:jc w:val="left"/>
              <w:rPr>
                <w:rFonts w:hint="eastAsia" w:ascii="仿宋_GB2312" w:eastAsia="仿宋_GB2312"/>
                <w:kern w:val="0"/>
                <w:lang w:eastAsia="zh-CN"/>
              </w:rPr>
            </w:pPr>
            <w:r>
              <w:rPr>
                <w:rFonts w:hint="eastAsia" w:ascii="仿宋_GB2312" w:hAnsi="宋体" w:eastAsia="仿宋_GB2312" w:cs="宋体"/>
                <w:kern w:val="0"/>
              </w:rPr>
              <w:t>其中：基本支出：</w:t>
            </w:r>
            <w:r>
              <w:rPr>
                <w:rFonts w:hint="eastAsia" w:ascii="仿宋_GB2312" w:hAnsi="宋体" w:eastAsia="仿宋_GB2312" w:cs="宋体"/>
                <w:kern w:val="0"/>
                <w:lang w:eastAsia="zh-CN"/>
              </w:rPr>
              <w:tab/>
            </w:r>
            <w:r>
              <w:rPr>
                <w:rFonts w:hint="eastAsia" w:ascii="仿宋_GB2312" w:hAnsi="宋体" w:eastAsia="仿宋_GB2312" w:cs="宋体"/>
                <w:kern w:val="0"/>
                <w:lang w:eastAsia="zh-CN"/>
              </w:rPr>
              <w:t>756.22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政府性基金拨款：514.85</w:t>
            </w:r>
          </w:p>
        </w:tc>
        <w:tc>
          <w:tcPr>
            <w:tcW w:w="3984"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项目支出：15113.27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1050" w:firstLineChars="500"/>
              <w:jc w:val="left"/>
              <w:rPr>
                <w:rFonts w:hint="default" w:ascii="仿宋_GB2312" w:eastAsia="仿宋_GB2312"/>
                <w:kern w:val="0"/>
                <w:lang w:val="en" w:eastAsia="zh-CN"/>
              </w:rPr>
            </w:pPr>
            <w:r>
              <w:rPr>
                <w:rFonts w:hint="eastAsia" w:ascii="仿宋_GB2312" w:hAnsi="宋体" w:eastAsia="仿宋_GB2312" w:cs="宋体"/>
                <w:kern w:val="0"/>
                <w:lang w:eastAsia="zh-CN"/>
              </w:rPr>
              <w:t>纳入专户管理的非税收入拨款：</w:t>
            </w:r>
            <w:r>
              <w:rPr>
                <w:rFonts w:hint="default" w:ascii="仿宋_GB2312" w:hAnsi="宋体" w:eastAsia="仿宋_GB2312" w:cs="宋体"/>
                <w:kern w:val="0"/>
                <w:lang w:val="en" w:eastAsia="zh-CN"/>
              </w:rPr>
              <w:t>0</w:t>
            </w:r>
          </w:p>
        </w:tc>
        <w:tc>
          <w:tcPr>
            <w:tcW w:w="3984"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921" w:type="dxa"/>
            <w:gridSpan w:val="4"/>
            <w:vAlign w:val="center"/>
          </w:tcPr>
          <w:p>
            <w:pPr>
              <w:spacing w:line="240" w:lineRule="auto"/>
              <w:ind w:firstLine="1050" w:firstLineChars="500"/>
              <w:jc w:val="left"/>
              <w:rPr>
                <w:rFonts w:hint="default" w:ascii="仿宋_GB2312" w:eastAsia="仿宋_GB2312"/>
                <w:kern w:val="0"/>
                <w:lang w:val="en"/>
              </w:rPr>
            </w:pPr>
            <w:r>
              <w:rPr>
                <w:rFonts w:hint="eastAsia" w:ascii="仿宋_GB2312" w:hAnsi="宋体" w:eastAsia="仿宋_GB2312" w:cs="宋体"/>
                <w:kern w:val="0"/>
              </w:rPr>
              <w:t>其他资金：</w:t>
            </w:r>
            <w:r>
              <w:rPr>
                <w:rFonts w:hint="default" w:ascii="仿宋_GB2312" w:hAnsi="宋体" w:eastAsia="仿宋_GB2312" w:cs="宋体"/>
                <w:kern w:val="0"/>
                <w:lang w:val="en"/>
              </w:rPr>
              <w:t>0</w:t>
            </w:r>
          </w:p>
        </w:tc>
        <w:tc>
          <w:tcPr>
            <w:tcW w:w="3984"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921"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984"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921"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1.加强城乡低保资金发放，完成农村特困人员和临时救助资金发放工作；2.将困难残疾人和重度残疾人护理补贴落实到位；3.利用留存福彩公益金发展养老服务事业，实行养老资金专款专用，更新养老服务期和管理数据。4.全面落实儿童关爱保护职责，切实维护孤弃、重病、流浪、留守、困境儿童的合法权益，充分发挥民政部门在儿童福利工作中的桥梁纽带作用；</w:t>
            </w:r>
          </w:p>
        </w:tc>
        <w:tc>
          <w:tcPr>
            <w:tcW w:w="3984" w:type="dxa"/>
            <w:gridSpan w:val="4"/>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574"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562"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2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7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922"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人员经费</w:t>
            </w:r>
          </w:p>
        </w:tc>
        <w:tc>
          <w:tcPr>
            <w:tcW w:w="157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756.22万元</w:t>
            </w:r>
          </w:p>
        </w:tc>
        <w:tc>
          <w:tcPr>
            <w:tcW w:w="1562"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756.22万元</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项目经费</w:t>
            </w:r>
          </w:p>
        </w:tc>
        <w:tc>
          <w:tcPr>
            <w:tcW w:w="1574" w:type="dxa"/>
            <w:vAlign w:val="center"/>
          </w:tcPr>
          <w:p>
            <w:pPr>
              <w:spacing w:line="240" w:lineRule="auto"/>
              <w:jc w:val="center"/>
              <w:rPr>
                <w:rFonts w:hint="eastAsia" w:ascii="仿宋_GB2312" w:eastAsia="仿宋_GB2312"/>
                <w:kern w:val="0"/>
                <w:lang w:eastAsia="zh-CN"/>
              </w:rPr>
            </w:pPr>
            <w:r>
              <w:rPr>
                <w:rFonts w:hint="eastAsia" w:ascii="仿宋_GB2312" w:hAnsi="宋体" w:eastAsia="仿宋_GB2312" w:cs="宋体"/>
                <w:kern w:val="0"/>
              </w:rPr>
              <w:t>15113.27</w:t>
            </w:r>
            <w:r>
              <w:rPr>
                <w:rFonts w:hint="eastAsia" w:ascii="仿宋_GB2312" w:hAnsi="宋体" w:eastAsia="仿宋_GB2312" w:cs="宋体"/>
                <w:kern w:val="0"/>
                <w:lang w:eastAsia="zh-CN"/>
              </w:rPr>
              <w:t>万元</w:t>
            </w:r>
          </w:p>
        </w:tc>
        <w:tc>
          <w:tcPr>
            <w:tcW w:w="1562" w:type="dxa"/>
            <w:vAlign w:val="center"/>
          </w:tcPr>
          <w:p>
            <w:pPr>
              <w:spacing w:line="240" w:lineRule="auto"/>
              <w:jc w:val="center"/>
              <w:rPr>
                <w:rFonts w:hint="eastAsia" w:ascii="仿宋_GB2312" w:eastAsia="仿宋_GB2312"/>
                <w:kern w:val="0"/>
                <w:lang w:eastAsia="zh-CN"/>
              </w:rPr>
            </w:pPr>
            <w:r>
              <w:rPr>
                <w:rFonts w:hint="eastAsia" w:ascii="仿宋_GB2312" w:hAnsi="宋体" w:eastAsia="仿宋_GB2312" w:cs="宋体"/>
                <w:kern w:val="0"/>
              </w:rPr>
              <w:t>15113.27</w:t>
            </w:r>
            <w:r>
              <w:rPr>
                <w:rFonts w:hint="eastAsia" w:ascii="仿宋_GB2312" w:hAnsi="宋体" w:eastAsia="仿宋_GB2312" w:cs="宋体"/>
                <w:kern w:val="0"/>
                <w:lang w:eastAsia="zh-CN"/>
              </w:rPr>
              <w:t>万元</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工作管理</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严格按救助申请审核审批程序规范工作</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严格按救助申请审核审批程序规范工作</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公开公示率</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困难残疾人生活补贴和重度残疾人护理补贴发放时间</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按月发放</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按月发放</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困难群众救助资金发放</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按月发放</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按月发放</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养老服务行业运行状况</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稳定运行</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稳定运行</w:t>
            </w:r>
          </w:p>
        </w:tc>
        <w:tc>
          <w:tcPr>
            <w:tcW w:w="625"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75"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困难群众生活水平情况</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有所提升</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有所提升</w:t>
            </w:r>
          </w:p>
        </w:tc>
        <w:tc>
          <w:tcPr>
            <w:tcW w:w="62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保护环境</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保护环境</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保护环境</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开展救助、帮扶工作解决困难群体生活水平</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进一步提高</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进一步提高</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政策知晓率</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98%</w:t>
            </w:r>
          </w:p>
        </w:tc>
        <w:tc>
          <w:tcPr>
            <w:tcW w:w="62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922" w:type="dxa"/>
            <w:vAlign w:val="center"/>
          </w:tcPr>
          <w:p>
            <w:pPr>
              <w:spacing w:line="240" w:lineRule="auto"/>
              <w:jc w:val="both"/>
              <w:rPr>
                <w:rFonts w:ascii="仿宋_GB2312" w:eastAsia="仿宋_GB2312"/>
                <w:kern w:val="0"/>
              </w:rPr>
            </w:pPr>
            <w:r>
              <w:rPr>
                <w:rFonts w:hint="eastAsia" w:ascii="仿宋_GB2312" w:eastAsia="仿宋_GB2312"/>
                <w:kern w:val="0"/>
              </w:rPr>
              <w:t>存在最新政策有部分群众不知晓的情况，应加大宣传力度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确保资金合法安全，有利于维护社会和谐稳定</w:t>
            </w:r>
          </w:p>
        </w:tc>
        <w:tc>
          <w:tcPr>
            <w:tcW w:w="1574"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62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是否对社会环境有负面影响</w:t>
            </w:r>
          </w:p>
        </w:tc>
        <w:tc>
          <w:tcPr>
            <w:tcW w:w="1574"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562"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rPr>
              <w:t>是否对生态环境有负面影响</w:t>
            </w:r>
          </w:p>
        </w:tc>
        <w:tc>
          <w:tcPr>
            <w:tcW w:w="1574"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562"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62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557"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25"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75"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922"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Autospacing="0" w:afterAutospacing="0" w:line="236" w:lineRule="auto"/>
        <w:textAlignment w:val="baseline"/>
        <w:rPr>
          <w:rFonts w:ascii="仿宋_GB2312" w:hAnsi="宋体" w:eastAsia="仿宋_GB2312" w:cs="宋体"/>
          <w:snapToGrid w:val="0"/>
          <w:color w:val="FF0000"/>
          <w:sz w:val="21"/>
          <w:szCs w:val="21"/>
          <w:lang w:val="en-US" w:eastAsia="zh-CN" w:bidi="ar-SA"/>
        </w:rPr>
      </w:pPr>
    </w:p>
    <w:p>
      <w:pPr>
        <w:kinsoku w:val="0"/>
        <w:autoSpaceDE w:val="0"/>
        <w:autoSpaceDN w:val="0"/>
        <w:adjustRightInd w:val="0"/>
        <w:snapToGrid w:val="0"/>
        <w:spacing w:beforeAutospacing="0" w:afterAutospacing="0"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Autospacing="0"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w:t>
      </w:r>
      <w:bookmarkStart w:id="0" w:name="_GoBack"/>
      <w:bookmarkEnd w:id="0"/>
      <w:r>
        <w:rPr>
          <w:rFonts w:hint="eastAsia" w:ascii="宋体" w:hAnsi="宋体" w:eastAsia="宋体" w:cs="宋体"/>
          <w:bCs/>
          <w:snapToGrid w:val="0"/>
          <w:color w:val="000000"/>
          <w:spacing w:val="-4"/>
          <w:sz w:val="28"/>
          <w:szCs w:val="28"/>
          <w:lang w:val="en-US" w:eastAsia="zh-CN" w:bidi="ar-SA"/>
        </w:rPr>
        <w:t>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困难群众救助资金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1.符合条件对象发放率达到100%</w:t>
            </w:r>
          </w:p>
          <w:p>
            <w:pPr>
              <w:spacing w:line="240" w:lineRule="auto"/>
              <w:jc w:val="both"/>
              <w:rPr>
                <w:rFonts w:ascii="仿宋_GB2312" w:hAnsi="宋体" w:eastAsia="仿宋_GB2312" w:cs="宋体"/>
                <w:kern w:val="0"/>
              </w:rPr>
            </w:pPr>
            <w:r>
              <w:rPr>
                <w:rFonts w:hint="eastAsia" w:ascii="仿宋_GB2312" w:hAnsi="宋体" w:eastAsia="仿宋_GB2312" w:cs="宋体"/>
                <w:kern w:val="0"/>
              </w:rPr>
              <w:t>2.规范城市农村低保政策实施，合理确定保障标准，使城市农村低保对象基本生活得到保障。</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3</w:t>
            </w:r>
            <w:r>
              <w:rPr>
                <w:rFonts w:hint="eastAsia" w:ascii="仿宋_GB2312" w:hAnsi="宋体" w:eastAsia="仿宋_GB2312" w:cs="宋体"/>
                <w:kern w:val="0"/>
              </w:rPr>
              <w:t>年城市低保对象生活补助</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3</w:t>
            </w:r>
            <w:r>
              <w:rPr>
                <w:rFonts w:hint="eastAsia" w:ascii="仿宋_GB2312" w:hAnsi="宋体" w:eastAsia="仿宋_GB2312" w:cs="宋体"/>
                <w:kern w:val="0"/>
              </w:rPr>
              <w:t>年农村低保对象生活补助</w:t>
            </w:r>
          </w:p>
        </w:tc>
        <w:tc>
          <w:tcPr>
            <w:tcW w:w="109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应保尽保</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3</w:t>
            </w:r>
            <w:r>
              <w:rPr>
                <w:rFonts w:hint="eastAsia" w:ascii="仿宋_GB2312" w:hAnsi="宋体" w:eastAsia="仿宋_GB2312" w:cs="宋体"/>
                <w:kern w:val="0"/>
              </w:rPr>
              <w:t>年特困人员供养配套资金生活补助</w:t>
            </w:r>
          </w:p>
        </w:tc>
        <w:tc>
          <w:tcPr>
            <w:tcW w:w="109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应保尽保</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城市低保标准和救助水平</w:t>
            </w:r>
          </w:p>
        </w:tc>
        <w:tc>
          <w:tcPr>
            <w:tcW w:w="109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不低于省级指导标准</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农村低保标准和救助水平</w:t>
            </w:r>
          </w:p>
        </w:tc>
        <w:tc>
          <w:tcPr>
            <w:tcW w:w="109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不低于省级指导标准</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城乡特困人员基本生活费标准</w:t>
            </w:r>
          </w:p>
        </w:tc>
        <w:tc>
          <w:tcPr>
            <w:tcW w:w="109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分别不低于城乡低保标准的1.3倍</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困难群众救助资金</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按时发放</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按时发放</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提高人民生活水平</w:t>
            </w:r>
          </w:p>
        </w:tc>
        <w:tc>
          <w:tcPr>
            <w:tcW w:w="1099" w:type="dxa"/>
            <w:shd w:val="clear" w:color="auto" w:fill="auto"/>
            <w:vAlign w:val="center"/>
          </w:tcPr>
          <w:p>
            <w:pPr>
              <w:tabs>
                <w:tab w:val="left" w:pos="653"/>
              </w:tabs>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提高人民生活水平</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提高人民生活水平</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维护社会稳定</w:t>
            </w:r>
          </w:p>
        </w:tc>
        <w:tc>
          <w:tcPr>
            <w:tcW w:w="1099" w:type="dxa"/>
            <w:shd w:val="clear" w:color="auto" w:fill="auto"/>
            <w:vAlign w:val="center"/>
          </w:tcPr>
          <w:p>
            <w:pPr>
              <w:tabs>
                <w:tab w:val="left" w:pos="218"/>
              </w:tabs>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维护社会稳定</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维护社会稳定</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困难群众对社会救助政策的满意度</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80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是否对社会环境有负面影响</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是否对生态环境有负面影响</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10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80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color w:val="FF000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特困供养人员运转及照料资金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发放特困供养人员运转及照料资金</w:t>
            </w:r>
          </w:p>
        </w:tc>
        <w:tc>
          <w:tcPr>
            <w:tcW w:w="4140"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2023年敬老院运转及照料经费</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530万元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530万元</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2023年敬老院运转及照料资金</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全年发放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全年发放</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全市发放到位率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生态效益指标</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全市共有19所敬老院和96名敬老院工作人员和护理人员</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全市共有19所敬老院和96名敬老院工作人员和护理人员</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全市共有19所敬老院和96名敬老院工作人员和护理人员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80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基本养老服务补贴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78</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78</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76.18</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97.00%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78</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78</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76.18</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符合条件对象发放率达到100%</w:t>
            </w:r>
          </w:p>
        </w:tc>
        <w:tc>
          <w:tcPr>
            <w:tcW w:w="4140"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所有符合条件的老年人</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1060人</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1060人</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2023年基本养老服务补贴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基本养老服务补贴标准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720元/年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720元/年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99.7</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困难残疾人生活补贴和重度残疾人护理补贴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370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2023年我市困难残疾人生活补贴和重度残疾人护理补贴发放标准每人每月分别提高到80元</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2023年重度残疾人护理补贴及困难残疾人生活补贴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370万元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370万元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已申请对象补贴发放率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2023年困难残疾人生活补贴和重度残疾人护理补贴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8</w:t>
            </w:r>
          </w:p>
        </w:tc>
        <w:tc>
          <w:tcPr>
            <w:tcW w:w="138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数据异动大，部分乡镇更新不及时，上报迟缓，导致发放时间拉长或推迟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符合条件并已申报对象发放到位率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改善残疾人生活状况，保障残疾人基本生活权益</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逐步改善</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逐步改善</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减少残疾人负担</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改善残疾人生活环境，维护社会稳定</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对象满意率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困难残疾人生活补贴和重度残疾人护理补贴发放标准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80元/月</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80元/月</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孤儿基本生活费（含未成年人保护资金）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按月发放2023年我市孤儿及事实无人抚养儿童基本生活补贴</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2023年孤儿及事实无人抚养儿童基本生活补贴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142万元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142万元</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已申请对象补贴发放率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2023年孤儿及事实无人抚养儿童基本生活费</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一卡通乡镇银行卡变动较大，部分对象账号变更不及时，导致补贴发放存在推迟情况，建议及时更新一卡通账号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符合条件并已申报对象发放到位率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改善孤儿及事实无人抚养儿童生活状况，保障儿童基本生活</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保护未成年人健康成长</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确保社会稳定</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对象满意率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孤儿基本生活补贴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1100元/月</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1100元/月</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事实无人抚养儿童基本生活补贴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1100元/月(差额发放)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1100元/月(差额发放)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民政系统其它专项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全年民政业务工作经费有所解决</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2023年民政系统其它专项经费</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经费支出合规性</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严格执行相关财经法规、制度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严格执行相关财经法规、制度</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2023年民政系统其它专项资金</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及时发放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及时发放</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弥补工作经费不足</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民政服务对象权益</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持续保障</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持续保障</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经费投入</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是否对社会环境有负面影响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rPr>
              <w:t>否</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12"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殡葬改革惠民补贴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汨罗市殡葬管理所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150</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131.49</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150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150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131.49</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根据市政府办汨政办发（2017）62号《汨罗殡葬改革实施方案》文件精神，对低保、五保和无名尸体等各类对象符合惠民殡葬补贴要求的，按政策给予惠民补助。</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150万元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131.49万元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jc w:val="righ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8.77</w:t>
            </w:r>
          </w:p>
        </w:tc>
        <w:tc>
          <w:tcPr>
            <w:tcW w:w="138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2023年底项目资金存在结余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殡葬惠民政策减轻群众负担</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符合条件申请对象的补助到位率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改善城乡居民丧葬负担</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1383" w:type="dxa"/>
            <w:vAlign w:val="center"/>
          </w:tcPr>
          <w:p>
            <w:pPr>
              <w:spacing w:line="240" w:lineRule="auto"/>
              <w:ind w:firstLine="420"/>
              <w:jc w:val="center"/>
              <w:rPr>
                <w:rFonts w:hint="eastAsia"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促进节地生态安葬，文明祭祀新风尚</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逐步推进</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逐步推进</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维护社会稳定</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对象满意度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遗体接运费：100-300元/具</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遗体接运费：100-300元/具</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72小时遗体冷藏费576元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72小时遗体冷藏费576元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骨灰盒200元/个</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骨灰盒200元/个</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卫生纸棺200元/个</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卫生纸棺200元/个</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spacing w:line="240" w:lineRule="auto"/>
              <w:jc w:val="center"/>
              <w:rPr>
                <w:rFonts w:hint="eastAsia" w:ascii="仿宋_GB2312" w:eastAsia="仿宋_GB2312"/>
                <w:kern w:val="0"/>
                <w:lang w:val="en-US" w:eastAsia="zh-CN"/>
              </w:rPr>
            </w:pPr>
          </w:p>
        </w:tc>
        <w:tc>
          <w:tcPr>
            <w:tcW w:w="1218" w:type="dxa"/>
            <w:vMerge w:val="continue"/>
            <w:vAlign w:val="center"/>
          </w:tcPr>
          <w:p>
            <w:pPr>
              <w:spacing w:line="240" w:lineRule="auto"/>
              <w:jc w:val="center"/>
              <w:rPr>
                <w:rFonts w:hint="eastAsia" w:ascii="仿宋_GB2312" w:eastAsia="仿宋_GB2312"/>
                <w:kern w:val="0"/>
                <w:lang w:eastAsia="zh-CN"/>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2023年惠民殡葬补贴标准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平板火炉遗体火化费430元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平板火炉遗体火化费430元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是否对社会造成负面影响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是否对生态环境造成负面影响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97.47</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仿宋_GB2312" w:hAnsi="宋体" w:eastAsia="仿宋_GB2312" w:cs="宋体"/>
          <w:color w:val="FF0000"/>
          <w:lang w:eastAsia="zh-CN"/>
        </w:rPr>
        <w:sectPr>
          <w:footerReference r:id="rId13"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2024.10.22</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黄鸿鹄</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汨罗市民政局</w:t>
      </w:r>
      <w:r>
        <w:rPr>
          <w:rFonts w:hint="eastAsia" w:ascii="方正小标宋简体" w:hAnsi="宋体" w:eastAsia="方正小标宋简体" w:cs="宋体"/>
          <w:color w:val="auto"/>
          <w:kern w:val="0"/>
          <w:sz w:val="44"/>
          <w:szCs w:val="44"/>
          <w:highlight w:val="none"/>
          <w:lang w:eastAsia="zh-CN"/>
        </w:rPr>
        <w:t>部门整体</w:t>
      </w:r>
      <w:r>
        <w:rPr>
          <w:rFonts w:hint="eastAsia" w:ascii="方正小标宋简体" w:hAnsi="宋体" w:eastAsia="方正小标宋简体" w:cs="宋体"/>
          <w:kern w:val="0"/>
          <w:sz w:val="44"/>
          <w:szCs w:val="44"/>
          <w:highlight w:val="none"/>
          <w:lang w:eastAsia="zh-CN"/>
        </w:rPr>
        <w:t>支</w:t>
      </w:r>
      <w:r>
        <w:rPr>
          <w:rFonts w:hint="eastAsia" w:ascii="方正小标宋简体" w:hAnsi="宋体" w:eastAsia="方正小标宋简体" w:cs="宋体"/>
          <w:kern w:val="0"/>
          <w:sz w:val="44"/>
          <w:szCs w:val="44"/>
          <w:lang w:eastAsia="zh-CN"/>
        </w:rPr>
        <w:t>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lang w:val="en-US" w:eastAsia="zh-CN" w:bidi="ar-SA"/>
        </w:rPr>
        <w:t>：</w:t>
      </w:r>
      <w:r>
        <w:rPr>
          <w:rFonts w:hint="eastAsia" w:ascii="楷体_GB2312" w:hAnsi="仿宋" w:eastAsia="楷体_GB2312" w:cs="仿宋"/>
          <w:b/>
          <w:bCs/>
          <w:i w:val="0"/>
          <w:iCs w:val="0"/>
          <w:snapToGrid w:val="0"/>
          <w:color w:val="000000"/>
          <w:spacing w:val="-28"/>
          <w:sz w:val="32"/>
          <w:szCs w:val="32"/>
          <w:u w:val="single"/>
          <w:lang w:val="en-US" w:eastAsia="zh-CN" w:bidi="ar-SA"/>
        </w:rPr>
        <w:t>汨罗市民政局(</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color w:val="auto"/>
          <w:kern w:val="0"/>
          <w:sz w:val="32"/>
          <w:szCs w:val="32"/>
          <w:lang w:eastAsia="zh-CN"/>
        </w:rPr>
      </w:pPr>
      <w:r>
        <w:rPr>
          <w:rFonts w:hint="eastAsia" w:ascii="楷体_GB2312" w:hAnsi="楷体" w:eastAsia="楷体_GB2312" w:cs="楷体"/>
          <w:b/>
          <w:bCs/>
          <w:color w:val="auto"/>
          <w:spacing w:val="-13"/>
          <w:kern w:val="0"/>
          <w:sz w:val="32"/>
          <w:szCs w:val="32"/>
          <w:lang w:val="en-US" w:eastAsia="zh-CN"/>
        </w:rPr>
        <w:t>2024</w:t>
      </w:r>
      <w:r>
        <w:rPr>
          <w:rFonts w:hint="eastAsia" w:ascii="楷体_GB2312" w:hAnsi="楷体" w:eastAsia="楷体_GB2312" w:cs="楷体"/>
          <w:b/>
          <w:bCs/>
          <w:color w:val="auto"/>
          <w:spacing w:val="-13"/>
          <w:kern w:val="0"/>
          <w:sz w:val="32"/>
          <w:szCs w:val="32"/>
          <w:lang w:eastAsia="zh-CN"/>
        </w:rPr>
        <w:t>年</w:t>
      </w:r>
      <w:r>
        <w:rPr>
          <w:rFonts w:hint="eastAsia" w:ascii="楷体_GB2312" w:hAnsi="楷体" w:eastAsia="楷体_GB2312" w:cs="楷体"/>
          <w:b/>
          <w:bCs/>
          <w:color w:val="auto"/>
          <w:spacing w:val="-13"/>
          <w:kern w:val="0"/>
          <w:sz w:val="32"/>
          <w:szCs w:val="32"/>
          <w:lang w:val="en-US" w:eastAsia="zh-CN"/>
        </w:rPr>
        <w:t>10</w:t>
      </w:r>
      <w:r>
        <w:rPr>
          <w:rFonts w:hint="eastAsia" w:ascii="楷体_GB2312" w:hAnsi="楷体" w:eastAsia="楷体_GB2312" w:cs="楷体"/>
          <w:b/>
          <w:bCs/>
          <w:color w:val="auto"/>
          <w:spacing w:val="-13"/>
          <w:kern w:val="0"/>
          <w:sz w:val="32"/>
          <w:szCs w:val="32"/>
          <w:lang w:eastAsia="zh-CN"/>
        </w:rPr>
        <w:t>月</w:t>
      </w:r>
      <w:r>
        <w:rPr>
          <w:rFonts w:hint="eastAsia" w:ascii="楷体_GB2312" w:hAnsi="楷体" w:eastAsia="楷体_GB2312" w:cs="楷体"/>
          <w:color w:val="auto"/>
          <w:spacing w:val="-13"/>
          <w:kern w:val="0"/>
          <w:sz w:val="32"/>
          <w:szCs w:val="32"/>
          <w:lang w:val="en-US" w:eastAsia="zh-CN"/>
        </w:rPr>
        <w:t>22</w:t>
      </w:r>
      <w:r>
        <w:rPr>
          <w:rFonts w:hint="eastAsia" w:ascii="楷体_GB2312" w:hAnsi="楷体" w:eastAsia="楷体_GB2312" w:cs="楷体"/>
          <w:b/>
          <w:bCs/>
          <w:color w:val="auto"/>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汨罗市民政局</w:t>
      </w:r>
      <w:r>
        <w:rPr>
          <w:rFonts w:ascii="黑体" w:hAnsi="黑体" w:eastAsia="黑体" w:cs="黑体"/>
          <w:color w:val="auto"/>
          <w:spacing w:val="16"/>
          <w:sz w:val="40"/>
          <w:szCs w:val="40"/>
        </w:rPr>
        <w:t>部门整</w:t>
      </w:r>
      <w:r>
        <w:rPr>
          <w:rFonts w:ascii="黑体" w:hAnsi="黑体" w:eastAsia="黑体" w:cs="黑体"/>
          <w:spacing w:val="16"/>
          <w:sz w:val="40"/>
          <w:szCs w:val="40"/>
        </w:rPr>
        <w:t>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部门基本情</w:t>
      </w:r>
      <w:r>
        <w:rPr>
          <w:rFonts w:hint="eastAsia" w:ascii="方正黑体_GBK" w:hAnsi="仿宋" w:eastAsia="方正黑体_GBK" w:cs="仿宋"/>
          <w:snapToGrid w:val="0"/>
          <w:color w:val="000000"/>
          <w:sz w:val="32"/>
          <w:szCs w:val="32"/>
          <w:lang w:val="en-US" w:eastAsia="zh-CN" w:bidi="ar-SA"/>
        </w:rPr>
        <w:t>况</w:t>
      </w:r>
    </w:p>
    <w:p>
      <w:pPr>
        <w:spacing w:line="600" w:lineRule="exact"/>
        <w:ind w:firstLine="640" w:firstLineChars="200"/>
        <w:jc w:val="both"/>
        <w:rPr>
          <w:rFonts w:hint="eastAsia" w:ascii="方正黑体_GBK" w:hAnsi="仿宋" w:eastAsia="方正黑体_GBK" w:cs="仿宋"/>
          <w:snapToGrid w:val="0"/>
          <w:color w:val="000000"/>
          <w:sz w:val="32"/>
          <w:szCs w:val="32"/>
          <w:lang w:val="en-US" w:eastAsia="zh-CN" w:bidi="ar-SA"/>
        </w:rPr>
      </w:pPr>
      <w:r>
        <w:rPr>
          <w:rFonts w:hint="eastAsia" w:eastAsia="仿宋_GB2312"/>
          <w:kern w:val="0"/>
          <w:sz w:val="32"/>
          <w:szCs w:val="32"/>
          <w:lang w:val="en-US" w:eastAsia="zh-CN"/>
        </w:rPr>
        <w:t>本系统共有4个预算单位,民政局机关是负责有关社会行政事务工作的政府职能部门,其余事业单位是: 汨罗市社会福利院、汨罗市殡葬管理所、汨罗市救助管理站。</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w:t>
      </w:r>
      <w:r>
        <w:rPr>
          <w:rFonts w:hint="eastAsia" w:ascii="方正黑体_GBK" w:eastAsia="方正黑体_GBK"/>
          <w:kern w:val="0"/>
          <w:sz w:val="32"/>
          <w:szCs w:val="32"/>
          <w:highlight w:val="none"/>
          <w:lang w:eastAsia="zh-CN"/>
        </w:rPr>
        <w:t>算财政拨款支</w:t>
      </w:r>
      <w:r>
        <w:rPr>
          <w:rFonts w:hint="eastAsia" w:ascii="方正黑体_GBK" w:eastAsia="方正黑体_GBK"/>
          <w:kern w:val="0"/>
          <w:sz w:val="32"/>
          <w:szCs w:val="32"/>
          <w:lang w:eastAsia="zh-CN"/>
        </w:rPr>
        <w:t>出情况</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5"/>
        <w:keepNext w:val="0"/>
        <w:keepLines w:val="0"/>
        <w:widowControl/>
        <w:suppressLineNumbers w:val="0"/>
        <w:spacing w:before="0" w:beforeAutospacing="0" w:after="0" w:afterAutospacing="0" w:line="600" w:lineRule="atLeast"/>
        <w:ind w:left="0" w:right="0" w:firstLine="640"/>
        <w:jc w:val="both"/>
        <w:rPr>
          <w:rFonts w:hint="eastAsia" w:ascii="Times New Roman" w:hAnsi="Times New Roman" w:eastAsia="仿宋_GB2312"/>
          <w:kern w:val="0"/>
          <w:sz w:val="32"/>
          <w:szCs w:val="32"/>
          <w:lang w:eastAsia="zh-CN"/>
        </w:rPr>
      </w:pPr>
      <w:r>
        <w:rPr>
          <w:rFonts w:hint="eastAsia" w:ascii="仿宋" w:hAnsi="仿宋" w:eastAsia="仿宋" w:cs="仿宋"/>
          <w:sz w:val="32"/>
          <w:szCs w:val="32"/>
        </w:rPr>
        <w:t>基本支出系保障我局机关机构正常运转、完成日常工作任务而发生的各项支出，包括用于在职和离退休人员基本工资、津贴补贴等人员经费以及办公费、印刷费、水电费、办公设备购置等日常公用经费。</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年基本支出</w:t>
      </w:r>
      <w:r>
        <w:rPr>
          <w:rFonts w:hint="eastAsia" w:ascii="Times New Roman" w:hAnsi="Times New Roman" w:eastAsia="仿宋" w:cs="Times New Roman"/>
          <w:sz w:val="32"/>
          <w:szCs w:val="32"/>
          <w:lang w:val="en-US" w:eastAsia="zh-CN"/>
        </w:rPr>
        <w:t>756.22</w:t>
      </w:r>
      <w:r>
        <w:rPr>
          <w:rFonts w:hint="eastAsia" w:ascii="仿宋" w:hAnsi="仿宋" w:eastAsia="仿宋" w:cs="仿宋"/>
          <w:sz w:val="32"/>
          <w:szCs w:val="32"/>
        </w:rPr>
        <w:t>万元，较上年减少</w:t>
      </w:r>
      <w:r>
        <w:rPr>
          <w:rFonts w:hint="eastAsia" w:ascii="Times New Roman" w:hAnsi="Times New Roman" w:eastAsia="仿宋" w:cs="Times New Roman"/>
          <w:sz w:val="32"/>
          <w:szCs w:val="32"/>
          <w:lang w:val="en-US" w:eastAsia="zh-CN"/>
        </w:rPr>
        <w:t>46.57</w:t>
      </w:r>
      <w:r>
        <w:rPr>
          <w:rFonts w:hint="eastAsia" w:ascii="仿宋" w:hAnsi="仿宋" w:eastAsia="仿宋" w:cs="仿宋"/>
          <w:sz w:val="32"/>
          <w:szCs w:val="32"/>
        </w:rPr>
        <w:t>万元，下降</w:t>
      </w:r>
      <w:r>
        <w:rPr>
          <w:rFonts w:hint="eastAsia" w:ascii="Times New Roman" w:hAnsi="Times New Roman" w:eastAsia="仿宋" w:cs="Times New Roman"/>
          <w:sz w:val="32"/>
          <w:szCs w:val="32"/>
          <w:lang w:val="en-US" w:eastAsia="zh-CN"/>
        </w:rPr>
        <w:t>6.16</w:t>
      </w:r>
      <w:r>
        <w:rPr>
          <w:rFonts w:hint="default" w:ascii="Times New Roman" w:hAnsi="Times New Roman" w:eastAsia="仿宋" w:cs="Times New Roman"/>
          <w:sz w:val="32"/>
          <w:szCs w:val="32"/>
        </w:rPr>
        <w:t>%</w:t>
      </w:r>
      <w:r>
        <w:rPr>
          <w:rFonts w:hint="eastAsia" w:ascii="仿宋" w:hAnsi="仿宋" w:eastAsia="仿宋" w:cs="仿宋"/>
          <w:sz w:val="32"/>
          <w:szCs w:val="32"/>
        </w:rPr>
        <w:t>。主要原因为</w:t>
      </w:r>
      <w:r>
        <w:rPr>
          <w:rFonts w:hint="default" w:ascii="Times New Roman" w:hAnsi="Times New Roman" w:eastAsia="仿宋" w:cs="Times New Roman"/>
          <w:sz w:val="32"/>
          <w:szCs w:val="32"/>
        </w:rPr>
        <w:t>根据“总量控制、计划管理”的要求从严控制行政经费，压缩公务费开支，严格控制“三公”经费，资产的配置，严格政府采购，按照预算科目和项目资金的规定使用财政资金，保障部门整体支出的规范化、制度化。</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Times New Roman" w:hAnsi="Times New Roman" w:eastAsia="仿宋_GB2312"/>
          <w:kern w:val="0"/>
          <w:sz w:val="32"/>
          <w:szCs w:val="32"/>
          <w:lang w:eastAsia="zh-CN"/>
        </w:rPr>
      </w:pPr>
      <w:r>
        <w:rPr>
          <w:rFonts w:hint="default"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3</w:t>
      </w:r>
      <w:r>
        <w:rPr>
          <w:rFonts w:hint="eastAsia" w:ascii="仿宋" w:hAnsi="仿宋" w:eastAsia="仿宋" w:cs="仿宋"/>
          <w:snapToGrid w:val="0"/>
          <w:color w:val="000000"/>
          <w:kern w:val="0"/>
          <w:sz w:val="32"/>
          <w:szCs w:val="32"/>
          <w:lang w:val="en-US" w:eastAsia="en-US" w:bidi="ar-SA"/>
        </w:rPr>
        <w:t>年预算批复</w:t>
      </w:r>
      <w:r>
        <w:rPr>
          <w:rFonts w:hint="default" w:ascii="仿宋" w:hAnsi="仿宋" w:eastAsia="仿宋" w:cs="仿宋"/>
          <w:snapToGrid w:val="0"/>
          <w:color w:val="000000"/>
          <w:kern w:val="0"/>
          <w:sz w:val="32"/>
          <w:szCs w:val="32"/>
          <w:lang w:val="en-US" w:eastAsia="en-US" w:bidi="ar-SA"/>
        </w:rPr>
        <w:t>9</w:t>
      </w:r>
      <w:r>
        <w:rPr>
          <w:rFonts w:hint="eastAsia" w:ascii="仿宋" w:hAnsi="仿宋" w:eastAsia="仿宋" w:cs="仿宋"/>
          <w:snapToGrid w:val="0"/>
          <w:color w:val="000000"/>
          <w:kern w:val="0"/>
          <w:sz w:val="32"/>
          <w:szCs w:val="32"/>
          <w:lang w:val="en-US" w:eastAsia="en-US" w:bidi="ar-SA"/>
        </w:rPr>
        <w:t>个特定目标类项目，分别为</w:t>
      </w:r>
      <w:r>
        <w:rPr>
          <w:rFonts w:hint="eastAsia" w:ascii="仿宋" w:hAnsi="仿宋" w:eastAsia="仿宋" w:cs="仿宋"/>
          <w:snapToGrid w:val="0"/>
          <w:color w:val="000000"/>
          <w:kern w:val="0"/>
          <w:sz w:val="32"/>
          <w:szCs w:val="32"/>
          <w:lang w:val="en-US" w:eastAsia="zh-CN" w:bidi="ar-SA"/>
        </w:rPr>
        <w:t>农村特困供养、城市居民最低生活保障金、农村居民最低生活保障金、临时救助金1800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孤儿生活费（含未成年人保护资金）142</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困难残疾人生活补贴和重度残疾人护理补贴370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慈善总会专项及抗战老兵补助</w:t>
      </w:r>
      <w:r>
        <w:rPr>
          <w:rFonts w:hint="default" w:ascii="仿宋" w:hAnsi="仿宋" w:eastAsia="仿宋" w:cs="仿宋"/>
          <w:snapToGrid w:val="0"/>
          <w:color w:val="000000"/>
          <w:kern w:val="0"/>
          <w:sz w:val="32"/>
          <w:szCs w:val="32"/>
          <w:lang w:val="en-US" w:eastAsia="en-US" w:bidi="ar-SA"/>
        </w:rPr>
        <w:t>5</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百岁老人保健费12</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基本养老服务补贴78</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敬老院运转及照料530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殡葬改革150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民政系统其它专项10</w:t>
      </w:r>
      <w:r>
        <w:rPr>
          <w:rFonts w:hint="default" w:ascii="仿宋" w:hAnsi="仿宋" w:eastAsia="仿宋" w:cs="仿宋"/>
          <w:snapToGrid w:val="0"/>
          <w:color w:val="000000"/>
          <w:kern w:val="0"/>
          <w:sz w:val="32"/>
          <w:szCs w:val="32"/>
          <w:lang w:val="en-US" w:eastAsia="en-US" w:bidi="ar-SA"/>
        </w:rPr>
        <w:t>0</w:t>
      </w:r>
      <w:r>
        <w:rPr>
          <w:rFonts w:hint="eastAsia" w:ascii="仿宋" w:hAnsi="仿宋" w:eastAsia="仿宋" w:cs="仿宋"/>
          <w:snapToGrid w:val="0"/>
          <w:color w:val="000000"/>
          <w:kern w:val="0"/>
          <w:sz w:val="32"/>
          <w:szCs w:val="32"/>
          <w:lang w:val="en-US" w:eastAsia="en-US" w:bidi="ar-SA"/>
        </w:rPr>
        <w:t>万元，共</w:t>
      </w:r>
      <w:r>
        <w:rPr>
          <w:rFonts w:hint="eastAsia" w:ascii="仿宋" w:hAnsi="仿宋" w:eastAsia="仿宋" w:cs="仿宋"/>
          <w:snapToGrid w:val="0"/>
          <w:color w:val="000000"/>
          <w:kern w:val="0"/>
          <w:sz w:val="32"/>
          <w:szCs w:val="32"/>
          <w:lang w:val="en-US" w:eastAsia="zh-CN" w:bidi="ar-SA"/>
        </w:rPr>
        <w:t>3187</w:t>
      </w:r>
      <w:r>
        <w:rPr>
          <w:rFonts w:hint="eastAsia" w:ascii="仿宋" w:hAnsi="仿宋" w:eastAsia="仿宋" w:cs="仿宋"/>
          <w:snapToGrid w:val="0"/>
          <w:color w:val="000000"/>
          <w:kern w:val="0"/>
          <w:sz w:val="32"/>
          <w:szCs w:val="32"/>
          <w:lang w:val="en-US" w:eastAsia="en-US" w:bidi="ar-SA"/>
        </w:rPr>
        <w:t>万元，</w:t>
      </w:r>
      <w:r>
        <w:rPr>
          <w:rFonts w:hint="default"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3</w:t>
      </w:r>
      <w:r>
        <w:rPr>
          <w:rFonts w:hint="eastAsia" w:ascii="仿宋" w:hAnsi="仿宋" w:eastAsia="仿宋" w:cs="仿宋"/>
          <w:snapToGrid w:val="0"/>
          <w:color w:val="000000"/>
          <w:kern w:val="0"/>
          <w:sz w:val="32"/>
          <w:szCs w:val="32"/>
          <w:lang w:val="en-US" w:eastAsia="en-US" w:bidi="ar-SA"/>
        </w:rPr>
        <w:t>年支出</w:t>
      </w:r>
      <w:r>
        <w:rPr>
          <w:rFonts w:hint="eastAsia" w:ascii="仿宋" w:hAnsi="仿宋" w:eastAsia="仿宋" w:cs="仿宋"/>
          <w:snapToGrid w:val="0"/>
          <w:color w:val="000000"/>
          <w:kern w:val="0"/>
          <w:sz w:val="32"/>
          <w:szCs w:val="32"/>
          <w:lang w:val="en-US" w:eastAsia="zh-CN" w:bidi="ar-SA"/>
        </w:rPr>
        <w:t>3187</w:t>
      </w:r>
      <w:r>
        <w:rPr>
          <w:rFonts w:hint="eastAsia" w:ascii="仿宋" w:hAnsi="仿宋" w:eastAsia="仿宋" w:cs="仿宋"/>
          <w:snapToGrid w:val="0"/>
          <w:color w:val="000000"/>
          <w:kern w:val="0"/>
          <w:sz w:val="32"/>
          <w:szCs w:val="32"/>
          <w:lang w:val="en-US" w:eastAsia="en-US" w:bidi="ar-SA"/>
        </w:rPr>
        <w:t>万元。</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w:t>
      </w:r>
      <w:r>
        <w:rPr>
          <w:rFonts w:hint="eastAsia" w:ascii="方正黑体_GBK" w:eastAsia="方正黑体_GBK"/>
          <w:kern w:val="0"/>
          <w:sz w:val="32"/>
          <w:szCs w:val="32"/>
          <w:highlight w:val="none"/>
          <w:lang w:eastAsia="zh-CN"/>
        </w:rPr>
        <w:t>算财政拨款</w:t>
      </w:r>
      <w:r>
        <w:rPr>
          <w:rFonts w:hint="eastAsia" w:ascii="方正黑体_GBK" w:eastAsia="方正黑体_GBK"/>
          <w:kern w:val="0"/>
          <w:sz w:val="32"/>
          <w:szCs w:val="32"/>
          <w:lang w:eastAsia="zh-CN"/>
        </w:rPr>
        <w:t>支出情况</w:t>
      </w:r>
    </w:p>
    <w:p>
      <w:pPr>
        <w:spacing w:line="600" w:lineRule="exact"/>
        <w:ind w:firstLine="640" w:firstLineChars="200"/>
        <w:jc w:val="both"/>
        <w:rPr>
          <w:rFonts w:hint="eastAsia" w:ascii="方正黑体_GBK" w:eastAsia="方正黑体_GBK"/>
          <w:kern w:val="0"/>
          <w:sz w:val="32"/>
          <w:szCs w:val="32"/>
          <w:lang w:eastAsia="zh-CN"/>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年政府性基金预算支出</w:t>
      </w:r>
      <w:r>
        <w:rPr>
          <w:rFonts w:hint="eastAsia" w:ascii="Times New Roman" w:hAnsi="Times New Roman" w:eastAsia="仿宋" w:cs="Times New Roman"/>
          <w:sz w:val="32"/>
          <w:szCs w:val="32"/>
          <w:lang w:val="en-US" w:eastAsia="zh-CN"/>
        </w:rPr>
        <w:t>514.85</w:t>
      </w:r>
      <w:r>
        <w:rPr>
          <w:rFonts w:hint="eastAsia" w:ascii="仿宋" w:hAnsi="仿宋" w:eastAsia="仿宋" w:cs="仿宋"/>
          <w:sz w:val="32"/>
          <w:szCs w:val="32"/>
        </w:rPr>
        <w:t>万元，其中商品和服务支出</w:t>
      </w:r>
      <w:r>
        <w:rPr>
          <w:rFonts w:hint="eastAsia" w:ascii="Times New Roman" w:hAnsi="Times New Roman" w:eastAsia="仿宋" w:cs="Times New Roman"/>
          <w:sz w:val="32"/>
          <w:szCs w:val="32"/>
          <w:lang w:val="en-US" w:eastAsia="zh-CN"/>
        </w:rPr>
        <w:t>28.18</w:t>
      </w:r>
      <w:r>
        <w:rPr>
          <w:rFonts w:hint="eastAsia" w:ascii="仿宋" w:hAnsi="仿宋" w:eastAsia="仿宋" w:cs="仿宋"/>
          <w:sz w:val="32"/>
          <w:szCs w:val="32"/>
        </w:rPr>
        <w:t>万元，</w:t>
      </w:r>
      <w:r>
        <w:rPr>
          <w:rFonts w:hint="eastAsia" w:ascii="仿宋" w:hAnsi="仿宋" w:eastAsia="仿宋" w:cs="仿宋"/>
          <w:sz w:val="32"/>
          <w:szCs w:val="32"/>
          <w:lang w:eastAsia="zh-CN"/>
        </w:rPr>
        <w:t>对个人和家庭的补助</w:t>
      </w:r>
      <w:r>
        <w:rPr>
          <w:rFonts w:hint="eastAsia" w:ascii="Times New Roman" w:hAnsi="Times New Roman" w:eastAsia="仿宋" w:cs="Times New Roman"/>
          <w:sz w:val="32"/>
          <w:szCs w:val="32"/>
          <w:lang w:val="en-US" w:eastAsia="zh-CN"/>
        </w:rPr>
        <w:t>486.67</w:t>
      </w:r>
      <w:r>
        <w:rPr>
          <w:rFonts w:hint="eastAsia" w:ascii="仿宋" w:hAnsi="仿宋" w:eastAsia="仿宋" w:cs="仿宋"/>
          <w:sz w:val="32"/>
          <w:szCs w:val="32"/>
        </w:rPr>
        <w:t>万元。</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w:t>
      </w:r>
      <w:r>
        <w:rPr>
          <w:rFonts w:hint="eastAsia" w:ascii="方正黑体_GBK" w:eastAsia="方正黑体_GBK"/>
          <w:kern w:val="0"/>
          <w:sz w:val="32"/>
          <w:szCs w:val="32"/>
          <w:highlight w:val="none"/>
          <w:lang w:eastAsia="zh-CN"/>
        </w:rPr>
        <w:t>算财政拨款</w:t>
      </w:r>
      <w:r>
        <w:rPr>
          <w:rFonts w:hint="eastAsia" w:ascii="方正黑体_GBK" w:eastAsia="方正黑体_GBK"/>
          <w:kern w:val="0"/>
          <w:sz w:val="32"/>
          <w:szCs w:val="32"/>
          <w:lang w:eastAsia="zh-CN"/>
        </w:rPr>
        <w:t>支出情况</w:t>
      </w:r>
    </w:p>
    <w:p>
      <w:pPr>
        <w:spacing w:line="600" w:lineRule="exact"/>
        <w:ind w:firstLine="640" w:firstLineChars="200"/>
        <w:jc w:val="both"/>
        <w:rPr>
          <w:rFonts w:hint="default" w:ascii="仿宋" w:hAnsi="仿宋" w:eastAsia="仿宋" w:cs="仿宋"/>
          <w:sz w:val="32"/>
          <w:szCs w:val="32"/>
          <w:lang w:val="en" w:eastAsia="zh-CN"/>
        </w:rPr>
      </w:pPr>
      <w:r>
        <w:rPr>
          <w:rFonts w:hint="eastAsia" w:ascii="仿宋" w:hAnsi="仿宋" w:eastAsia="仿宋" w:cs="仿宋"/>
          <w:sz w:val="32"/>
          <w:szCs w:val="32"/>
          <w:lang w:val="en-US" w:eastAsia="zh-CN"/>
        </w:rPr>
        <w:t>本年度无国有资本经营预算支出。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本年度无社会保险基金预算支出。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eastAsia="仿宋_GB2312"/>
          <w:kern w:val="0"/>
          <w:sz w:val="32"/>
          <w:szCs w:val="32"/>
          <w:lang w:eastAsia="zh-CN"/>
        </w:rPr>
      </w:pPr>
      <w:r>
        <w:rPr>
          <w:rFonts w:hint="default" w:eastAsia="仿宋_GB2312"/>
          <w:kern w:val="0"/>
          <w:sz w:val="32"/>
          <w:szCs w:val="32"/>
          <w:lang w:eastAsia="zh-CN"/>
        </w:rPr>
        <w:t>202</w:t>
      </w:r>
      <w:r>
        <w:rPr>
          <w:rFonts w:hint="eastAsia" w:eastAsia="仿宋_GB2312"/>
          <w:kern w:val="0"/>
          <w:sz w:val="32"/>
          <w:szCs w:val="32"/>
          <w:lang w:val="en-US" w:eastAsia="zh-CN"/>
        </w:rPr>
        <w:t>3</w:t>
      </w:r>
      <w:r>
        <w:rPr>
          <w:rFonts w:hint="eastAsia" w:eastAsia="仿宋_GB2312"/>
          <w:kern w:val="0"/>
          <w:sz w:val="32"/>
          <w:szCs w:val="32"/>
          <w:lang w:eastAsia="zh-CN"/>
        </w:rPr>
        <w:t>年我局坚持以习近平新时代中国特色社会主义思想为指导，认真学习贯彻习近平总书记考察湖南重要讲话、党的十九大、十九届历次全会精神和省民政工作会议精神，紧紧围绕市委市政府决策部署，牢记民政使命任务，坚持以人民为中心，坚持稳字当头、稳中求进，统筹发展与安全两件大事，守牢安全底线，聚焦乡村振兴，聚焦特殊群体，聚焦群众关切，积极履行基本民生保障、基层社会治理、基本社会服务职责，通过全市民政系统共同努力，较好的完成了年初预期目标任务。根据《部门整体支出绩效自评表》自评分</w:t>
      </w:r>
      <w:r>
        <w:rPr>
          <w:rFonts w:hint="eastAsia" w:eastAsia="仿宋_GB2312"/>
          <w:kern w:val="0"/>
          <w:sz w:val="32"/>
          <w:szCs w:val="32"/>
          <w:lang w:val="en-US" w:eastAsia="zh-CN"/>
        </w:rPr>
        <w:t>99</w:t>
      </w:r>
      <w:r>
        <w:rPr>
          <w:rFonts w:hint="eastAsia" w:eastAsia="仿宋_GB2312"/>
          <w:kern w:val="0"/>
          <w:sz w:val="32"/>
          <w:szCs w:val="32"/>
          <w:lang w:eastAsia="zh-CN"/>
        </w:rPr>
        <w:t>分（详见附件</w:t>
      </w:r>
      <w:r>
        <w:rPr>
          <w:rFonts w:hint="default" w:eastAsia="仿宋_GB2312"/>
          <w:kern w:val="0"/>
          <w:sz w:val="32"/>
          <w:szCs w:val="32"/>
          <w:lang w:eastAsia="zh-CN"/>
        </w:rPr>
        <w:t>2</w:t>
      </w:r>
      <w:r>
        <w:rPr>
          <w:rFonts w:hint="eastAsia" w:eastAsia="仿宋_GB2312"/>
          <w:kern w:val="0"/>
          <w:sz w:val="32"/>
          <w:szCs w:val="32"/>
          <w:lang w:eastAsia="zh-CN"/>
        </w:rPr>
        <w:t>），《</w:t>
      </w:r>
      <w:r>
        <w:rPr>
          <w:rFonts w:hint="default" w:eastAsia="仿宋_GB2312"/>
          <w:kern w:val="0"/>
          <w:sz w:val="32"/>
          <w:szCs w:val="32"/>
          <w:lang w:eastAsia="zh-CN"/>
        </w:rPr>
        <w:t>202</w:t>
      </w:r>
      <w:r>
        <w:rPr>
          <w:rFonts w:hint="eastAsia" w:eastAsia="仿宋_GB2312"/>
          <w:kern w:val="0"/>
          <w:sz w:val="32"/>
          <w:szCs w:val="32"/>
          <w:lang w:val="en-US" w:eastAsia="zh-CN"/>
        </w:rPr>
        <w:t>3</w:t>
      </w:r>
      <w:r>
        <w:rPr>
          <w:rFonts w:hint="eastAsia" w:eastAsia="仿宋_GB2312"/>
          <w:kern w:val="0"/>
          <w:sz w:val="32"/>
          <w:szCs w:val="32"/>
          <w:lang w:eastAsia="zh-CN"/>
        </w:rPr>
        <w:t>年度项目支出绩效自评表—农村特困供养、城市居民最低生活保障金、农村居民最低生活保障金、临时救助金》自评分</w:t>
      </w:r>
      <w:r>
        <w:rPr>
          <w:rFonts w:hint="eastAsia" w:eastAsia="仿宋_GB2312"/>
          <w:kern w:val="0"/>
          <w:sz w:val="32"/>
          <w:szCs w:val="32"/>
          <w:lang w:val="en-US" w:eastAsia="zh-CN"/>
        </w:rPr>
        <w:t>100</w:t>
      </w:r>
      <w:r>
        <w:rPr>
          <w:rFonts w:hint="eastAsia" w:eastAsia="仿宋_GB2312"/>
          <w:kern w:val="0"/>
          <w:sz w:val="32"/>
          <w:szCs w:val="32"/>
          <w:lang w:eastAsia="zh-CN"/>
        </w:rPr>
        <w:t>分、《2023年度项目支出绩效自评表—孤儿生活费（含未成年人保护资金）》自评分</w:t>
      </w:r>
      <w:r>
        <w:rPr>
          <w:rFonts w:hint="eastAsia" w:eastAsia="仿宋_GB2312"/>
          <w:kern w:val="0"/>
          <w:sz w:val="32"/>
          <w:szCs w:val="32"/>
          <w:lang w:val="en-US" w:eastAsia="zh-CN"/>
        </w:rPr>
        <w:t>99</w:t>
      </w:r>
      <w:r>
        <w:rPr>
          <w:rFonts w:hint="eastAsia" w:eastAsia="仿宋_GB2312"/>
          <w:kern w:val="0"/>
          <w:sz w:val="32"/>
          <w:szCs w:val="32"/>
          <w:lang w:eastAsia="zh-CN"/>
        </w:rPr>
        <w:t>分、《2023年度项目支出绩效自评表—困难残疾人生活补贴和重度残疾人护理补贴》自评分</w:t>
      </w:r>
      <w:r>
        <w:rPr>
          <w:rFonts w:hint="eastAsia" w:eastAsia="仿宋_GB2312"/>
          <w:kern w:val="0"/>
          <w:sz w:val="32"/>
          <w:szCs w:val="32"/>
          <w:lang w:val="en-US" w:eastAsia="zh-CN"/>
        </w:rPr>
        <w:t>98</w:t>
      </w:r>
      <w:r>
        <w:rPr>
          <w:rFonts w:hint="eastAsia" w:eastAsia="仿宋_GB2312"/>
          <w:kern w:val="0"/>
          <w:sz w:val="32"/>
          <w:szCs w:val="32"/>
          <w:lang w:eastAsia="zh-CN"/>
        </w:rPr>
        <w:t>分、《2023年度项目支出绩效自评表—基本养老服务补贴》自评分</w:t>
      </w:r>
      <w:r>
        <w:rPr>
          <w:rFonts w:hint="eastAsia" w:eastAsia="仿宋_GB2312"/>
          <w:kern w:val="0"/>
          <w:sz w:val="32"/>
          <w:szCs w:val="32"/>
          <w:lang w:val="en-US" w:eastAsia="zh-CN"/>
        </w:rPr>
        <w:t>99.77</w:t>
      </w:r>
      <w:r>
        <w:rPr>
          <w:rFonts w:hint="eastAsia" w:eastAsia="仿宋_GB2312"/>
          <w:kern w:val="0"/>
          <w:sz w:val="32"/>
          <w:szCs w:val="32"/>
          <w:lang w:eastAsia="zh-CN"/>
        </w:rPr>
        <w:t>分、《2023年度项目支出绩效自评表—敬老院运转及照料》自评分</w:t>
      </w:r>
      <w:r>
        <w:rPr>
          <w:rFonts w:hint="eastAsia" w:eastAsia="仿宋_GB2312"/>
          <w:kern w:val="0"/>
          <w:sz w:val="32"/>
          <w:szCs w:val="32"/>
          <w:lang w:val="en-US" w:eastAsia="zh-CN"/>
        </w:rPr>
        <w:t>100</w:t>
      </w:r>
      <w:r>
        <w:rPr>
          <w:rFonts w:hint="eastAsia" w:eastAsia="仿宋_GB2312"/>
          <w:kern w:val="0"/>
          <w:sz w:val="32"/>
          <w:szCs w:val="32"/>
          <w:lang w:eastAsia="zh-CN"/>
        </w:rPr>
        <w:t>分、《2023年度项目支出绩效自评表—殡葬改革惠民补贴》自评分</w:t>
      </w:r>
      <w:r>
        <w:rPr>
          <w:rFonts w:hint="eastAsia" w:eastAsia="仿宋_GB2312"/>
          <w:kern w:val="0"/>
          <w:sz w:val="32"/>
          <w:szCs w:val="32"/>
          <w:lang w:val="en-US" w:eastAsia="zh-CN"/>
        </w:rPr>
        <w:t>97.47</w:t>
      </w:r>
      <w:r>
        <w:rPr>
          <w:rFonts w:hint="eastAsia" w:eastAsia="仿宋_GB2312"/>
          <w:kern w:val="0"/>
          <w:sz w:val="32"/>
          <w:szCs w:val="32"/>
          <w:lang w:eastAsia="zh-CN"/>
        </w:rPr>
        <w:t>分、《2023年度项目支出绩效自评表—民政系统其它专项》自评分</w:t>
      </w:r>
      <w:r>
        <w:rPr>
          <w:rFonts w:hint="eastAsia" w:eastAsia="仿宋_GB2312"/>
          <w:kern w:val="0"/>
          <w:sz w:val="32"/>
          <w:szCs w:val="32"/>
          <w:lang w:val="en-US" w:eastAsia="zh-CN"/>
        </w:rPr>
        <w:t>100</w:t>
      </w:r>
      <w:r>
        <w:rPr>
          <w:rFonts w:hint="eastAsia" w:eastAsia="仿宋_GB2312"/>
          <w:kern w:val="0"/>
          <w:sz w:val="32"/>
          <w:szCs w:val="32"/>
          <w:lang w:eastAsia="zh-CN"/>
        </w:rPr>
        <w:t>分，部门整体支出绩效为</w:t>
      </w:r>
      <w:r>
        <w:rPr>
          <w:rFonts w:hint="default" w:eastAsia="仿宋_GB2312"/>
          <w:kern w:val="0"/>
          <w:sz w:val="32"/>
          <w:szCs w:val="32"/>
          <w:lang w:eastAsia="zh-CN"/>
        </w:rPr>
        <w:t>“</w:t>
      </w:r>
      <w:r>
        <w:rPr>
          <w:rFonts w:hint="eastAsia" w:eastAsia="仿宋_GB2312"/>
          <w:kern w:val="0"/>
          <w:sz w:val="32"/>
          <w:szCs w:val="32"/>
          <w:lang w:eastAsia="zh-CN"/>
        </w:rPr>
        <w:t>优</w:t>
      </w:r>
      <w:r>
        <w:rPr>
          <w:rFonts w:hint="default" w:eastAsia="仿宋_GB2312"/>
          <w:kern w:val="0"/>
          <w:sz w:val="32"/>
          <w:szCs w:val="32"/>
          <w:lang w:eastAsia="zh-CN"/>
        </w:rPr>
        <w:t>”</w:t>
      </w:r>
      <w:r>
        <w:rPr>
          <w:rFonts w:hint="eastAsia" w:eastAsia="仿宋_GB2312"/>
          <w:kern w:val="0"/>
          <w:sz w:val="32"/>
          <w:szCs w:val="32"/>
          <w:lang w:eastAsia="zh-CN"/>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因部门整体支出的预算资金安排和使用上仍有不可预见性，还需加强预算管理，科学编制预算。随着群众生活水平的提高，</w:t>
      </w:r>
      <w:r>
        <w:rPr>
          <w:rFonts w:hint="eastAsia" w:ascii="仿宋" w:hAnsi="仿宋" w:eastAsia="仿宋" w:cs="仿宋"/>
          <w:color w:val="auto"/>
          <w:spacing w:val="0"/>
          <w:kern w:val="0"/>
          <w:position w:val="0"/>
          <w:sz w:val="32"/>
          <w:szCs w:val="32"/>
          <w:shd w:val="clear" w:fill="auto"/>
          <w:lang w:eastAsia="zh-CN"/>
        </w:rPr>
        <w:t>救助深度和广度不够，部分困难群众需求无法满足</w:t>
      </w:r>
      <w:r>
        <w:rPr>
          <w:rFonts w:hint="eastAsia" w:eastAsia="仿宋_GB2312"/>
          <w:color w:val="auto"/>
          <w:kern w:val="0"/>
          <w:sz w:val="32"/>
          <w:szCs w:val="32"/>
          <w:lang w:val="en-US" w:eastAsia="zh-CN"/>
        </w:rPr>
        <w:t>。</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en-US"/>
        </w:rPr>
        <w:t>(一)加强预算管理，确保项目的科学性。在编制年度预算时，在进行调查研究的基础上，充分论证项目立项的必要性、投入经济性、绩效目标合理性、实施方案可行性，确保项目具有可操作性，项目实施达到预期效果，发挥最大效益。强化预算下达预算执行环节指标使用实现前后对应，为单位进行绩效目标控制管理提供基础保障，提高单位项目支出资金使用、项目实施精细化管理水平</w:t>
      </w:r>
      <w:r>
        <w:rPr>
          <w:rFonts w:hint="eastAsia" w:eastAsia="仿宋_GB2312"/>
          <w:kern w:val="0"/>
          <w:sz w:val="32"/>
          <w:szCs w:val="32"/>
          <w:lang w:val="en-US" w:eastAsia="zh-CN"/>
        </w:rPr>
        <w:t>。</w:t>
      </w:r>
    </w:p>
    <w:p>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en-US"/>
        </w:rPr>
        <w:t>(二)细化项目管理，确保项目按期实施。项目一经批复各实施部门要认真细化方案，明确责任人，确定项目实施期间:定期开展内部检查，出现不可抗力因素，及时按程序进行必要的调整和变更,同时,做好各项目支出绩效目标执行中的控制管理，建好控制台账，确保资金对应绩效目标执行，强化项目推进过程的管理，确保项目按计划推进。</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en-US"/>
        </w:rPr>
        <w:t>(三)严格人员管理，提高绩效目标管理水平。加强财务人员培训，熟练掌握预算编制和预算执行等各项政策，严格遵守各项财经纪律，不断提高业务能力,确保预算指标执行过程不交叉不断提高绩效目标管理水平</w:t>
      </w:r>
      <w:r>
        <w:rPr>
          <w:rFonts w:hint="eastAsia" w:eastAsia="仿宋_GB2312"/>
          <w:kern w:val="0"/>
          <w:sz w:val="32"/>
          <w:szCs w:val="32"/>
          <w:lang w:val="en-US" w:eastAsia="zh-CN"/>
        </w:rPr>
        <w:t>。</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en-US"/>
        </w:rPr>
        <w:t>绩效自评结果将作为下年部门预算安排的重要依据，与预算调整和项目安排挂钩。拟于</w:t>
      </w:r>
      <w:r>
        <w:rPr>
          <w:rFonts w:hint="eastAsia" w:eastAsia="仿宋_GB2312"/>
          <w:kern w:val="0"/>
          <w:sz w:val="32"/>
          <w:szCs w:val="32"/>
          <w:lang w:val="en-US" w:eastAsia="zh-CN"/>
        </w:rPr>
        <w:t>6</w:t>
      </w:r>
      <w:r>
        <w:rPr>
          <w:rFonts w:hint="eastAsia" w:eastAsia="仿宋_GB2312"/>
          <w:kern w:val="0"/>
          <w:sz w:val="32"/>
          <w:szCs w:val="32"/>
          <w:lang w:val="en-US" w:eastAsia="en-US"/>
        </w:rPr>
        <w:t>月</w:t>
      </w:r>
      <w:r>
        <w:rPr>
          <w:rFonts w:hint="eastAsia" w:eastAsia="仿宋_GB2312"/>
          <w:kern w:val="0"/>
          <w:sz w:val="32"/>
          <w:szCs w:val="32"/>
          <w:lang w:val="en-US" w:eastAsia="zh-CN"/>
        </w:rPr>
        <w:t>30</w:t>
      </w:r>
      <w:r>
        <w:rPr>
          <w:rFonts w:hint="eastAsia" w:eastAsia="仿宋_GB2312"/>
          <w:kern w:val="0"/>
          <w:sz w:val="32"/>
          <w:szCs w:val="32"/>
          <w:lang w:val="en-US" w:eastAsia="en-US"/>
        </w:rPr>
        <w:t>日前在</w:t>
      </w:r>
      <w:r>
        <w:rPr>
          <w:rFonts w:hint="eastAsia" w:eastAsia="仿宋_GB2312"/>
          <w:kern w:val="0"/>
          <w:sz w:val="32"/>
          <w:szCs w:val="32"/>
          <w:lang w:val="en-US" w:eastAsia="zh-CN"/>
        </w:rPr>
        <w:t>汨罗市人民政府门户网站</w:t>
      </w:r>
      <w:r>
        <w:rPr>
          <w:rFonts w:hint="eastAsia" w:eastAsia="仿宋_GB2312"/>
          <w:kern w:val="0"/>
          <w:sz w:val="32"/>
          <w:szCs w:val="32"/>
          <w:lang w:val="en-US" w:eastAsia="en-US"/>
        </w:rPr>
        <w:t>上公开，广泛接受群众监督。</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lang w:eastAsia="zh-CN"/>
        </w:rPr>
        <w:t>4</w:t>
      </w:r>
      <w:r>
        <w:rPr>
          <w:rFonts w:hint="eastAsia" w:eastAsia="仿宋_GB2312"/>
          <w:kern w:val="0"/>
          <w:sz w:val="32"/>
          <w:szCs w:val="32"/>
          <w:lang w:eastAsia="zh-CN"/>
        </w:rPr>
        <w:t>、政府性基金预</w:t>
      </w:r>
      <w:r>
        <w:rPr>
          <w:rFonts w:hint="eastAsia" w:eastAsia="仿宋_GB2312"/>
          <w:kern w:val="0"/>
          <w:sz w:val="32"/>
          <w:szCs w:val="32"/>
          <w:highlight w:val="none"/>
          <w:lang w:eastAsia="zh-CN"/>
        </w:rPr>
        <w:t>算财政拨款支出情况表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highlight w:val="none"/>
          <w:lang w:eastAsia="zh-CN"/>
        </w:rPr>
        <w:t>5、国有资本经营预算财政拨款支</w:t>
      </w:r>
      <w:r>
        <w:rPr>
          <w:rFonts w:hint="eastAsia" w:eastAsia="仿宋_GB2312"/>
          <w:kern w:val="0"/>
          <w:sz w:val="32"/>
          <w:szCs w:val="32"/>
          <w:lang w:eastAsia="zh-CN"/>
        </w:rPr>
        <w:t>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600" w:lineRule="exact"/>
        <w:ind w:firstLine="544" w:firstLineChars="200"/>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ind w:left="0" w:leftChars="0" w:firstLine="0"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困难群众救助</w:t>
      </w:r>
      <w:r>
        <w:rPr>
          <w:rFonts w:ascii="黑体" w:hAnsi="黑体" w:eastAsia="黑体" w:cs="黑体"/>
          <w:spacing w:val="15"/>
          <w:position w:val="10"/>
          <w:sz w:val="42"/>
          <w:szCs w:val="42"/>
        </w:rPr>
        <w:t>项目支出</w:t>
      </w:r>
    </w:p>
    <w:p>
      <w:pPr>
        <w:spacing w:before="1" w:line="220" w:lineRule="auto"/>
        <w:ind w:left="0" w:leftChars="0" w:firstLine="0" w:firstLineChars="0"/>
        <w:jc w:val="center"/>
        <w:rPr>
          <w:rFonts w:ascii="黑体" w:hAnsi="黑体" w:eastAsia="黑体" w:cs="黑体"/>
          <w:sz w:val="42"/>
          <w:szCs w:val="42"/>
        </w:rPr>
      </w:pPr>
      <w:r>
        <w:rPr>
          <w:rFonts w:ascii="黑体" w:hAnsi="黑体" w:eastAsia="黑体" w:cs="黑体"/>
          <w:spacing w:val="10"/>
          <w:sz w:val="42"/>
          <w:szCs w:val="42"/>
        </w:rPr>
        <w:t>绩效自评报告</w:t>
      </w:r>
    </w:p>
    <w:p>
      <w:pPr>
        <w:spacing w:before="1" w:line="220" w:lineRule="auto"/>
        <w:ind w:left="3069"/>
        <w:rPr>
          <w:rFonts w:ascii="黑体" w:hAnsi="黑体" w:eastAsia="黑体" w:cs="黑体"/>
          <w:sz w:val="42"/>
          <w:szCs w:val="42"/>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黑体"/>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困难群众救助补助资金社会背景是依据《社会救助暂行办法》、民政部关于印发</w:t>
      </w:r>
      <w:r>
        <w:rPr>
          <w:rFonts w:hint="eastAsia" w:eastAsia="仿宋_GB2312"/>
          <w:kern w:val="0"/>
          <w:sz w:val="32"/>
          <w:szCs w:val="32"/>
          <w:lang w:val="en-US" w:eastAsia="en-US"/>
        </w:rPr>
        <w:t>《</w:t>
      </w:r>
      <w:r>
        <w:rPr>
          <w:rFonts w:hint="eastAsia" w:eastAsia="仿宋_GB2312"/>
          <w:kern w:val="0"/>
          <w:sz w:val="32"/>
          <w:szCs w:val="32"/>
          <w:lang w:val="en-US" w:eastAsia="zh-CN"/>
        </w:rPr>
        <w:t>最低生活保障审核确认办法的通知</w:t>
      </w:r>
      <w:r>
        <w:rPr>
          <w:rFonts w:hint="eastAsia" w:eastAsia="仿宋_GB2312"/>
          <w:kern w:val="0"/>
          <w:sz w:val="32"/>
          <w:szCs w:val="32"/>
          <w:lang w:val="en-US" w:eastAsia="en-US"/>
        </w:rPr>
        <w:t>》</w:t>
      </w:r>
      <w:r>
        <w:rPr>
          <w:rFonts w:hint="eastAsia" w:eastAsia="仿宋_GB2312"/>
          <w:kern w:val="0"/>
          <w:sz w:val="32"/>
          <w:szCs w:val="32"/>
          <w:lang w:val="en-US" w:eastAsia="zh-CN"/>
        </w:rPr>
        <w:t>、 《湖南省特困人员认定办法》的通知、《湖南省最低生活保障审核确认办法》的通知等文件精神，充分发挥社会救助托底线、救急难作用，解决困难群众突发性、紧迫性、暂时性生活困难</w:t>
      </w:r>
      <w:r>
        <w:rPr>
          <w:rFonts w:hint="eastAsia" w:eastAsia="仿宋_GB2312"/>
          <w:kern w:val="0"/>
          <w:sz w:val="32"/>
          <w:szCs w:val="32"/>
          <w:lang w:val="en-US" w:eastAsia="en-US"/>
        </w:rPr>
        <w:t>。</w:t>
      </w:r>
      <w:r>
        <w:rPr>
          <w:rFonts w:hint="eastAsia" w:eastAsia="仿宋_GB2312"/>
          <w:kern w:val="0"/>
          <w:sz w:val="32"/>
          <w:szCs w:val="32"/>
          <w:lang w:val="en-US" w:eastAsia="zh-CN"/>
        </w:rPr>
        <w:t>总体截止</w:t>
      </w: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年12月</w:t>
      </w:r>
      <w:r>
        <w:rPr>
          <w:rFonts w:hint="eastAsia" w:eastAsia="仿宋_GB2312"/>
          <w:kern w:val="0"/>
          <w:sz w:val="32"/>
          <w:szCs w:val="32"/>
          <w:lang w:val="en-US" w:eastAsia="zh-CN"/>
        </w:rPr>
        <w:t>上级共计安排</w:t>
      </w:r>
      <w:r>
        <w:rPr>
          <w:rFonts w:hint="eastAsia" w:eastAsia="仿宋_GB2312"/>
          <w:kern w:val="0"/>
          <w:sz w:val="32"/>
          <w:szCs w:val="32"/>
          <w:lang w:val="en-US" w:eastAsia="en-US"/>
        </w:rPr>
        <w:t>资金预算</w:t>
      </w:r>
      <w:r>
        <w:rPr>
          <w:rFonts w:hint="eastAsia" w:eastAsia="仿宋_GB2312"/>
          <w:kern w:val="0"/>
          <w:sz w:val="32"/>
          <w:szCs w:val="32"/>
          <w:lang w:val="en-US" w:eastAsia="zh-CN"/>
        </w:rPr>
        <w:t>1800</w:t>
      </w:r>
      <w:r>
        <w:rPr>
          <w:rFonts w:hint="eastAsia" w:eastAsia="仿宋_GB2312"/>
          <w:kern w:val="0"/>
          <w:sz w:val="32"/>
          <w:szCs w:val="32"/>
          <w:lang w:val="en-US" w:eastAsia="en-US"/>
        </w:rPr>
        <w:t>万元，</w:t>
      </w:r>
      <w:r>
        <w:rPr>
          <w:rFonts w:hint="eastAsia" w:eastAsia="仿宋_GB2312"/>
          <w:kern w:val="0"/>
          <w:sz w:val="32"/>
          <w:szCs w:val="32"/>
          <w:lang w:val="en-US" w:eastAsia="zh-CN"/>
        </w:rPr>
        <w:t>分别</w:t>
      </w:r>
      <w:r>
        <w:rPr>
          <w:rFonts w:hint="eastAsia" w:eastAsia="仿宋_GB2312"/>
          <w:kern w:val="0"/>
          <w:sz w:val="32"/>
          <w:szCs w:val="32"/>
          <w:lang w:val="en-US" w:eastAsia="en-US"/>
        </w:rPr>
        <w:t>为中央</w:t>
      </w:r>
      <w:r>
        <w:rPr>
          <w:rFonts w:hint="eastAsia" w:eastAsia="仿宋_GB2312"/>
          <w:kern w:val="0"/>
          <w:sz w:val="32"/>
          <w:szCs w:val="32"/>
          <w:lang w:val="en-US" w:eastAsia="zh-CN"/>
        </w:rPr>
        <w:t>和省级</w:t>
      </w:r>
      <w:r>
        <w:rPr>
          <w:rFonts w:hint="eastAsia" w:eastAsia="仿宋_GB2312"/>
          <w:kern w:val="0"/>
          <w:sz w:val="32"/>
          <w:szCs w:val="32"/>
          <w:lang w:val="en-US" w:eastAsia="en-US"/>
        </w:rPr>
        <w:t>财政下拨资金</w:t>
      </w:r>
      <w:r>
        <w:rPr>
          <w:rFonts w:hint="eastAsia" w:eastAsia="仿宋_GB2312"/>
          <w:kern w:val="0"/>
          <w:sz w:val="32"/>
          <w:szCs w:val="32"/>
          <w:lang w:val="en-US" w:eastAsia="zh-CN"/>
        </w:rPr>
        <w:t>、本级财政配套资金。</w:t>
      </w:r>
      <w:r>
        <w:rPr>
          <w:rFonts w:hint="eastAsia" w:eastAsia="仿宋_GB2312"/>
          <w:kern w:val="0"/>
          <w:sz w:val="32"/>
          <w:szCs w:val="32"/>
          <w:lang w:val="en-US" w:eastAsia="en-US"/>
        </w:rPr>
        <w:t>专项</w:t>
      </w:r>
      <w:r>
        <w:rPr>
          <w:rFonts w:hint="eastAsia" w:eastAsia="仿宋_GB2312"/>
          <w:kern w:val="0"/>
          <w:sz w:val="32"/>
          <w:szCs w:val="32"/>
          <w:lang w:val="en-US" w:eastAsia="zh-CN"/>
        </w:rPr>
        <w:t>主要</w:t>
      </w:r>
      <w:r>
        <w:rPr>
          <w:rFonts w:hint="eastAsia" w:eastAsia="仿宋_GB2312"/>
          <w:kern w:val="0"/>
          <w:sz w:val="32"/>
          <w:szCs w:val="32"/>
          <w:lang w:val="en-US" w:eastAsia="en-US"/>
        </w:rPr>
        <w:t>用于</w:t>
      </w:r>
      <w:r>
        <w:rPr>
          <w:rFonts w:hint="eastAsia" w:eastAsia="仿宋_GB2312"/>
          <w:kern w:val="0"/>
          <w:sz w:val="32"/>
          <w:szCs w:val="32"/>
          <w:lang w:val="en-US" w:eastAsia="zh-CN"/>
        </w:rPr>
        <w:t>汨罗</w:t>
      </w:r>
      <w:r>
        <w:rPr>
          <w:rFonts w:hint="eastAsia" w:eastAsia="仿宋_GB2312"/>
          <w:kern w:val="0"/>
          <w:sz w:val="32"/>
          <w:szCs w:val="32"/>
          <w:lang w:val="en-US" w:eastAsia="en-US"/>
        </w:rPr>
        <w:t>市202</w:t>
      </w:r>
      <w:r>
        <w:rPr>
          <w:rFonts w:hint="eastAsia" w:eastAsia="仿宋_GB2312"/>
          <w:kern w:val="0"/>
          <w:sz w:val="32"/>
          <w:szCs w:val="32"/>
          <w:lang w:val="en-US" w:eastAsia="zh-CN"/>
        </w:rPr>
        <w:t>3</w:t>
      </w:r>
      <w:r>
        <w:rPr>
          <w:rFonts w:hint="eastAsia" w:eastAsia="仿宋_GB2312"/>
          <w:kern w:val="0"/>
          <w:sz w:val="32"/>
          <w:szCs w:val="32"/>
          <w:lang w:val="en-US" w:eastAsia="en-US"/>
        </w:rPr>
        <w:t>年</w:t>
      </w:r>
      <w:r>
        <w:rPr>
          <w:rFonts w:hint="eastAsia" w:eastAsia="仿宋_GB2312"/>
          <w:kern w:val="0"/>
          <w:sz w:val="32"/>
          <w:szCs w:val="32"/>
          <w:lang w:val="en-US" w:eastAsia="zh-CN"/>
        </w:rPr>
        <w:t>城乡低保对象、特困供养对象、临时性生活困难</w:t>
      </w:r>
      <w:r>
        <w:rPr>
          <w:rFonts w:hint="eastAsia" w:eastAsia="仿宋_GB2312"/>
          <w:kern w:val="0"/>
          <w:sz w:val="32"/>
          <w:szCs w:val="32"/>
          <w:lang w:val="en-US" w:eastAsia="en-US"/>
        </w:rPr>
        <w:t>群众</w:t>
      </w:r>
      <w:r>
        <w:rPr>
          <w:rFonts w:hint="eastAsia" w:eastAsia="仿宋_GB2312"/>
          <w:kern w:val="0"/>
          <w:sz w:val="32"/>
          <w:szCs w:val="32"/>
          <w:lang w:val="en-US" w:eastAsia="zh-CN"/>
        </w:rPr>
        <w:t>救助、流浪乞讨人员救助、孤儿基本生活保障支出。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eastAsia="仿宋_GB2312"/>
          <w:kern w:val="0"/>
          <w:sz w:val="32"/>
          <w:szCs w:val="32"/>
          <w:lang w:val="en-US" w:eastAsia="zh-CN"/>
        </w:rPr>
        <w:t>按照上级有关文件程序精准认定救助对象，救助资金每月全部以“惠农惠民一卡通”系统直接对群众发放,杜绝了社会救助资金在拨付、使用、分配环节中以权谋私、优亲厚友等问题。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符合条件对象发放率达到100%，规范城市农村低保政策实施，合理确定保障标准，使城市农村低保对象基本生活得到保障。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立足汨罗市经济社会发展状况，合理制定保障标准，逐步提高保障水平，切实将社会救助政策落实在每一个困难对象身上。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评价工作组经过各项指标的认真评价和综合评审，综合得分100分，我局困难群众救助项目绩效自评等次为“优秀”。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这包括确保支出决策符合相关法律法规、政策、发展规划和部门职责。例如，根据《社会救助暂行办法》和《中央财政困难群众救助补助资金管理办法》等相关要求，确保支出申请、拨付、发放符合相关要求，绩效目标设定依据充分，绩效指标清晰、细化、可衡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预算执行过程情况。这涉及建章立制，规范资金使用与管理，如严格资金分配，执行国库集中支付制度，强化资金监管等，以确保发放时效和资金安全。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目标完成情况。这包括资金投入情况分析、项目资金管理情况分析，以及总体绩效目标完成情况。例如，确保资金执行率高，合理规范城乡低保政策实施，统筹城乡特困人员救助供养工作，规范实施临时救助政策待领取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此外，还包括对低保对象、特困人员等城乡困难群众的基本生活保障情况，如城乡低保标准提高，以及救助资金的分配和管理情况。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概况。为了保障困难群众的基本生活，相关部门实施了一系列政策，如城乡低保、特困人员救助供养、临时救助、流浪乞讨人员的救助以及农村留守儿童和困境儿童关爱服务。这些政策旨在全面覆盖不同需求的困难群众，确保他们得到必要的生活保障和救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资金执行情况。在资金执行方面，相关机构按照项目资金下达计划，对绩效进行监控，以确保绩效目标的实现。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管理。在资金管理上，相关机构采取了多项措施来提高资金的使用效率，如加强资待领取金使用管理、强化绩效跟踪、自觉接受纪检、审计部门的监督等。资金通过“一卡通”平台发放，形成了一个全过程的监督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绩效目标。相关机构还对项目的总体绩效目标进行了分析，如确保困难群众的基本生活救助需求得到满足，缓解特困人群的生活压力等。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综上所述，困难群众救助金的执行过程是一个涉及多个方面和环节的复杂系统，旨在确保资金的有效分配和合理使用，从而实现对困难群众的全面救助。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（1）城市低保、城市特困供养人员、农村低保、农村特困供养人员、临时性生活困难救助、流浪乞讨人员救助、孤儿基本生活救助资金使用率指标值为100%，实际完成100%，完成率100%。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城市低保：救助标准650元每人每月；城市特困供养人员救助标准：10140每年；农村低保救助标准：救助标准5000元每人每年；农村特困供养人员救助标准6500元每年；农村集中供养特困人员救助救助标准：8400元每年；城市特困集中供养救助标准10800元/年；临时性生活困难救助救助标准：不高于城市低保标准6倍每人；孤儿基本生活费发放标准：散养1100元每人、集中1500元每人、严格按照有关标准执行，实际完成情况：按照当地有关标准，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（3）收到省级拨款文件后发放，每月10日前完成发放，≥15工作日，实际完成10工作日，完成率100%。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（1）困难群众救助补助资金，指标值为妥善保障基本生活，实际完成保障基本生活，完成率100%。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（2）重大负面舆情和事件次数指标，0次，完成率100%。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auto"/>
          <w:spacing w:val="0"/>
          <w:kern w:val="0"/>
          <w:position w:val="0"/>
          <w:sz w:val="32"/>
          <w:szCs w:val="32"/>
          <w:shd w:val="clear" w:fill="auto"/>
          <w:lang w:eastAsia="zh-CN"/>
        </w:rPr>
      </w:pPr>
      <w:r>
        <w:rPr>
          <w:rFonts w:hint="eastAsia" w:ascii="仿宋" w:hAnsi="仿宋" w:eastAsia="仿宋" w:cs="仿宋"/>
          <w:color w:val="auto"/>
          <w:spacing w:val="0"/>
          <w:kern w:val="0"/>
          <w:position w:val="0"/>
          <w:sz w:val="32"/>
          <w:szCs w:val="32"/>
          <w:shd w:val="clear" w:fill="auto"/>
          <w:lang w:eastAsia="zh-CN"/>
        </w:rPr>
        <w:t>救助深度和广度不够，部分困难群众需求无法满足。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auto"/>
          <w:kern w:val="0"/>
          <w:sz w:val="32"/>
          <w:szCs w:val="32"/>
          <w:lang w:val="en-US" w:eastAsia="zh-CN" w:bidi="ar-SA"/>
        </w:rPr>
        <w:t>建议</w:t>
      </w:r>
      <w:r>
        <w:rPr>
          <w:rFonts w:hint="eastAsia" w:eastAsia="仿宋_GB2312" w:cs="Arial"/>
          <w:snapToGrid w:val="0"/>
          <w:color w:val="auto"/>
          <w:kern w:val="0"/>
          <w:sz w:val="32"/>
          <w:szCs w:val="32"/>
          <w:lang w:val="en-US" w:eastAsia="zh-CN" w:bidi="ar-SA"/>
        </w:rPr>
        <w:t>拓展救助的深度和广度</w:t>
      </w:r>
      <w:r>
        <w:rPr>
          <w:rFonts w:hint="eastAsia" w:ascii="Arial" w:hAnsi="Arial" w:eastAsia="仿宋_GB2312" w:cs="Arial"/>
          <w:snapToGrid w:val="0"/>
          <w:color w:val="auto"/>
          <w:kern w:val="0"/>
          <w:sz w:val="32"/>
          <w:szCs w:val="32"/>
          <w:lang w:val="en-US" w:eastAsia="zh-CN" w:bidi="ar-SA"/>
        </w:rPr>
        <w:t>，应</w:t>
      </w:r>
      <w:r>
        <w:rPr>
          <w:rFonts w:hint="eastAsia" w:ascii="Arial" w:hAnsi="Arial" w:eastAsia="仿宋_GB2312" w:cs="Arial"/>
          <w:snapToGrid w:val="0"/>
          <w:color w:val="000000"/>
          <w:kern w:val="0"/>
          <w:sz w:val="32"/>
          <w:szCs w:val="32"/>
          <w:lang w:val="en-US" w:eastAsia="zh-CN" w:bidi="ar-SA"/>
        </w:rPr>
        <w:t>对新时期困难群众需求。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特困供养人员运转及照料</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color w:val="auto"/>
          <w:spacing w:val="-22"/>
          <w:sz w:val="27"/>
          <w:szCs w:val="27"/>
          <w:highlight w:val="none"/>
        </w:rPr>
        <w:t xml:space="preserve">部 门 </w:t>
      </w:r>
      <w:r>
        <w:rPr>
          <w:color w:val="auto"/>
          <w:spacing w:val="-36"/>
          <w:sz w:val="27"/>
          <w:szCs w:val="27"/>
          <w:highlight w:val="none"/>
        </w:rPr>
        <w:t xml:space="preserve"> </w:t>
      </w:r>
      <w:r>
        <w:rPr>
          <w:color w:val="auto"/>
          <w:spacing w:val="-22"/>
          <w:sz w:val="27"/>
          <w:szCs w:val="27"/>
          <w:highlight w:val="none"/>
        </w:rPr>
        <w:t>名</w:t>
      </w:r>
      <w:r>
        <w:rPr>
          <w:color w:val="auto"/>
          <w:spacing w:val="-37"/>
          <w:sz w:val="27"/>
          <w:szCs w:val="27"/>
          <w:highlight w:val="none"/>
        </w:rPr>
        <w:t xml:space="preserve"> </w:t>
      </w:r>
      <w:r>
        <w:rPr>
          <w:color w:val="auto"/>
          <w:spacing w:val="-22"/>
          <w:sz w:val="27"/>
          <w:szCs w:val="27"/>
          <w:highlight w:val="none"/>
        </w:rPr>
        <w:t>称</w:t>
      </w:r>
      <w:r>
        <w:rPr>
          <w:color w:val="auto"/>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总体截止</w:t>
      </w: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年12月</w:t>
      </w:r>
      <w:r>
        <w:rPr>
          <w:rFonts w:hint="eastAsia" w:eastAsia="仿宋_GB2312"/>
          <w:kern w:val="0"/>
          <w:sz w:val="32"/>
          <w:szCs w:val="32"/>
          <w:lang w:val="en-US" w:eastAsia="zh-CN"/>
        </w:rPr>
        <w:t>上级共计安排</w:t>
      </w:r>
      <w:r>
        <w:rPr>
          <w:rFonts w:hint="eastAsia" w:eastAsia="仿宋_GB2312"/>
          <w:kern w:val="0"/>
          <w:sz w:val="32"/>
          <w:szCs w:val="32"/>
          <w:lang w:val="en-US" w:eastAsia="en-US"/>
        </w:rPr>
        <w:t>资金预算</w:t>
      </w:r>
      <w:r>
        <w:rPr>
          <w:rFonts w:hint="eastAsia" w:eastAsia="仿宋_GB2312"/>
          <w:kern w:val="0"/>
          <w:sz w:val="32"/>
          <w:szCs w:val="32"/>
          <w:lang w:val="en-US" w:eastAsia="zh-CN"/>
        </w:rPr>
        <w:t>530</w:t>
      </w:r>
      <w:r>
        <w:rPr>
          <w:rFonts w:hint="eastAsia" w:eastAsia="仿宋_GB2312"/>
          <w:kern w:val="0"/>
          <w:sz w:val="32"/>
          <w:szCs w:val="32"/>
          <w:lang w:val="en-US" w:eastAsia="en-US"/>
        </w:rPr>
        <w:t>万元，为</w:t>
      </w:r>
      <w:r>
        <w:rPr>
          <w:rFonts w:hint="eastAsia" w:eastAsia="仿宋_GB2312"/>
          <w:kern w:val="0"/>
          <w:sz w:val="32"/>
          <w:szCs w:val="32"/>
          <w:lang w:val="en-US" w:eastAsia="zh-CN"/>
        </w:rPr>
        <w:t>本级专项</w:t>
      </w:r>
      <w:r>
        <w:rPr>
          <w:rFonts w:hint="eastAsia" w:eastAsia="仿宋_GB2312"/>
          <w:kern w:val="0"/>
          <w:sz w:val="32"/>
          <w:szCs w:val="32"/>
          <w:lang w:val="en-US" w:eastAsia="en-US"/>
        </w:rPr>
        <w:t>下拨资金</w:t>
      </w:r>
      <w:r>
        <w:rPr>
          <w:rFonts w:hint="eastAsia" w:eastAsia="仿宋_GB2312"/>
          <w:kern w:val="0"/>
          <w:sz w:val="32"/>
          <w:szCs w:val="32"/>
          <w:lang w:val="en-US" w:eastAsia="zh-CN"/>
        </w:rPr>
        <w:t>。主要</w:t>
      </w:r>
      <w:r>
        <w:rPr>
          <w:rFonts w:hint="eastAsia" w:eastAsia="仿宋_GB2312"/>
          <w:kern w:val="0"/>
          <w:sz w:val="32"/>
          <w:szCs w:val="32"/>
          <w:lang w:val="en-US" w:eastAsia="en-US"/>
        </w:rPr>
        <w:t>用于</w:t>
      </w:r>
      <w:r>
        <w:rPr>
          <w:rFonts w:hint="eastAsia" w:eastAsia="仿宋_GB2312"/>
          <w:kern w:val="0"/>
          <w:sz w:val="32"/>
          <w:szCs w:val="32"/>
          <w:lang w:val="en-US" w:eastAsia="zh-CN"/>
        </w:rPr>
        <w:t>汨罗</w:t>
      </w:r>
      <w:r>
        <w:rPr>
          <w:rFonts w:hint="eastAsia" w:eastAsia="仿宋_GB2312"/>
          <w:kern w:val="0"/>
          <w:sz w:val="32"/>
          <w:szCs w:val="32"/>
          <w:lang w:val="en-US" w:eastAsia="en-US"/>
        </w:rPr>
        <w:t>市202</w:t>
      </w:r>
      <w:r>
        <w:rPr>
          <w:rFonts w:hint="eastAsia" w:eastAsia="仿宋_GB2312"/>
          <w:kern w:val="0"/>
          <w:sz w:val="32"/>
          <w:szCs w:val="32"/>
          <w:lang w:val="en-US" w:eastAsia="zh-CN"/>
        </w:rPr>
        <w:t>3</w:t>
      </w:r>
      <w:r>
        <w:rPr>
          <w:rFonts w:hint="eastAsia" w:eastAsia="仿宋_GB2312"/>
          <w:kern w:val="0"/>
          <w:sz w:val="32"/>
          <w:szCs w:val="32"/>
          <w:lang w:val="en-US" w:eastAsia="en-US"/>
        </w:rPr>
        <w:t>年</w:t>
      </w:r>
      <w:r>
        <w:rPr>
          <w:rFonts w:hint="eastAsia" w:eastAsia="仿宋_GB2312"/>
          <w:kern w:val="0"/>
          <w:sz w:val="32"/>
          <w:szCs w:val="32"/>
          <w:lang w:val="en-US" w:eastAsia="zh-CN"/>
        </w:rPr>
        <w:t>敬老院运转及照料护理费支出。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eastAsia="仿宋_GB2312"/>
          <w:b/>
          <w:bCs/>
          <w:kern w:val="0"/>
          <w:sz w:val="32"/>
          <w:szCs w:val="32"/>
          <w:lang w:val="en-US" w:eastAsia="en-US"/>
        </w:rPr>
      </w:pPr>
      <w:r>
        <w:rPr>
          <w:rFonts w:hint="eastAsia" w:eastAsia="仿宋_GB2312"/>
          <w:b/>
          <w:bCs/>
          <w:kern w:val="0"/>
          <w:sz w:val="32"/>
          <w:szCs w:val="32"/>
          <w:lang w:val="en-US" w:eastAsia="zh-CN"/>
        </w:rPr>
        <w:t>1、</w:t>
      </w:r>
      <w:r>
        <w:rPr>
          <w:rFonts w:hint="eastAsia" w:eastAsia="仿宋_GB2312"/>
          <w:b/>
          <w:bCs/>
          <w:kern w:val="0"/>
          <w:sz w:val="32"/>
          <w:szCs w:val="32"/>
          <w:lang w:val="en-US" w:eastAsia="en-US"/>
        </w:rPr>
        <w:t>经费来源与构成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敬老院的经费来源主要包括政府财政拨款、社会捐赠、自筹资金以及其他合法收入。其中，政府财政拨款是敬老院经费的主要来源，用于保障敬老院的正常运转和基本设施维护。社会捐赠则来自于社会各界爱心人士和企事业单位，为敬老院提供了一定的补充资金。自筹资金则通过敬老院自身的经营和服务收入获得，如老人入住费、餐饮费等。此外，敬老院还积极争取政策扶持和项目资金，以扩大资金来源，提高资金使用效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2</w:t>
      </w:r>
      <w:r>
        <w:rPr>
          <w:rFonts w:hint="eastAsia" w:ascii="Arial" w:hAnsi="Arial" w:eastAsia="仿宋_GB2312" w:cs="Arial"/>
          <w:b/>
          <w:bCs/>
          <w:snapToGrid w:val="0"/>
          <w:color w:val="000000"/>
          <w:kern w:val="0"/>
          <w:sz w:val="32"/>
          <w:szCs w:val="32"/>
          <w:lang w:val="en-US" w:eastAsia="en-US" w:bidi="ar-SA"/>
        </w:rPr>
        <w:t>、支出明细及分类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eastAsia="仿宋_GB2312"/>
          <w:kern w:val="0"/>
          <w:sz w:val="32"/>
          <w:szCs w:val="32"/>
          <w:lang w:val="en-US" w:eastAsia="en-US"/>
        </w:rPr>
        <w:t>敬老院的支出主要包括人员工资及福利、日常运营费用、照料护理费用、设施设备维护费用以及其他支出。人员工资及福利是敬老院支出中的最大部分，用于保障员工的合法权益和稳定的工作队伍。日常运营费用包括水电费、办公用品费、通讯费等日常开支。照料护理费用则是用于为老人提供日常生活照料、医疗护理等服务的支出。设施设备维护费用则是用于保障敬老院各项设施设备的正常运行和更新升级。其他支出则包括培训费用、宣传费用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3</w:t>
      </w:r>
      <w:r>
        <w:rPr>
          <w:rFonts w:hint="eastAsia" w:ascii="Arial" w:hAnsi="Arial" w:eastAsia="仿宋_GB2312" w:cs="Arial"/>
          <w:b/>
          <w:bCs/>
          <w:snapToGrid w:val="0"/>
          <w:color w:val="000000"/>
          <w:kern w:val="0"/>
          <w:sz w:val="32"/>
          <w:szCs w:val="32"/>
          <w:lang w:val="en-US" w:eastAsia="en-US" w:bidi="ar-SA"/>
        </w:rPr>
        <w:t>、护理费收费标准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的护理费收费标准根据老人的身体状况、服务需求以及市场行情等因素制定。具体收费标准由敬老院管理层根据相关规定和实际情况进行调整，并报请相关部门备案。同时，敬老院也积极推行价格透明化，确保老人和家属能够清楚了解各项服务的收费标准和费用明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4</w:t>
      </w:r>
      <w:r>
        <w:rPr>
          <w:rFonts w:hint="eastAsia" w:ascii="Arial" w:hAnsi="Arial" w:eastAsia="仿宋_GB2312" w:cs="Arial"/>
          <w:b/>
          <w:bCs/>
          <w:snapToGrid w:val="0"/>
          <w:color w:val="000000"/>
          <w:kern w:val="0"/>
          <w:sz w:val="32"/>
          <w:szCs w:val="32"/>
          <w:lang w:val="en-US" w:eastAsia="en-US" w:bidi="ar-SA"/>
        </w:rPr>
        <w:t>、资金使用监管机制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建立了完善的资金使用监管机制，确保经费使用的合法性和规范性。敬老院设立专门的财务部门，负责经费的收支管理和核算工作。财务部门严格执行国家财经法规和财务管理制度，确保经费使用的合规性。同时，敬老院还建立了内部审计制度，定期对经费使用情况进行审计和检查，发现问题及时整改。此外，敬老院还接受社会监督和政府监管，确保经费使用的公开透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5</w:t>
      </w:r>
      <w:r>
        <w:rPr>
          <w:rFonts w:hint="eastAsia" w:ascii="Arial" w:hAnsi="Arial" w:eastAsia="仿宋_GB2312" w:cs="Arial"/>
          <w:b/>
          <w:bCs/>
          <w:snapToGrid w:val="0"/>
          <w:color w:val="000000"/>
          <w:kern w:val="0"/>
          <w:sz w:val="32"/>
          <w:szCs w:val="32"/>
          <w:lang w:val="en-US" w:eastAsia="en-US" w:bidi="ar-SA"/>
        </w:rPr>
        <w:t>、经费审计与公示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每年会邀请专业的审计机构对经费使用情况进行全面审计，确保经费的合规性和效益性。审计结果将及时上报相关部门并向社会公示，接受社会各界的监督。同时，敬老院还建立了财务公示制度，定期在院内公示经费收支情况、护理费收费标准等信息，让老人和家属了解经费使用情况，增强透明度和信任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6</w:t>
      </w:r>
      <w:r>
        <w:rPr>
          <w:rFonts w:hint="eastAsia" w:ascii="Arial" w:hAnsi="Arial" w:eastAsia="仿宋_GB2312" w:cs="Arial"/>
          <w:b/>
          <w:bCs/>
          <w:snapToGrid w:val="0"/>
          <w:color w:val="000000"/>
          <w:kern w:val="0"/>
          <w:sz w:val="32"/>
          <w:szCs w:val="32"/>
          <w:lang w:val="en-US" w:eastAsia="en-US" w:bidi="ar-SA"/>
        </w:rPr>
        <w:t>、照料护理服务水平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高度重视照料护理服务水平的提升，通过加强人员培训、优化服务流程、引进先进设备等方式不断提高服务质量。敬老院注重个性化服务，根据老人的身体状况和需求提供定制化的照料护理服务。同时，敬老院还积极开展丰富多彩的文化娱乐活动，丰富老人的精神生活，提高老人的生活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7</w:t>
      </w:r>
      <w:r>
        <w:rPr>
          <w:rFonts w:hint="eastAsia" w:ascii="Arial" w:hAnsi="Arial" w:eastAsia="仿宋_GB2312" w:cs="Arial"/>
          <w:b/>
          <w:bCs/>
          <w:snapToGrid w:val="0"/>
          <w:color w:val="000000"/>
          <w:kern w:val="0"/>
          <w:sz w:val="32"/>
          <w:szCs w:val="32"/>
          <w:lang w:val="en-US" w:eastAsia="en-US" w:bidi="ar-SA"/>
        </w:rPr>
        <w:t>、人员培训与发展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注重员工队伍的建设和培训，定期组织员工参加专业技能培训、职业素养培训等活动，提高员工的专业水平和服务意识。同时，敬老院还建立了激励机制和晋升机制，鼓励员工积极参与工作、提升自我能力，为敬老院的发展贡献力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Arial" w:hAnsi="Arial" w:eastAsia="仿宋_GB2312" w:cs="Arial"/>
          <w:snapToGrid w:val="0"/>
          <w:color w:val="000000"/>
          <w:kern w:val="0"/>
          <w:sz w:val="32"/>
          <w:szCs w:val="32"/>
          <w:lang w:val="en-US" w:eastAsia="en-US" w:bidi="ar-SA"/>
        </w:rPr>
        <w:t>综上所述，敬老院在运转经费及照料护理费使用管理方面采取了多项措施，确保经费使用的合法性和规范性，并不断提升照料护理服务水平。未来，敬老院将继续加强财务管理和人员培训，为老人提供更加优质、贴心的服务</w:t>
      </w:r>
      <w:r>
        <w:rPr>
          <w:rFonts w:hint="eastAsia" w:ascii="Arial" w:hAnsi="Arial" w:eastAsia="仿宋_GB2312" w:cs="Arial"/>
          <w:snapToGrid w:val="0"/>
          <w:color w:val="000000"/>
          <w:kern w:val="0"/>
          <w:sz w:val="32"/>
          <w:szCs w:val="32"/>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en-US" w:bidi="ar-SA"/>
        </w:rPr>
        <w:t>满足敬老院正常运转及服务工作人员待遇，切实保障特困人员基本生活权益，提高生活质量和服务质量</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敬老院的绩效评价主要围绕资金使用效率、服务质量管理、项目完成情况等方面展开。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评价工作组经过各项指标的认真评价和综合评审，综合得分100分，我局敬老院运转及照料护理费项目绩效自评等次为“优秀”。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敬老院是提供养老服务的一种重要形式，而绩效评价则是对其工作质量和水平进行全面评估的手段。绩效评价能够发现敬老院的潜在问题，寻求改进的空间，并为管理者提供科学合理的决策依据。因此，敬老院的绩效评价旨在对其服务质量、照料水平、人员配置、设施设备、安全防护等方面进行客观评估，以提供改进和发展的参考意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基础设施建设:我们投入资金对敬老院的基础设施进行改造和升级，包括修缮房屋、改善居住环境、增设无障碍设施等，以提升老年人的生活质量和安全性。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设备购置与更新:根据项目需求，我们购置了医疗设备、康复器材、文化娱乐设施等，为老年人提供更加全面、细致的照护服务。同时，我们还定期对设备进行维护和更新，确保其正常运转。</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人员培训与队伍建设:我们注重敬老院工作人员的培训和教育，通过举办培训班、邀请专家授课等方式，提高他们的专业技能和服务水平。此外，我们还加强了队伍建设，优化人员配置，确保敬老院拥有一支高素质、专业化的服务团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日常运营与管理:我们加强对敬老院的日常运营管理，制定完善的管理制度和规章制度，确保各项工作有序开展。同时，我们还定期对敬老院进行检查和评估，及时发现并解决问题，确保敬老院的正常运转和服务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敬老院运转及照料护理费资金使用率指标值为100%，实际完成100%，完成率100%。</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1、</w:t>
      </w:r>
      <w:r>
        <w:rPr>
          <w:rFonts w:hint="eastAsia" w:eastAsia="仿宋_GB2312"/>
          <w:kern w:val="0"/>
          <w:sz w:val="32"/>
          <w:szCs w:val="32"/>
          <w:lang w:eastAsia="zh-CN"/>
        </w:rPr>
        <w:t>敬老院运转及照料护理费，指标值为提高敬老院老人幸福度，实际完成保障基本生活，完成率100%。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w:t>
      </w:r>
      <w:r>
        <w:rPr>
          <w:rFonts w:hint="eastAsia" w:eastAsia="仿宋_GB2312"/>
          <w:kern w:val="0"/>
          <w:sz w:val="32"/>
          <w:szCs w:val="32"/>
          <w:lang w:eastAsia="zh-CN"/>
        </w:rPr>
        <w:t>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在绩效评价过程中，也发现了一些问题，如预算绩效目标编制的规范性、合理性有待提升，绩效评价管理队伍建设不足等。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420" w:leftChars="0" w:right="0" w:firstLine="608" w:firstLineChars="0"/>
        <w:jc w:val="left"/>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针对这些问题，敬老院需要加强预算绩效管理，提升财务管理水平，加强队伍建设，建立绩效评价的长效机制。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420" w:leftChars="0" w:right="0" w:firstLine="608" w:firstLineChars="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基本养老服务补贴</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22</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6"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spacing w:before="137" w:line="221" w:lineRule="auto"/>
        <w:ind w:left="2336"/>
        <w:rPr>
          <w:rFonts w:ascii="黑体" w:hAnsi="黑体" w:eastAsia="黑体" w:cs="黑体"/>
          <w:b/>
          <w:bCs/>
          <w:spacing w:val="6"/>
          <w:sz w:val="42"/>
          <w:szCs w:val="4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为65岁以上失能、半失能的特困供养和低保家庭中的老人发放基本养老服务补贴。为规范基本养老服务补贴工作，市财政安排基本养老服务补贴资金78万元，采用政府购买服务的方式委托第三方专业养老服务机构为全市65岁以上失能、半失能的特困供养和低保家庭中的老人提供包括助餐、助浴、助洁、助医、护理等上门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纳入本次评价的基本养老服务补贴资金共78万元。项目预算支出78万元，实际支出76.18万元，主要用于为65岁以上失能、半失能的特困供养和低保家庭中的老人提供服务。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 本项目资金支付范围、支付标准、支付进度、支付依据均合规合法，资金资金使用率100%，不存在资金结余。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按项目要求完成全年计划。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该项目实施以来，取得了很大的成效，为老人开展文化娱乐、生活照料、等服务，有效缓解了部分老人生活无人照料、情感难有寄托、精神无处慰藉的困境，切实完善了我市以居家养老为基础、社区养老为依托、机构养老为支撑，功能完善、规模适度、覆盖城乡的养老服务体系，有力提升了老年人的生活生命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全市1060名65岁以上失能、半失能的特困供养和低保家庭中的老人提供包括助餐、助浴、助洁、助医、护理等上门服务，弘扬了中华民族美德，维系社会稳定，让老年人得到实实在在的服务。评价工作组经过各项指标的认真评价和综合评审，综合得分99.7分，我局基本养老服务补贴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根据《国务院关于加快发展养老服务业的若干意见》（国发【2013】35号）、《湖南省人民政府关于加快推进养老服务业发展的实施意见》（湘政发【2014】22号）、《湖南省财政厅、湖南省民政厅、湖南省老龄工作委员会办公室关于建立健全养老服务补贴制度的通知》（湘财社〔2015〕28号）等文件精神，我局党组研究决定设立该项目，项目用于顺利开展基本养老服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2023年，基本养老服务项目，招募专业养老社工5名，志愿者202名，共为1060名老人提供了上门服务，其中助餐97名4656次、助浴32名768次、助洁965名46320次。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我局严格规范资金管理支出，和经费支出审批制度，严格持行财务手续，支约开支，考核资金使用效果，做到手续齐全、内容真实、数字准确、账目清楚。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较好的完成了局党组年初制定的工作目标，各项日常任务及重点工作等如期完成，实现了预期效果。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一是领导重视。落实责任分工，确保项目顺利进行。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二是加强管理。制定好工作计划和方案，保证资金的按时拨付，使项目进行过程不受影响。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进一步健全和完善财务管理制度，创新管理手段，改进和完善财务管理方法，用制度管项目，用制度管资金。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pPr>
        <w:spacing w:before="201" w:line="578" w:lineRule="exact"/>
        <w:ind w:left="0" w:leftChars="0" w:firstLine="0"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困难残疾人生活补贴和重度残疾人护理补贴</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7"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残疾人两项补贴是指困难残疾人生活补贴和重度残疾人护理补贴。残疾人两项补贴对象的认定。困难残疾人生活补贴对象：具有汨罗市户籍、持有第二代《中华人民共和国残疾人证》，家庭或者本人为最低生活保障对象的各类残疾人；重度残疾人护理补贴对象：具有汨罗市户籍、持有第二代残疾人证且残疾等级为一、二级的各类残疾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2023年发放标准分别每人每月80元，发放资金993.8万元，其中重度残疾人护理补贴748.272万元，困难残疾人生活补贴 245.528万元。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eastAsia="仿宋_GB2312"/>
          <w:kern w:val="0"/>
          <w:sz w:val="32"/>
          <w:szCs w:val="32"/>
          <w:lang w:eastAsia="zh-CN"/>
        </w:rPr>
        <w:t>2023年汨罗市“两项补贴”资金全部发放到位，下拨残疾人两项补贴 993.8万元，其中省级预拨623万元，县（市）配套资金总额370万元。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符合条件对象发放率达到100%，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足额为困难残疾人和重度残疾人发放生活补贴和护理补贴，保障其基本生活权益，维护社会和谐稳定。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严格按标准、按月通过财政“一卡通”打卡发放到残疾人本人或其监护人账户。全年发放重度残疾人护理补贴93534人次，发放金额748.272万元；困难残疾人生活补贴全年发放 30691人次，发放金额245.528万元；残疾人“两项补贴”对象实施动态管理，全面清理领取两项补贴人员，退出最低生活保障、死亡及低保转特困供养的予以取消领取资格。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评价工作组经过各项指标的认真评价和综合评审，综合得分9</w:t>
      </w:r>
      <w:r>
        <w:rPr>
          <w:rFonts w:hint="eastAsia" w:eastAsia="仿宋_GB2312"/>
          <w:kern w:val="0"/>
          <w:sz w:val="32"/>
          <w:szCs w:val="32"/>
          <w:lang w:val="en-US" w:eastAsia="zh-CN"/>
        </w:rPr>
        <w:t>8</w:t>
      </w:r>
      <w:r>
        <w:rPr>
          <w:rFonts w:hint="eastAsia" w:eastAsia="仿宋_GB2312"/>
          <w:kern w:val="0"/>
          <w:sz w:val="32"/>
          <w:szCs w:val="32"/>
          <w:lang w:eastAsia="zh-CN"/>
        </w:rPr>
        <w:t>分，我局残疾人两项补贴项目绩效自评等次为“优秀”。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为全面落实好残疾人两项补贴政策，改善残疾人生活状况，保障残疾人基本生活权益，根据湖南省民政厅 湖南省财政厅 湖南省残疾人联合会关于印发《湖南省2022年残疾人两项补贴重点民生实事项目实施方案》的通知（湘民发电[2022]6号）、关于印发《汨罗市2022年残疾人两项补贴重点民生实事项目实施方案的通知》汨民发[2022]22号进行拨付。根据市有关残疾人两项补贴工作的相关文件要求和省、市绩效评估办公室的具体部署，确保将符合条件的残疾人全部纳入补贴范围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项目实施来，全年发放重度残疾人护理补贴 93534次，困难残疾人生活补贴全年发放 30691人次，发放金额合计993.8万元，体现了党和国家对残疾人这个弱势群体的关怀，同时也得到广大残疾人和社会的高度赞赏，是一件福泽残疾群体的民生工程。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1、残疾人两项补贴资金使用率指标值为100%，实际完成100%，完成率100%。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2、残疾人两项补贴发放数据确定后，每月20日前完成发放，≥15工作日，实际完成10工作日，完成率100%。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1、残疾人两项补贴资金资金，指标值为妥善保障残疾人基本生活，实际完成保障基本生活，完成率100%。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1、逐户、逐项调查核实残疾人“两项补贴”对象，坚持应保尽保、应退尽退，确保残疾人“两项补贴”对象真实，财政“一卡通”发放精准到位。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2、两项补贴实施动态管理，数据异动较大，部分乡镇更新不及时，上报迟缓，导致退出低保和死亡人员领取补贴现象和发放时间拉长及推迟发放情况。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应进一步健全和完善残疾人两补发放管理制度及内部控制制度，创新管理手段，用新思路、新方法，改进完善发放程序，做到信息动态掌握，各部门衔接有序，协调合作，发放程序简化明了，建立科学的残疾人两补考评制度体系，不断提高该项资金的发放及时率和成功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孤儿基本生活补贴</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孤儿和事实无人抚养儿童基本生活补贴资金是依据《湖南省人民政府办公厅关于加强孤儿保障工作的实施意见》（湘政发[2011]21号）、《湖南省民政厅湖南省财政厅关于提高孤儿基本生活费最低生活保障标准的通知》（湘民发[2019]26号）和省民政厅等12部门《关于进一步加强事实无人抚养儿童保障工作的实施意见》（湘民发〔2019〕28号）文件要求，确保将符合条件的困境儿童全部纳入补贴范围。总体截止2023年12月本级财政配套资金共计安排资金预算142万元，专项主要用于汨罗市孤儿和事实无人抚养儿童基本生活补贴保障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按照上级有关文件程序精准认定保障对象，保障资金每月全部以“惠农惠民一卡通”系统直接对群众发放,杜绝了社会救助资金在拨付、使用、分配环节中以权谋私、优亲厚友等问题。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ascii="黑体" w:hAnsi="黑体" w:eastAsia="黑体" w:cs="黑体"/>
          <w:b/>
          <w:bCs/>
          <w:spacing w:val="-15"/>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符合条件对象发放率达到100%，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切实维护孤儿和事实无人抚养儿童的合法权益，确保孤儿及事实无人抚养儿童基本生活补贴按时足额发放和惠民政策严格落实。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立足汨罗市经济社会发展状况，逐步提高保障水平，切实维护孤儿和事实无人抚养儿童的合法权益。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评价工作组经过各项指标的认真评价和综合评审，综合得分99分，我局孤儿和事实无人抚养儿童基本生活补贴项目绩效自评等次为“优秀”。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确保支出符合相关法律法规、政策、发展规划和部门职责。根据《湖南省人民政府办公厅关于加强孤儿保障工作的实施意见》（湘政发[2011]21号）和省民政厅等12部门《关于进一步加强事实无人抚养儿童保障工作的实施意见》（湘民发〔2019〕28号）等相关要求，确保支出申请、拨付、发放符合相关要求，绩效目标设定依据充分，绩效指标清晰、细化、可衡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预算执行过程情况。这涉及建章立制，规范资金使用与管理，如严格资金分配，执行国库集中支付制度，强化资金监管等，以确保发放时效和资金安全。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绩效目标完成情况。这包括资金投入情况分析、项目资金管理情况分析，以及总体绩效目标完成情况。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概况。为了保障孤儿和事实无人抚养儿童基本生活，实施了一系列政策，如孤儿和事实无人抚养儿童基本生活保障以及农村留守儿童和困境儿童关爱服务等。这些政策旨在全面覆盖不同需求的困难儿童，确保他们得到必要的生活保障和救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资金执行情况。在资金执行方面，相关机构按照项目资金下达计划，对绩效进行监控，以确保绩效目标的实现。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管理。在资金管理上，相关机构采取了多项措施来提高资金的使用效率，如加强资待领取金使用管理、强化绩效跟踪、自觉接受纪检、审计部门的监督等。资金通过“一卡通”平台发放，形成了一个全过程的监督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绩效目标。相关机构还对项目的总体绩效目标进行了分析，如确保困难儿童的基本生活救助需求得到满足等。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综上所述，孤儿和事实无人抚养儿童基本生活补贴资金的执行过程是一个涉及多个方面和环节的复杂系统，旨在确保资金的有效分配和合理使用，从而实现对困难儿童的全面救助。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1、孤儿和事实无人抚养儿童基本生活补贴资金使用率指标值为100%，实际完成100%，完成率100%。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2、孤儿和事实无人抚养儿童基本生活补贴发放数据确定后，每月20日前完成发放，≥15工作日，实际完成10工作日，完成率100%。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1、孤儿和事实无人抚养儿童基本生活补贴资金，指标值为妥善保障困难儿童基本生活，实际完成保障基本生活，完成率100%。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一卡通乡镇发放银行变动较大，部分对象账号更改不及时，导致发放时间稍有推迟等情况。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及时更新一卡通账号，尽可能减少因账号更改不及时而导致发放时间推迟的情况。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民政系统其它专项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22</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spacing w:before="137" w:line="221" w:lineRule="auto"/>
        <w:ind w:left="2336"/>
        <w:rPr>
          <w:rFonts w:ascii="黑体" w:hAnsi="黑体" w:eastAsia="黑体" w:cs="黑体"/>
          <w:b/>
          <w:bCs/>
          <w:spacing w:val="6"/>
          <w:sz w:val="42"/>
          <w:szCs w:val="4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1、湖南省民政厅下发《湖南省财政厅 湖南省民政厅关于印发&lt;湖南省民政事务专项资金管理办法&gt;的通知》（湘财社（2021）11号）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2、汨罗市民政局制定了《汨罗市民政局专项资金分配办法》，明确了专项资金分配办法，健全了民政事务专项资金使用管理制度，强化了专项资金的监管。总体截止2023年12月上级共计安排资金预算100万元，为本级专项下拨资金。主要用于汨罗市2023年民政系统其它专项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民政局机关年初预算民政系统其他专项100万元，全部为全年民政事业发展经费，用于志愿服务、社区治理、殡葬整治、民间组织管理等各类民政业务工作经费。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全年民政业务工作经费有所解决。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实施以来，取得了很大的成效，有效缓解了民政工作经费压力。民政专项资金管理规范，严格按资金用途使用，项目管理到位，政策执行有力，有效地发挥了财政资金的使用效率，较圆满地完成了民政的各项工作任务，年终绩效考核取得了很好的成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评价工作组经过各项指标的认真评价和综合评审，综合得分100分，我局民政系统其他专项项目绩效自评等次为“优秀”。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1、严格支出管理。政府采购，公务接待，下乡出差等支出严格按照预算科目和项目资金的规定使用财政资金，保障部门整体支出的规范化、制度化。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2、财务管理按制度运行。按照国家法律法规，制定了机关财务、资产配置使用、接待、会务、因公出差、车辆使用等内部控制制度，并按照制度管理和执行，防范风险，保证财政资金的安全和高效运行。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该项目主要用于弥补民政工作经费不足，如违建墓地专项整治，公益性公墓，民政办主任驻村补贴等。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民政系统其它专项总支出为100万元，使用率指标值为100%，实际完成100%，完成率100%。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1、民政系统其它专项用于弥补工作经费，保障机关正常运转，弘扬中华民族美德，维系社会稳定，让民政对象人得到实实在在的服务。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因部门整体支出的预算资金安排和使用上仍有不可预见性，还需加强预算管理，科学编制预算。随着群众生活水平的提高，各项专项资金也都迫切要求加大投入。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加强各部门协作、社会参与机制，整合社会资源，优化社会资源配置，建立监督机制，加大奖惩力度；加强各部门的队伍建设和业务指导，培养项目和部门的绩效管理队伍，建立绩效评价的长期机制。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殡葬改革惠民补</w:t>
      </w:r>
      <w:r>
        <w:rPr>
          <w:rFonts w:hint="eastAsia" w:ascii="黑体" w:hAnsi="黑体" w:eastAsia="黑体" w:cs="黑体"/>
          <w:spacing w:val="10"/>
          <w:position w:val="12"/>
          <w:sz w:val="41"/>
          <w:szCs w:val="41"/>
        </w:rPr>
        <w:t>贴</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color w:val="auto"/>
          <w:sz w:val="27"/>
          <w:szCs w:val="27"/>
        </w:rPr>
      </w:pPr>
      <w:r>
        <w:rPr>
          <w:rFonts w:hint="eastAsia"/>
          <w:color w:val="auto"/>
          <w:spacing w:val="-13"/>
          <w:position w:val="26"/>
          <w:sz w:val="27"/>
          <w:szCs w:val="27"/>
          <w:lang w:val="en-US" w:eastAsia="zh-CN"/>
        </w:rPr>
        <w:t>2024</w:t>
      </w:r>
      <w:r>
        <w:rPr>
          <w:color w:val="auto"/>
          <w:spacing w:val="-13"/>
          <w:position w:val="26"/>
          <w:sz w:val="27"/>
          <w:szCs w:val="27"/>
        </w:rPr>
        <w:t>年</w:t>
      </w:r>
      <w:r>
        <w:rPr>
          <w:rFonts w:hint="eastAsia"/>
          <w:color w:val="auto"/>
          <w:spacing w:val="-13"/>
          <w:position w:val="26"/>
          <w:sz w:val="27"/>
          <w:szCs w:val="27"/>
          <w:lang w:val="en-US" w:eastAsia="zh-CN"/>
        </w:rPr>
        <w:t>10</w:t>
      </w:r>
      <w:r>
        <w:rPr>
          <w:color w:val="auto"/>
          <w:spacing w:val="-13"/>
          <w:position w:val="26"/>
          <w:sz w:val="27"/>
          <w:szCs w:val="27"/>
        </w:rPr>
        <w:t>月</w:t>
      </w:r>
      <w:r>
        <w:rPr>
          <w:rFonts w:hint="eastAsia"/>
          <w:color w:val="auto"/>
          <w:spacing w:val="12"/>
          <w:position w:val="26"/>
          <w:sz w:val="27"/>
          <w:szCs w:val="27"/>
          <w:lang w:val="en-US" w:eastAsia="zh-CN"/>
        </w:rPr>
        <w:t>22</w:t>
      </w:r>
      <w:r>
        <w:rPr>
          <w:color w:val="auto"/>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20"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惠民殡葬补贴的对象:具有本市户籍，死亡后按殡葬法律法规火葬的城乡居民和困难群众（困难群众主要包括:城乡低保对象、农村五保对象、城镇“三无人员”和公安机关确认的无名遗体)。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补贴标准: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1、（1)遗体接运费:100-300元/具；(2）72小时遗体冷藏费576元；(3）骨灰盒1个200元；(4）卫生纸棺1个200元；(5）平板火化炉遗体火化费430元。以上五项合计补贴标准1506元，1606元，1706元。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2、遗体火化后进合法公墓安葬的补贴500元/具；遗体火化后进合法公墓实行树葬、花葬、草坪葬等不留坟头节地生态安葬形式的 另补贴1000/具。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3、财政供养及享受国家丧葬抚恤补贴人员，不重复享受惠民殡葬补贴。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年汨罗市“惠民殡葬补贴”资金</w:t>
      </w:r>
      <w:r>
        <w:rPr>
          <w:rFonts w:hint="eastAsia" w:eastAsia="仿宋_GB2312"/>
          <w:kern w:val="0"/>
          <w:sz w:val="32"/>
          <w:szCs w:val="32"/>
          <w:lang w:val="en-US" w:eastAsia="zh-CN"/>
        </w:rPr>
        <w:t>共发</w:t>
      </w:r>
      <w:r>
        <w:rPr>
          <w:rFonts w:hint="eastAsia" w:eastAsia="仿宋_GB2312"/>
          <w:color w:val="auto"/>
          <w:kern w:val="0"/>
          <w:sz w:val="32"/>
          <w:szCs w:val="32"/>
          <w:lang w:val="en-US" w:eastAsia="zh-CN"/>
        </w:rPr>
        <w:t>放131.49</w:t>
      </w:r>
      <w:r>
        <w:rPr>
          <w:rFonts w:hint="eastAsia" w:eastAsia="仿宋_GB2312"/>
          <w:color w:val="auto"/>
          <w:kern w:val="0"/>
          <w:sz w:val="32"/>
          <w:szCs w:val="32"/>
          <w:lang w:val="en-US" w:eastAsia="en-US"/>
        </w:rPr>
        <w:t>万元，</w:t>
      </w:r>
      <w:r>
        <w:rPr>
          <w:rFonts w:hint="eastAsia" w:eastAsia="仿宋_GB2312"/>
          <w:kern w:val="0"/>
          <w:sz w:val="32"/>
          <w:szCs w:val="32"/>
          <w:lang w:val="en-US" w:eastAsia="en-US"/>
        </w:rPr>
        <w:t>其中城乡居民和困难群众补贴</w:t>
      </w:r>
      <w:r>
        <w:rPr>
          <w:rFonts w:hint="eastAsia" w:eastAsia="仿宋_GB2312"/>
          <w:kern w:val="0"/>
          <w:sz w:val="32"/>
          <w:szCs w:val="32"/>
          <w:lang w:val="en-US" w:eastAsia="zh-CN"/>
        </w:rPr>
        <w:t>129.04</w:t>
      </w:r>
      <w:r>
        <w:rPr>
          <w:rFonts w:hint="eastAsia" w:eastAsia="仿宋_GB2312"/>
          <w:kern w:val="0"/>
          <w:sz w:val="32"/>
          <w:szCs w:val="32"/>
          <w:lang w:val="en-US" w:eastAsia="en-US"/>
        </w:rPr>
        <w:t>万元，武夷山村公墓惠民补贴2.45万元。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符合条件对象发放率达到100%，规范惠民殡葬补贴政策实施，合理确定保障标准。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我市基本丧葬费用减免工作于2018年才开始启动，各项相关工作正在完善改进中。先将基本丧葬费用目前还不能通过一卡通发放做如下说明: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（1）基本丧葬费用由我所按规定标准审核报财政局核准后，由市财政局直接拨付到市殡仪馆，一季度结算一次。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(2）补贴对象需凭死亡证明，有效身份证明，通过村（社区）、乡镇审核，我所核准认定后，凭我所开具的基本丧葬费用减免申请单才能享受减免。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(3）一卡通发放增加工作难度。符合减免条件的，在遗体火化时直接免收相关费用，程序、手续简单。打卡发放无形中会增加金额核对、丧属重复跑路等手续。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评价工作组经过各项指标的认真评价和综合评审，综合得分97.47分，我所殡葬惠民补贴项目绩效自评等次为“优秀”。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全面贯彻落实《殡葬管理条例》(国务院令第628号)和《湖南省实施&lt;殡葬管理条例&gt;办法》(省政府令第154号)、《汨罗市人民政府办公室关于印发&lt;汨罗市殡葬改革实施方案&gt;的通知》(汨政办发[2017]62号)文件精神，进一步加强殡葬管理工作，完善我市殡葬基础设施体系，全面落实惠民殡葬政策进行拨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1、加强违建墓地巡查与整治力度，建立禁葬区确保违建墓地不反弹。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2、全面落实惠民政策，促进殡葬管理及服务与殡改协调并进。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3、</w:t>
      </w:r>
      <w:r>
        <w:rPr>
          <w:rFonts w:hint="eastAsia" w:eastAsia="仿宋_GB2312"/>
          <w:kern w:val="0"/>
          <w:sz w:val="32"/>
          <w:szCs w:val="32"/>
          <w:lang w:val="en-US" w:eastAsia="zh-CN"/>
        </w:rPr>
        <w:t>加强火化区范围巡查，确保全年火化率达100%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eastAsia="zh-CN"/>
        </w:rPr>
        <w:t>(三</w:t>
      </w:r>
      <w:r>
        <w:rPr>
          <w:rFonts w:hint="eastAsia" w:ascii="Arial" w:hAnsi="Arial" w:eastAsia="仿宋_GB2312" w:cs="Arial"/>
          <w:snapToGrid w:val="0"/>
          <w:color w:val="000000"/>
          <w:kern w:val="0"/>
          <w:sz w:val="32"/>
          <w:szCs w:val="32"/>
          <w:lang w:val="en-US" w:eastAsia="zh-CN" w:bidi="ar-SA"/>
        </w:rPr>
        <w:t>)项目支出产出情况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殡葬惠民补贴资金使用率指标值为100%，实际完成100%，完成率100%。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此项惠民政策的实施，减轻了困难群众的丧葬负担，充分体现殡葬改革惠民、利民、为民的特点，真正使生者安慰、故者安息。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1、每季度初由市殡仪馆对上季度免除基本殡葬费进行汇总，会同市殡葬管理所出具核对无误后的减免对象花名册和相关减免资料，逐项核实“惠民补贴”对象，确保“补贴”对象真实，发放精准到位。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2、殡葬改革宣传教育的力度不够。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多措并举，努力开创惠民殡葬工作新局面。殡葬改革的重点在农村，难点在农村，建立健全农村红白理事会，倡导丧事俭办文明新风，通过积极发挥红白理事会作用，有效破解了大操大办、乱埋乱葬、骨灰装棺再葬等难题。以“互联网+殡葬”为手段，全面提升殡葬管理服务水平，以奖补机制为引擎，加快推进全省公益性公墓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pPr>
        <w:numPr>
          <w:ilvl w:val="0"/>
          <w:numId w:val="0"/>
        </w:numPr>
        <w:spacing w:before="154" w:line="360" w:lineRule="auto"/>
        <w:ind w:left="0" w:leftChars="0" w:firstLine="640" w:firstLineChars="200"/>
        <w:outlineLvl w:val="1"/>
        <w:rPr>
          <w:rFonts w:hint="eastAsia" w:ascii="黑体" w:hAnsi="黑体" w:eastAsia="黑体" w:cs="黑体"/>
          <w:b/>
          <w:bCs/>
          <w:spacing w:val="-15"/>
          <w:sz w:val="31"/>
          <w:szCs w:val="31"/>
          <w:lang w:eastAsia="zh-CN"/>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sectPr>
      <w:footerReference r:id="rId2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38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43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09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47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72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288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E4192"/>
    <w:multiLevelType w:val="singleLevel"/>
    <w:tmpl w:val="F87E4192"/>
    <w:lvl w:ilvl="0" w:tentative="0">
      <w:start w:val="4"/>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g4MTI1ZmEwNTdmODQ0MmJmZDMxNDZlOGIxOGM2M2UifQ=="/>
  </w:docVars>
  <w:rsids>
    <w:rsidRoot w:val="00000000"/>
    <w:rsid w:val="01AF3811"/>
    <w:rsid w:val="02FC7C49"/>
    <w:rsid w:val="03795BF7"/>
    <w:rsid w:val="04B17FDE"/>
    <w:rsid w:val="07AD0F65"/>
    <w:rsid w:val="086E756B"/>
    <w:rsid w:val="0ACF37E5"/>
    <w:rsid w:val="0B400BC6"/>
    <w:rsid w:val="0E68228D"/>
    <w:rsid w:val="0EA6787F"/>
    <w:rsid w:val="15276E52"/>
    <w:rsid w:val="156264EB"/>
    <w:rsid w:val="18002430"/>
    <w:rsid w:val="19D32FBC"/>
    <w:rsid w:val="1D267DC0"/>
    <w:rsid w:val="1D293D92"/>
    <w:rsid w:val="1E6A4395"/>
    <w:rsid w:val="231864ED"/>
    <w:rsid w:val="238648ED"/>
    <w:rsid w:val="25557A3D"/>
    <w:rsid w:val="26EA5ED7"/>
    <w:rsid w:val="27A93B82"/>
    <w:rsid w:val="2AE00186"/>
    <w:rsid w:val="2D5108C3"/>
    <w:rsid w:val="308216BE"/>
    <w:rsid w:val="332B57A9"/>
    <w:rsid w:val="34FE1149"/>
    <w:rsid w:val="3A550786"/>
    <w:rsid w:val="3B7A130F"/>
    <w:rsid w:val="3C591E05"/>
    <w:rsid w:val="40FF2E48"/>
    <w:rsid w:val="46566188"/>
    <w:rsid w:val="494A1329"/>
    <w:rsid w:val="4AE431C4"/>
    <w:rsid w:val="4D786F23"/>
    <w:rsid w:val="4F8B6063"/>
    <w:rsid w:val="52FA3F96"/>
    <w:rsid w:val="536A732F"/>
    <w:rsid w:val="55850F17"/>
    <w:rsid w:val="57AE6D93"/>
    <w:rsid w:val="5FB623A7"/>
    <w:rsid w:val="62C86A78"/>
    <w:rsid w:val="672E75A8"/>
    <w:rsid w:val="681D2B07"/>
    <w:rsid w:val="6E3851B0"/>
    <w:rsid w:val="6FF72E23"/>
    <w:rsid w:val="708118FC"/>
    <w:rsid w:val="720D6902"/>
    <w:rsid w:val="738A2CA9"/>
    <w:rsid w:val="73903399"/>
    <w:rsid w:val="73A4210F"/>
    <w:rsid w:val="74F11DAB"/>
    <w:rsid w:val="77FF3412"/>
    <w:rsid w:val="784167CA"/>
    <w:rsid w:val="799629CC"/>
    <w:rsid w:val="7B9B707B"/>
    <w:rsid w:val="7CBC6FAC"/>
    <w:rsid w:val="7ED67756"/>
    <w:rsid w:val="EBEF8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3183</Words>
  <Characters>3767</Characters>
  <TotalTime>25</TotalTime>
  <ScaleCrop>false</ScaleCrop>
  <LinksUpToDate>false</LinksUpToDate>
  <CharactersWithSpaces>3822</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2024-04-20T21:25:00Z</dcterms:created>
  <dc:creator>Administrator</dc:creator>
  <cp:lastModifiedBy>kylin</cp:lastModifiedBy>
  <cp:lastPrinted>2024-05-22T14:05:00Z</cp:lastPrinted>
  <dcterms:modified xsi:type="dcterms:W3CDTF">2025-07-21T16:26:33Z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y fmtid="{D5CDD505-2E9C-101B-9397-08002B2CF9AE}" pid="7" name="KSOTemplateDocerSaveRecord">
    <vt:lpwstr>eyJoZGlkIjoiZTg4MTI1ZmEwNTdmODQ0MmJmZDMxNDZlOGIxOGM2M2UiLCJ1c2VySWQiOiIyNDM5NjU0MDEifQ==</vt:lpwstr>
  </property>
</Properties>
</file>