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1"/>
        <w:gridCol w:w="96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46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192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Merge w:val="continue"/>
            <w:tcBorders>
              <w:top w:val="nil"/>
            </w:tcBorders>
            <w:vAlign w:val="center"/>
          </w:tcPr>
          <w:p>
            <w:pPr>
              <w:spacing w:line="240" w:lineRule="auto"/>
              <w:ind w:firstLine="420"/>
              <w:jc w:val="center"/>
              <w:rPr>
                <w:rFonts w:ascii="仿宋_GB2312" w:eastAsia="仿宋_GB2312"/>
                <w:kern w:val="0"/>
              </w:rPr>
            </w:pPr>
          </w:p>
        </w:tc>
        <w:tc>
          <w:tcPr>
            <w:tcW w:w="1926" w:type="dxa"/>
            <w:gridSpan w:val="2"/>
            <w:vAlign w:val="center"/>
          </w:tcPr>
          <w:p>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139</w:t>
            </w:r>
          </w:p>
        </w:tc>
        <w:tc>
          <w:tcPr>
            <w:tcW w:w="2039" w:type="dxa"/>
            <w:gridSpan w:val="2"/>
            <w:vAlign w:val="center"/>
          </w:tcPr>
          <w:p>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139</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2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6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1926" w:type="dxa"/>
            <w:gridSpan w:val="2"/>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6.66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192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6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192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192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6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192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6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192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1926" w:type="dxa"/>
            <w:gridSpan w:val="2"/>
            <w:vAlign w:val="center"/>
          </w:tcPr>
          <w:p>
            <w:pPr>
              <w:spacing w:line="240" w:lineRule="auto"/>
              <w:ind w:firstLine="420"/>
              <w:jc w:val="center"/>
              <w:rPr>
                <w:rFonts w:hint="default" w:ascii="仿宋_GB2312" w:eastAsia="仿宋_GB2312"/>
                <w:kern w:val="0"/>
                <w:lang w:val="en-US"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192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192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ind w:firstLine="420"/>
              <w:jc w:val="both"/>
              <w:rPr>
                <w:rFonts w:ascii="仿宋_GB2312" w:eastAsia="仿宋_GB2312"/>
                <w:color w:val="auto"/>
                <w:kern w:val="0"/>
                <w:lang w:eastAsia="zh-CN"/>
              </w:rPr>
            </w:pPr>
            <w:r>
              <w:rPr>
                <w:rFonts w:hint="eastAsia" w:ascii="仿宋_GB2312" w:eastAsia="仿宋_GB2312"/>
                <w:color w:val="auto"/>
                <w:kern w:val="0"/>
                <w:lang w:eastAsia="zh-CN"/>
              </w:rPr>
              <w:t>3</w:t>
            </w:r>
            <w:r>
              <w:rPr>
                <w:rFonts w:hint="eastAsia" w:ascii="仿宋_GB2312" w:hAnsi="宋体" w:eastAsia="仿宋_GB2312" w:cs="宋体"/>
                <w:color w:val="auto"/>
                <w:kern w:val="0"/>
                <w:lang w:eastAsia="zh-CN"/>
              </w:rPr>
              <w:t>、县级专项资金</w:t>
            </w:r>
          </w:p>
        </w:tc>
        <w:tc>
          <w:tcPr>
            <w:tcW w:w="1926" w:type="dxa"/>
            <w:gridSpan w:val="2"/>
            <w:vAlign w:val="center"/>
          </w:tcPr>
          <w:p>
            <w:pPr>
              <w:spacing w:line="240" w:lineRule="auto"/>
              <w:ind w:firstLine="420"/>
              <w:jc w:val="center"/>
              <w:rPr>
                <w:rFonts w:ascii="仿宋_GB2312" w:eastAsia="仿宋_GB2312"/>
                <w:color w:val="auto"/>
                <w:kern w:val="0"/>
                <w:lang w:eastAsia="zh-CN"/>
              </w:rPr>
            </w:pPr>
            <w:r>
              <w:rPr>
                <w:rFonts w:hint="eastAsia" w:ascii="仿宋_GB2312" w:eastAsia="仿宋_GB2312"/>
                <w:color w:val="auto"/>
                <w:kern w:val="0"/>
                <w:lang w:val="en-US" w:eastAsia="zh-CN"/>
              </w:rPr>
              <w:t>275.4</w:t>
            </w:r>
          </w:p>
        </w:tc>
        <w:tc>
          <w:tcPr>
            <w:tcW w:w="2039" w:type="dxa"/>
            <w:gridSpan w:val="2"/>
            <w:vAlign w:val="center"/>
          </w:tcPr>
          <w:p>
            <w:pPr>
              <w:spacing w:line="240" w:lineRule="auto"/>
              <w:ind w:firstLine="420"/>
              <w:jc w:val="center"/>
              <w:rPr>
                <w:rFonts w:ascii="仿宋_GB2312" w:eastAsia="仿宋_GB2312"/>
                <w:color w:val="auto"/>
                <w:kern w:val="0"/>
                <w:lang w:eastAsia="zh-CN"/>
              </w:rPr>
            </w:pPr>
            <w:r>
              <w:rPr>
                <w:rFonts w:hint="eastAsia" w:ascii="仿宋_GB2312" w:eastAsia="仿宋_GB2312"/>
                <w:color w:val="auto"/>
                <w:kern w:val="0"/>
                <w:lang w:val="en-US" w:eastAsia="zh-CN"/>
              </w:rPr>
              <w:t>154</w:t>
            </w:r>
          </w:p>
        </w:tc>
        <w:tc>
          <w:tcPr>
            <w:tcW w:w="1983" w:type="dxa"/>
            <w:gridSpan w:val="2"/>
            <w:vAlign w:val="center"/>
          </w:tcPr>
          <w:p>
            <w:pPr>
              <w:spacing w:line="240" w:lineRule="auto"/>
              <w:ind w:firstLine="420"/>
              <w:jc w:val="center"/>
              <w:rPr>
                <w:rFonts w:ascii="仿宋_GB2312" w:eastAsia="仿宋_GB2312"/>
                <w:color w:val="auto"/>
                <w:kern w:val="0"/>
                <w:lang w:eastAsia="zh-CN"/>
              </w:rPr>
            </w:pPr>
            <w:r>
              <w:rPr>
                <w:rFonts w:hint="eastAsia" w:ascii="仿宋_GB2312" w:eastAsia="仿宋_GB2312"/>
                <w:color w:val="auto"/>
                <w:kern w:val="0"/>
                <w:lang w:val="en-US" w:eastAsia="zh-CN"/>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老干福利费</w:t>
            </w:r>
          </w:p>
        </w:tc>
        <w:tc>
          <w:tcPr>
            <w:tcW w:w="192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劳动维权办案专项</w:t>
            </w:r>
          </w:p>
        </w:tc>
        <w:tc>
          <w:tcPr>
            <w:tcW w:w="1926" w:type="dxa"/>
            <w:gridSpan w:val="2"/>
            <w:vAlign w:val="center"/>
          </w:tcPr>
          <w:p>
            <w:pPr>
              <w:spacing w:line="240" w:lineRule="auto"/>
              <w:ind w:firstLine="420"/>
              <w:jc w:val="center"/>
              <w:rPr>
                <w:rFonts w:hint="eastAsia" w:ascii="仿宋_GB2312" w:eastAsia="仿宋_GB2312"/>
                <w:b/>
                <w:bCs/>
                <w:kern w:val="0"/>
                <w:lang w:val="en-US" w:eastAsia="zh-CN"/>
              </w:rPr>
            </w:pPr>
            <w:r>
              <w:rPr>
                <w:rFonts w:hint="eastAsia" w:ascii="仿宋_GB2312" w:eastAsia="仿宋_GB2312"/>
                <w:b w:val="0"/>
                <w:bCs w:val="0"/>
                <w:kern w:val="0"/>
                <w:lang w:val="en-US" w:eastAsia="zh-CN"/>
              </w:rPr>
              <w:t>203.06</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事业单位人员招聘考试</w:t>
            </w:r>
          </w:p>
        </w:tc>
        <w:tc>
          <w:tcPr>
            <w:tcW w:w="192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劳动仲裁、工伤认定</w:t>
            </w:r>
          </w:p>
        </w:tc>
        <w:tc>
          <w:tcPr>
            <w:tcW w:w="192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网络安全测评及整改费用</w:t>
            </w:r>
          </w:p>
        </w:tc>
        <w:tc>
          <w:tcPr>
            <w:tcW w:w="192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23.34</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档案管理</w:t>
            </w:r>
          </w:p>
        </w:tc>
        <w:tc>
          <w:tcPr>
            <w:tcW w:w="192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年度考核年终评奖经费</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工伤保险监督认定</w:t>
            </w:r>
          </w:p>
        </w:tc>
        <w:tc>
          <w:tcPr>
            <w:tcW w:w="1926" w:type="dxa"/>
            <w:gridSpan w:val="2"/>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36.78</w:t>
            </w:r>
          </w:p>
        </w:tc>
        <w:tc>
          <w:tcPr>
            <w:tcW w:w="2039" w:type="dxa"/>
            <w:gridSpan w:val="2"/>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12.00</w:t>
            </w:r>
          </w:p>
        </w:tc>
        <w:tc>
          <w:tcPr>
            <w:tcW w:w="1983" w:type="dxa"/>
            <w:gridSpan w:val="2"/>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死亡补助及抚恤金专项</w:t>
            </w:r>
          </w:p>
        </w:tc>
        <w:tc>
          <w:tcPr>
            <w:tcW w:w="192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787.26</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1032.21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 w:eastAsia="zh-CN"/>
              </w:rPr>
            </w:pPr>
            <w:r>
              <w:rPr>
                <w:rFonts w:hint="eastAsia" w:ascii="仿宋_GB2312" w:eastAsia="仿宋_GB2312"/>
                <w:kern w:val="0"/>
                <w:lang w:val="en" w:eastAsia="zh-CN"/>
              </w:rPr>
              <w:t>非财政专项资金</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工会事务等专项</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社保监督执法</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城乡居民养老保险征收及死亡认证奖励经费</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99</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社保监督执法专项</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机关事业单位退休人员职业年金补偿</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2385.66</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461" w:type="dxa"/>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社保征收经费</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复退军人生活补助</w:t>
            </w:r>
          </w:p>
        </w:tc>
        <w:tc>
          <w:tcPr>
            <w:tcW w:w="192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34.59</w:t>
            </w:r>
          </w:p>
        </w:tc>
        <w:tc>
          <w:tcPr>
            <w:tcW w:w="2039" w:type="dxa"/>
            <w:gridSpan w:val="2"/>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34.59</w:t>
            </w:r>
          </w:p>
        </w:tc>
        <w:tc>
          <w:tcPr>
            <w:tcW w:w="1983"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pPr>
              <w:spacing w:line="240" w:lineRule="auto"/>
              <w:jc w:val="both"/>
              <w:rPr>
                <w:rFonts w:hint="eastAsia" w:ascii="仿宋_GB2312" w:eastAsia="仿宋_GB2312"/>
                <w:kern w:val="0"/>
                <w:lang w:eastAsia="zh-CN"/>
              </w:rPr>
            </w:pPr>
            <w:r>
              <w:rPr>
                <w:rFonts w:hint="eastAsia" w:ascii="仿宋_GB2312" w:hAnsi="宋体" w:eastAsia="仿宋_GB2312" w:cs="宋体"/>
                <w:color w:val="auto"/>
                <w:kern w:val="0"/>
              </w:rPr>
              <w:t>公用经费</w:t>
            </w:r>
          </w:p>
        </w:tc>
        <w:tc>
          <w:tcPr>
            <w:tcW w:w="192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322.82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239.87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192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6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192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38.92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192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11.89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pPr>
              <w:spacing w:line="240" w:lineRule="auto"/>
              <w:jc w:val="left"/>
              <w:rPr>
                <w:rFonts w:ascii="仿宋_GB2312" w:eastAsia="仿宋_GB2312"/>
                <w:kern w:val="0"/>
              </w:rPr>
            </w:pPr>
            <w:r>
              <w:rPr>
                <w:rFonts w:hint="eastAsia" w:ascii="仿宋_GB2312" w:hAnsi="宋体" w:eastAsia="仿宋_GB2312" w:cs="宋体"/>
                <w:color w:val="auto"/>
                <w:kern w:val="0"/>
              </w:rPr>
              <w:t>政府采购金额</w:t>
            </w:r>
          </w:p>
        </w:tc>
        <w:tc>
          <w:tcPr>
            <w:tcW w:w="192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84.19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87.95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6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192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46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96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594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仿宋_GB2312" w:hAnsi="宋体" w:eastAsia="仿宋_GB2312" w:cs="宋体"/>
                <w:color w:val="auto"/>
                <w:kern w:val="0"/>
                <w:lang w:eastAsia="zh-CN"/>
              </w:rPr>
              <w:t>一、强化预算源头管控，压缩非必要支出</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二、优化经费使用流程，减少资源浪费</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三、创新节约激励机制，强化全员意识</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四、完善监督与整改机制，确保措施落地</w:t>
            </w:r>
          </w:p>
        </w:tc>
      </w:tr>
    </w:tbl>
    <w:p>
      <w:pPr>
        <w:spacing w:line="240" w:lineRule="auto"/>
        <w:jc w:val="left"/>
        <w:rPr>
          <w:rFonts w:ascii="仿宋_GB2312" w:eastAsia="仿宋_GB2312"/>
          <w:kern w:val="0"/>
          <w:sz w:val="24"/>
          <w:szCs w:val="24"/>
          <w:highlight w:val="none"/>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项目支出</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需要填报基本支出以外的所有项目支出情况，</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公用经费</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1947</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3897.95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3897.95</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其中：一般公共预算：3795.0</w:t>
            </w:r>
            <w:r>
              <w:rPr>
                <w:rFonts w:hint="eastAsia" w:ascii="仿宋_GB2312" w:hAnsi="宋体" w:eastAsia="仿宋_GB2312" w:cs="宋体"/>
                <w:kern w:val="0"/>
                <w:lang w:val="en-US" w:eastAsia="zh-CN"/>
              </w:rPr>
              <w:t>7</w:t>
            </w:r>
          </w:p>
        </w:tc>
        <w:tc>
          <w:tcPr>
            <w:tcW w:w="4260" w:type="dxa"/>
            <w:gridSpan w:val="4"/>
            <w:vAlign w:val="center"/>
          </w:tcPr>
          <w:p>
            <w:pPr>
              <w:spacing w:line="240" w:lineRule="auto"/>
              <w:ind w:firstLine="420"/>
              <w:jc w:val="left"/>
              <w:rPr>
                <w:rFonts w:hint="default" w:ascii="仿宋_GB2312" w:eastAsia="仿宋_GB2312"/>
                <w:color w:val="auto"/>
                <w:kern w:val="0"/>
                <w:lang w:val="en-US" w:eastAsia="zh-CN"/>
              </w:rPr>
            </w:pPr>
            <w:r>
              <w:rPr>
                <w:rFonts w:hint="eastAsia" w:ascii="仿宋_GB2312" w:hAnsi="宋体" w:eastAsia="仿宋_GB2312" w:cs="宋体"/>
                <w:color w:val="auto"/>
                <w:kern w:val="0"/>
              </w:rPr>
              <w:t>其中：基本支出：171</w:t>
            </w:r>
            <w:r>
              <w:rPr>
                <w:rFonts w:hint="eastAsia" w:ascii="仿宋_GB2312" w:hAnsi="宋体" w:eastAsia="仿宋_GB2312" w:cs="宋体"/>
                <w:color w:val="auto"/>
                <w:kern w:val="0"/>
                <w:lang w:val="en-US" w:eastAsia="zh-CN"/>
              </w:rPr>
              <w:t>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color w:val="auto"/>
                <w:kern w:val="0"/>
                <w:lang w:val="en-US" w:eastAsia="zh-CN"/>
              </w:rPr>
            </w:pPr>
            <w:r>
              <w:rPr>
                <w:rFonts w:hint="eastAsia" w:ascii="仿宋_GB2312" w:hAnsi="宋体" w:eastAsia="仿宋_GB2312" w:cs="宋体"/>
                <w:color w:val="auto"/>
                <w:kern w:val="0"/>
              </w:rPr>
              <w:t>项目支出：</w:t>
            </w:r>
            <w:r>
              <w:rPr>
                <w:rFonts w:hint="eastAsia" w:ascii="仿宋_GB2312" w:hAnsi="宋体" w:eastAsia="仿宋_GB2312" w:cs="宋体"/>
                <w:color w:val="auto"/>
                <w:kern w:val="0"/>
                <w:lang w:val="en-US" w:eastAsia="zh-CN"/>
              </w:rPr>
              <w:t>2181.69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102.88</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1、夯实基础，在环境改善中优化服务，加快葱粉就业社区（村）的建设，加快人社信息化建设步伐；</w:t>
            </w:r>
          </w:p>
          <w:p>
            <w:pPr>
              <w:spacing w:line="240" w:lineRule="auto"/>
              <w:ind w:firstLine="420"/>
              <w:jc w:val="center"/>
              <w:rPr>
                <w:rFonts w:hint="eastAsia" w:ascii="仿宋_GB2312" w:eastAsia="仿宋_GB2312"/>
                <w:kern w:val="0"/>
              </w:rPr>
            </w:pPr>
            <w:r>
              <w:rPr>
                <w:rFonts w:hint="eastAsia" w:ascii="仿宋_GB2312" w:eastAsia="仿宋_GB2312"/>
                <w:kern w:val="0"/>
              </w:rPr>
              <w:t>2、突出亮点，在争先创优中突出成绩，大力实施技能培训，全力扶持创业带动就业；</w:t>
            </w:r>
          </w:p>
          <w:p>
            <w:pPr>
              <w:spacing w:line="240" w:lineRule="auto"/>
              <w:ind w:firstLine="420"/>
              <w:jc w:val="center"/>
              <w:rPr>
                <w:rFonts w:hint="eastAsia" w:ascii="仿宋_GB2312" w:eastAsia="仿宋_GB2312"/>
                <w:kern w:val="0"/>
              </w:rPr>
            </w:pPr>
            <w:r>
              <w:rPr>
                <w:rFonts w:hint="eastAsia" w:ascii="仿宋_GB2312" w:eastAsia="仿宋_GB2312"/>
                <w:kern w:val="0"/>
              </w:rPr>
              <w:t>3、兜住底线，在日常管理中促规范，健全更完善的社保体系，实施更有力的劳动维权；</w:t>
            </w:r>
          </w:p>
          <w:p>
            <w:pPr>
              <w:spacing w:line="240" w:lineRule="auto"/>
              <w:ind w:firstLine="420"/>
              <w:jc w:val="center"/>
              <w:rPr>
                <w:rFonts w:ascii="仿宋_GB2312" w:eastAsia="仿宋_GB2312"/>
                <w:kern w:val="0"/>
              </w:rPr>
            </w:pPr>
            <w:r>
              <w:rPr>
                <w:rFonts w:hint="eastAsia" w:ascii="仿宋_GB2312" w:eastAsia="仿宋_GB2312"/>
                <w:kern w:val="0"/>
              </w:rPr>
              <w:t>4、练好内功，在素质提升中树形象，加强党的建设，加强能力建设。</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圆满按时完成。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处理农民工工资拖欠问题此次数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≥1500次</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1503次</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事业单位公开招聘计划人数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≥178人</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178人</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劳动人事争议仲裁结案率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完成时间</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2023年全年</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2023年全年</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促进经济发展</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事业单位退休人员老有所养</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保障退休人员基本生活，促进基本养老保险制度可持续发展</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按时完成</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生态环境改善状况</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5</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对市民群众获得感和幸福感的影响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持续</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持续</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受益对象满意度</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社会公众满意度</w:t>
            </w:r>
          </w:p>
        </w:tc>
        <w:tc>
          <w:tcPr>
            <w:tcW w:w="1298"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2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年初预算项目经费总额（含年中调整）</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154万元</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625.05万元</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jc w:val="center"/>
              <w:rPr>
                <w:rFonts w:hint="eastAsia" w:ascii="仿宋_GB2312" w:eastAsia="仿宋_GB2312"/>
                <w:kern w:val="0"/>
                <w:lang w:val="en-US" w:eastAsia="zh-CN"/>
              </w:rPr>
            </w:pPr>
          </w:p>
        </w:tc>
        <w:tc>
          <w:tcPr>
            <w:tcW w:w="1029" w:type="dxa"/>
            <w:vMerge w:val="continue"/>
            <w:vAlign w:val="center"/>
          </w:tcPr>
          <w:p>
            <w:pPr>
              <w:spacing w:line="240" w:lineRule="auto"/>
              <w:jc w:val="center"/>
              <w:rPr>
                <w:rFonts w:hint="eastAsia" w:ascii="仿宋_GB2312" w:eastAsia="仿宋_GB2312"/>
                <w:kern w:val="0"/>
                <w:lang w:eastAsia="zh-CN"/>
              </w:rPr>
            </w:pPr>
          </w:p>
        </w:tc>
        <w:tc>
          <w:tcPr>
            <w:tcW w:w="1249"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年初预算人员经费总额（含年中调整）</w:t>
            </w:r>
          </w:p>
        </w:tc>
        <w:tc>
          <w:tcPr>
            <w:tcW w:w="1298"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690.17</w:t>
            </w:r>
          </w:p>
        </w:tc>
        <w:tc>
          <w:tcPr>
            <w:tcW w:w="1269"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746.17</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对自然生态环境造成的负面影响</w:t>
            </w:r>
          </w:p>
        </w:tc>
        <w:tc>
          <w:tcPr>
            <w:tcW w:w="1298"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269"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9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spacing w:line="228" w:lineRule="auto"/>
        <w:ind w:firstLine="400"/>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方正小标宋简体" w:hAnsi="宋体" w:eastAsia="方正小标宋简体" w:cs="宋体"/>
          <w:bCs/>
          <w:spacing w:val="8"/>
          <w:kern w:val="0"/>
          <w:sz w:val="44"/>
          <w:szCs w:val="44"/>
          <w:lang w:val="en-US" w:eastAsia="zh-CN"/>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劳动维权办案专项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color w:val="auto"/>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保证劳动监察工作正常运行</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处理农民工工资拖欠问题</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≥1500次</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1503次</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年度执法案卷评查合格率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 ≥95%</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全年查处各类案件法定结案率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维护劳动关系和谐稳定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效益显著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效益显著</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84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138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促进我市构建和谐稳定的劳动关系，进一步保障本市经济发展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劳动关系双方当事人满意度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≥85%</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80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100万元        </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100万元        </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无</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kinsoku w:val="0"/>
        <w:autoSpaceDE w:val="0"/>
        <w:autoSpaceDN w:val="0"/>
        <w:adjustRightInd w:val="0"/>
        <w:snapToGrid w:val="0"/>
        <w:spacing w:before="293" w:line="236" w:lineRule="auto"/>
        <w:textAlignment w:val="baseline"/>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textAlignment w:val="baseline"/>
        <w:rPr>
          <w:rFonts w:hint="default" w:ascii="方正小标宋简体" w:hAnsi="宋体" w:eastAsia="方正小标宋简体" w:cs="宋体"/>
          <w:bCs/>
          <w:spacing w:val="8"/>
          <w:kern w:val="0"/>
          <w:sz w:val="44"/>
          <w:szCs w:val="44"/>
          <w:lang w:val="en-US" w:eastAsia="zh-CN"/>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事业单位人员招聘考试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color w:val="auto"/>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保证人事考试安全工作各项经费及时到位，维护考试公平公正</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事业单位公开招聘计划人数</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≥178人</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178人</w:t>
            </w:r>
          </w:p>
        </w:tc>
        <w:tc>
          <w:tcPr>
            <w:tcW w:w="80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聘用人员年度考核合格率</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聘用人员聘用合格率</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提供就业岗位数</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≥178人</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178人</w:t>
            </w:r>
          </w:p>
        </w:tc>
        <w:tc>
          <w:tcPr>
            <w:tcW w:w="809" w:type="dxa"/>
            <w:shd w:val="clear" w:color="auto" w:fill="auto"/>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生态环境改善状况</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809"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383" w:type="dxa"/>
            <w:shd w:val="clear" w:color="auto" w:fill="auto"/>
            <w:vAlign w:val="center"/>
          </w:tcPr>
          <w:p>
            <w:pPr>
              <w:spacing w:line="240" w:lineRule="auto"/>
              <w:ind w:firstLine="420"/>
              <w:jc w:val="center"/>
              <w:rPr>
                <w:rFonts w:hint="eastAsia" w:ascii="仿宋_GB2312" w:hAnsi="宋体" w:eastAsia="仿宋_GB2312" w:cs="宋体"/>
                <w:kern w:val="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为基层输送高素质人才，对强化基层人才队伍建设、补充专业技术人才等方面起到积极的作用</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聘用人员满意度</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聘用人员满意度</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≥90%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预算批复金额</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预算批复金额</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shd w:val="clear" w:color="auto" w:fill="auto"/>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spacing w:line="228" w:lineRule="auto"/>
        <w:ind w:firstLine="400"/>
        <w:rPr>
          <w:rFonts w:eastAsiaTheme="minorEastAsia"/>
          <w:sz w:val="20"/>
          <w:szCs w:val="20"/>
          <w:lang w:eastAsia="zh-CN"/>
        </w:rPr>
        <w:sectPr>
          <w:footerReference r:id="rId11" w:type="default"/>
          <w:footerReference r:id="rId12" w:type="even"/>
          <w:pgSz w:w="11907" w:h="16839"/>
          <w:pgMar w:top="2098" w:right="1474" w:bottom="1985" w:left="1474" w:header="0" w:footer="1588" w:gutter="0"/>
          <w:pgNumType w:fmt="numberInDash"/>
          <w:cols w:space="720" w:num="1"/>
          <w:titlePg/>
          <w:docGrid w:linePitch="286" w:charSpace="0"/>
        </w:sectPr>
      </w:pPr>
    </w:p>
    <w:p>
      <w:pPr>
        <w:kinsoku w:val="0"/>
        <w:autoSpaceDE w:val="0"/>
        <w:autoSpaceDN w:val="0"/>
        <w:adjustRightInd w:val="0"/>
        <w:snapToGrid w:val="0"/>
        <w:spacing w:before="293" w:line="236" w:lineRule="auto"/>
        <w:textAlignment w:val="baseline"/>
        <w:rPr>
          <w:rFonts w:hint="default" w:ascii="方正小标宋简体" w:hAnsi="宋体" w:eastAsia="方正小标宋简体" w:cs="宋体"/>
          <w:bCs/>
          <w:spacing w:val="8"/>
          <w:kern w:val="0"/>
          <w:sz w:val="44"/>
          <w:szCs w:val="44"/>
          <w:lang w:val="en-US" w:eastAsia="zh-CN"/>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城乡居民养老保险征收及死亡认证奖励经费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color w:val="auto"/>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汨罗市社会保险服务中心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完成社保征缴目标，扩大社保征缴覆盖面</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本项目资金使用情况良好，分阶段分期使用完毕。做到了合理有效使用资金。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分值</w:t>
            </w:r>
          </w:p>
        </w:tc>
        <w:tc>
          <w:tcPr>
            <w:tcW w:w="849" w:type="dxa"/>
            <w:vAlign w:val="center"/>
          </w:tcPr>
          <w:p>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全市养老保险参保人员数量</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36.17万</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社保征缴参保人员是否合规</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合规</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2023年12月31日</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2023年12月31日前</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资金是否节约使用</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良好</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群众参保意识</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生态环境改善情况</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促进我市构建和谐稳定的劳动关系</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群众是否满意</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99万</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color w:val="auto"/>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color w:val="FF0000"/>
          <w:kern w:val="0"/>
          <w:lang w:eastAsia="zh-CN"/>
        </w:rPr>
      </w:pP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spacing w:line="228" w:lineRule="auto"/>
        <w:ind w:firstLine="400"/>
        <w:rPr>
          <w:rFonts w:eastAsiaTheme="minorEastAsia"/>
          <w:sz w:val="20"/>
          <w:szCs w:val="20"/>
          <w:lang w:eastAsia="zh-CN"/>
        </w:rPr>
        <w:sectPr>
          <w:footerReference r:id="rId13" w:type="default"/>
          <w:footerReference r:id="rId14" w:type="even"/>
          <w:pgSz w:w="11907" w:h="16839"/>
          <w:pgMar w:top="2098" w:right="1474" w:bottom="1985" w:left="1474" w:header="0" w:footer="1588" w:gutter="0"/>
          <w:pgNumType w:fmt="numberInDash"/>
          <w:cols w:space="720" w:num="1"/>
          <w:titlePg/>
          <w:docGrid w:linePitch="286" w:charSpace="0"/>
        </w:sectPr>
      </w:pPr>
    </w:p>
    <w:p>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复退军人生活补助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汨罗市就业服务中心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34.59</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rPr>
              <w:t>有利维护劳动关系和谐稳定</w:t>
            </w:r>
            <w:r>
              <w:rPr>
                <w:rFonts w:hint="eastAsia" w:ascii="仿宋_GB2312" w:hAnsi="宋体" w:eastAsia="仿宋_GB2312" w:cs="宋体"/>
                <w:kern w:val="0"/>
                <w:lang w:eastAsia="zh-CN"/>
              </w:rPr>
              <w:t>，指导各地进一步健全劳动体制机制</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有利维护劳动关系和谐稳定</w:t>
            </w:r>
            <w:r>
              <w:rPr>
                <w:rFonts w:hint="eastAsia" w:ascii="仿宋_GB2312" w:hAnsi="宋体" w:eastAsia="仿宋_GB2312" w:cs="宋体"/>
                <w:kern w:val="0"/>
                <w:lang w:eastAsia="zh-CN"/>
              </w:rPr>
              <w:t>，指导各地进一步健全劳动体制机制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分值</w:t>
            </w:r>
          </w:p>
        </w:tc>
        <w:tc>
          <w:tcPr>
            <w:tcW w:w="849" w:type="dxa"/>
            <w:vAlign w:val="center"/>
          </w:tcPr>
          <w:p>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按时发放生活补助比例</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指导各地进一步健全劳动体制机制</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90%</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2023年12月31日前</w:t>
            </w:r>
          </w:p>
        </w:tc>
        <w:tc>
          <w:tcPr>
            <w:tcW w:w="1099" w:type="dxa"/>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2023年12月31日前</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有所提升</w:t>
            </w:r>
          </w:p>
        </w:tc>
        <w:tc>
          <w:tcPr>
            <w:tcW w:w="1099" w:type="dxa"/>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促进社会发展</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1099" w:type="dxa"/>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有所改善</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default" w:ascii="仿宋_GB2312" w:hAnsi="宋体" w:eastAsia="仿宋_GB2312" w:cs="宋体"/>
                <w:kern w:val="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促进生态可持续发展；促进经济可持续发展</w:t>
            </w:r>
          </w:p>
        </w:tc>
        <w:tc>
          <w:tcPr>
            <w:tcW w:w="1099" w:type="dxa"/>
            <w:vAlign w:val="center"/>
          </w:tcPr>
          <w:p>
            <w:pPr>
              <w:spacing w:line="240" w:lineRule="auto"/>
              <w:jc w:val="both"/>
              <w:rPr>
                <w:rFonts w:ascii="宋体" w:hAnsi="宋体" w:eastAsia="宋体" w:cs="宋体"/>
                <w:i w:val="0"/>
                <w:iCs w:val="0"/>
                <w:snapToGrid w:val="0"/>
                <w:color w:val="000000"/>
                <w:kern w:val="0"/>
                <w:sz w:val="14"/>
                <w:szCs w:val="14"/>
                <w:u w:val="none"/>
                <w:lang w:val="en-US" w:eastAsia="en-US" w:bidi="ar-SA"/>
              </w:rPr>
            </w:pPr>
            <w:r>
              <w:rPr>
                <w:rFonts w:hint="eastAsia" w:ascii="仿宋_GB2312" w:hAnsi="宋体" w:eastAsia="仿宋_GB2312" w:cs="宋体"/>
                <w:kern w:val="0"/>
                <w:lang w:eastAsia="zh-CN"/>
              </w:rPr>
              <w:t>发展可</w:t>
            </w:r>
            <w:r>
              <w:rPr>
                <w:rFonts w:hint="eastAsia" w:ascii="仿宋_GB2312" w:hAnsi="宋体" w:eastAsia="仿宋_GB2312" w:cs="宋体"/>
                <w:kern w:val="0"/>
                <w:lang w:val="en-US" w:eastAsia="zh-CN"/>
              </w:rPr>
              <w:t>持续</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发展可持续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受益对象满意度</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足额发放生活补助比例</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color w:val="auto"/>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2024年10月17日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pPr>
        <w:spacing w:line="228" w:lineRule="auto"/>
        <w:ind w:firstLine="400"/>
        <w:rPr>
          <w:rFonts w:eastAsiaTheme="minorEastAsia"/>
          <w:sz w:val="20"/>
          <w:szCs w:val="20"/>
          <w:lang w:eastAsia="zh-CN"/>
        </w:rPr>
        <w:sectPr>
          <w:footerReference r:id="rId15" w:type="default"/>
          <w:footerReference r:id="rId16" w:type="even"/>
          <w:pgSz w:w="11907" w:h="16839"/>
          <w:pgMar w:top="2098" w:right="1474" w:bottom="1985" w:left="1474" w:header="0" w:footer="1588" w:gutter="0"/>
          <w:pgNumType w:fmt="numberInDash"/>
          <w:cols w:space="720" w:num="1"/>
          <w:titlePg/>
          <w:docGrid w:linePitch="286" w:charSpace="0"/>
        </w:sect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2023年度汨罗市人力资源和社会保障局部门整体支出绩效自评报告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3"/>
        <w:rPr>
          <w:rFonts w:ascii="仿宋_GB2312" w:hAnsi="仿宋_GB2312" w:eastAsia="黑体"/>
          <w:color w:val="auto"/>
          <w:sz w:val="32"/>
          <w:szCs w:val="32"/>
          <w:highlight w:val="none"/>
        </w:rPr>
      </w:pPr>
    </w:p>
    <w:p>
      <w:pPr>
        <w:pStyle w:val="3"/>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汨罗市人力资源和社会保障局</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2024</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10</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17</w:t>
      </w:r>
      <w:r>
        <w:rPr>
          <w:rFonts w:ascii="仿宋_GB2312" w:hAnsi="仿宋_GB2312" w:eastAsia="楷体_GB2312"/>
          <w:color w:val="auto"/>
          <w:sz w:val="32"/>
          <w:szCs w:val="32"/>
          <w:highlight w:val="none"/>
        </w:rPr>
        <w:t>日</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楷体_GB2312"/>
          <w:color w:val="auto"/>
          <w:sz w:val="32"/>
          <w:szCs w:val="32"/>
          <w:highlight w:val="none"/>
          <w:lang w:eastAsia="zh-CN"/>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bookmarkStart w:id="0" w:name="_Hlk124528175"/>
    </w:p>
    <w:bookmarkEnd w:id="0"/>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人力资源和社会保障局主要职能为贯彻执行国家人力资源和社会保障方针政策和法律法规和省人力资源和社会保障事业发展规划、政策，起草市人力资源和社会保障地方性法规规章草案，并组织实施和监督检查。对全市人力资源和社会保障工作进行综合管理、监督指导、协调服务。拟定并组织实施全市人力资源市场发展规划和人力资源流动政策，指导全市建立统一规范的人力资源市场，促进人力资源合理流动、有效配置。会同有关部门拟定机关、事业单位人员工资收入分配政策并组织实施，建立机关企事业单位人员工资正常增长和支付保障机制，拟定国有企业经营者收入分配政策，配合相关部门审核纳入市财政统一发放工资范围的同级党政机关、事业单位及人员的工资、奖金、津补贴标准和离退休费，拟定机关企事业单位人员福利和离退休政策并组织实施。会同有关部门指导事业单位人事制度改革，拟定事业单位人员和机关工勤人员管理政策，参与人才管理工作，综合管理全市专业技术人员和专业技术队伍建设工作，综合管理全市专业技术人员和机关事业单位工勤人员的培训和继续教育工作。会同有关部门拟定农民工工作综合性政策和规划，推动农民工相关政策的落实，协调解决重点难点问题，维护农民工合法权益。统筹实施劳动、人事争议调解仲裁制度，拟定劳动关系政策，完善劳动关系协调机制，监督落实消除非法使用童工政策和女工、未成年工的特殊劳动保护政策，组织实施劳动监察，协调劳动者维权工作，依法查处重大案件。承办市人民政府交办的其他事项。</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w:t>
      </w:r>
      <w:r>
        <w:rPr>
          <w:rFonts w:hint="eastAsia" w:ascii="方正黑体_GBK" w:eastAsia="方正黑体_GBK"/>
          <w:kern w:val="0"/>
          <w:sz w:val="32"/>
          <w:szCs w:val="32"/>
          <w:highlight w:val="none"/>
          <w:lang w:eastAsia="zh-CN"/>
        </w:rPr>
        <w:t>共预算财政拨款支出</w:t>
      </w:r>
      <w:r>
        <w:rPr>
          <w:rFonts w:hint="eastAsia" w:ascii="方正黑体_GBK" w:eastAsia="方正黑体_GBK"/>
          <w:kern w:val="0"/>
          <w:sz w:val="32"/>
          <w:szCs w:val="32"/>
          <w:lang w:eastAsia="zh-CN"/>
        </w:rPr>
        <w:t>情况</w:t>
      </w:r>
    </w:p>
    <w:p>
      <w:pPr>
        <w:pStyle w:val="10"/>
        <w:spacing w:line="600" w:lineRule="exact"/>
        <w:ind w:firstLine="643"/>
        <w:jc w:val="both"/>
        <w:rPr>
          <w:rFonts w:ascii="仿宋_GB2312" w:hAnsi="仿宋_GB2312" w:eastAsia="楷体_GB2312"/>
          <w:b/>
          <w:color w:val="auto"/>
          <w:sz w:val="32"/>
          <w:szCs w:val="32"/>
          <w:highlight w:val="none"/>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汨罗市人力资源和社会保障局2023年一般公共预算财政拨款支出3795.07万元，其中：基本支出1715.63万元，其中人员经费1505.63万元、日常公用经费210万元；项目支出2079.44万元。</w:t>
      </w:r>
    </w:p>
    <w:p>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我单位严格执行预算管理制度，依据“谁用钱，谁负责”的原则，专款专用，实时监控。</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1、专项资金安排落实、总投入等情况分析</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汨罗市人力资源和社会保障局专项资金均已落实到位，按时按质合理使用完毕。</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2、专项资金实际使用情况分析</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项目资金严格按指定用途专款专用，实行专项报告制度，并接受财政部门或上级部门的检查、验收。2023年项目支出基本能够严格按照相关制度规定等进行。</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3、专项资金管理情况分析</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（1）建章立制，积极推进专项资金管理制度化</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我单位从专项资金设立、预算编制、分配方式、执行管理、监督评价等方面，对区级财政专项资金使用管理进行全面规范。</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（2）建立体系，积极推进专项资金督查有序化</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是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（3）公开信息，积极推进专项资金监督透明化</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按照建立规范透明预算管理制度的要求，积极稳妥推进专项资金信息公开。</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w:t>
      </w:r>
      <w:r>
        <w:rPr>
          <w:rFonts w:hint="eastAsia" w:ascii="方正黑体_GBK" w:eastAsia="方正黑体_GBK"/>
          <w:color w:val="auto"/>
          <w:kern w:val="0"/>
          <w:sz w:val="32"/>
          <w:szCs w:val="32"/>
          <w:highlight w:val="none"/>
          <w:lang w:eastAsia="zh-CN"/>
        </w:rPr>
        <w:t>性基金预算财政拨款支出</w:t>
      </w:r>
      <w:r>
        <w:rPr>
          <w:rFonts w:hint="eastAsia" w:ascii="方正黑体_GBK" w:eastAsia="方正黑体_GBK"/>
          <w:kern w:val="0"/>
          <w:sz w:val="32"/>
          <w:szCs w:val="32"/>
          <w:lang w:eastAsia="zh-CN"/>
        </w:rPr>
        <w:t>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w:t>
      </w:r>
      <w:r>
        <w:rPr>
          <w:rFonts w:hint="eastAsia" w:ascii="方正黑体_GBK" w:eastAsia="方正黑体_GBK"/>
          <w:kern w:val="0"/>
          <w:sz w:val="32"/>
          <w:szCs w:val="32"/>
          <w:highlight w:val="none"/>
          <w:lang w:eastAsia="zh-CN"/>
        </w:rPr>
        <w:t>预算财政拨款支出情</w:t>
      </w:r>
      <w:r>
        <w:rPr>
          <w:rFonts w:hint="eastAsia" w:ascii="方正黑体_GBK" w:eastAsia="方正黑体_GBK"/>
          <w:kern w:val="0"/>
          <w:sz w:val="32"/>
          <w:szCs w:val="32"/>
          <w:lang w:eastAsia="zh-CN"/>
        </w:rPr>
        <w:t>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项目支出基本能够严格按照相关制度规定等进行。</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（一）存在的问题</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（1）项目推进力度有待进一步加强。</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（2）政府采购年初预算与实际执行偏差大，政府采购预算编制准确性有待提高。</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（2）科学合理编制政府采购预算，强化政府采购预算执行，确保政府采购预算切合单位实际。</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（3）根据年初的绩效考核指标及预算绩效目标，扎实推进相关工作，确保考核指标及预算绩效目标按时、优质完成。</w:t>
      </w:r>
    </w:p>
    <w:p>
      <w:pPr>
        <w:spacing w:line="600" w:lineRule="exact"/>
        <w:ind w:firstLine="640" w:firstLineChars="200"/>
        <w:jc w:val="both"/>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九、部门整体支出绩效自评结果拟应用和公开情况</w:t>
      </w:r>
    </w:p>
    <w:p>
      <w:p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pPr>
        <w:spacing w:line="600" w:lineRule="exact"/>
        <w:ind w:firstLine="640" w:firstLineChars="200"/>
        <w:jc w:val="both"/>
        <w:rPr>
          <w:rFonts w:hint="eastAsia" w:eastAsia="黑体"/>
          <w:kern w:val="0"/>
          <w:sz w:val="32"/>
          <w:szCs w:val="32"/>
          <w:lang w:eastAsia="zh-CN"/>
        </w:rPr>
      </w:pPr>
    </w:p>
    <w:p>
      <w:pPr>
        <w:spacing w:line="600" w:lineRule="exact"/>
        <w:ind w:firstLine="640" w:firstLineChars="200"/>
        <w:jc w:val="both"/>
        <w:rPr>
          <w:rFonts w:hint="eastAsia" w:eastAsia="黑体"/>
          <w:kern w:val="0"/>
          <w:sz w:val="32"/>
          <w:szCs w:val="32"/>
          <w:lang w:eastAsia="zh-CN"/>
        </w:rPr>
      </w:pPr>
    </w:p>
    <w:p>
      <w:pPr>
        <w:spacing w:line="600" w:lineRule="exact"/>
        <w:ind w:firstLine="640" w:firstLineChars="200"/>
        <w:jc w:val="both"/>
        <w:rPr>
          <w:rFonts w:hint="eastAsia" w:eastAsia="黑体"/>
          <w:kern w:val="0"/>
          <w:sz w:val="32"/>
          <w:szCs w:val="32"/>
          <w:lang w:eastAsia="zh-CN"/>
        </w:rPr>
      </w:pPr>
    </w:p>
    <w:p>
      <w:pPr>
        <w:spacing w:line="600" w:lineRule="exact"/>
        <w:ind w:firstLine="640" w:firstLineChars="200"/>
        <w:jc w:val="both"/>
        <w:rPr>
          <w:rFonts w:hint="eastAsia" w:eastAsia="黑体"/>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附件：1</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5</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Theme="minorEastAsia"/>
          <w:lang w:eastAsia="zh-CN"/>
        </w:rPr>
      </w:pPr>
      <w:r>
        <w:rPr>
          <w:rFonts w:ascii="仿宋_GB2312" w:hAnsi="仿宋_GB2312" w:eastAsia="仿宋_GB2312"/>
          <w:color w:val="auto"/>
          <w:sz w:val="32"/>
          <w:szCs w:val="32"/>
          <w:highlight w:val="none"/>
        </w:rPr>
        <w:t>6</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社会保险基金预算支出</w:t>
      </w:r>
    </w:p>
    <w:p>
      <w:pPr>
        <w:spacing w:line="240" w:lineRule="auto"/>
        <w:ind w:firstLine="880"/>
        <w:jc w:val="center"/>
        <w:rPr>
          <w:rFonts w:ascii="方正小标宋简体" w:eastAsia="方正小标宋简体"/>
          <w:kern w:val="0"/>
          <w:sz w:val="44"/>
          <w:szCs w:val="44"/>
          <w:lang w:eastAsia="zh-CN"/>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Times New Roman"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劳动维权办案专项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spacing w:before="201" w:line="578" w:lineRule="exact"/>
        <w:ind w:left="2169"/>
        <w:rPr>
          <w:rFonts w:ascii="黑体" w:hAnsi="黑体" w:eastAsia="黑体" w:cs="黑体"/>
          <w:spacing w:val="10"/>
          <w:sz w:val="42"/>
          <w:szCs w:val="42"/>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both"/>
        <w:rPr>
          <w:spacing w:val="-22"/>
          <w:sz w:val="27"/>
          <w:szCs w:val="27"/>
        </w:rPr>
      </w:pPr>
    </w:p>
    <w:p>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pPr>
        <w:pStyle w:val="2"/>
        <w:spacing w:before="289" w:line="610" w:lineRule="exact"/>
        <w:ind w:firstLine="3172" w:firstLineChars="1300"/>
        <w:rPr>
          <w:spacing w:val="-13"/>
          <w:position w:val="26"/>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17 </w:t>
      </w:r>
      <w:r>
        <w:rPr>
          <w:spacing w:val="-13"/>
          <w:position w:val="26"/>
          <w:sz w:val="27"/>
          <w:szCs w:val="27"/>
        </w:rPr>
        <w:t>日</w:t>
      </w:r>
    </w:p>
    <w:p>
      <w:pPr>
        <w:pStyle w:val="2"/>
        <w:spacing w:before="289" w:line="610" w:lineRule="exact"/>
        <w:ind w:firstLine="3172" w:firstLineChars="1300"/>
        <w:rPr>
          <w:spacing w:val="-13"/>
          <w:position w:val="26"/>
          <w:sz w:val="27"/>
          <w:szCs w:val="27"/>
        </w:rPr>
      </w:pPr>
    </w:p>
    <w:p>
      <w:pPr>
        <w:spacing w:before="137" w:line="221" w:lineRule="auto"/>
        <w:ind w:left="2336"/>
        <w:rPr>
          <w:rFonts w:ascii="黑体" w:hAnsi="黑体" w:eastAsia="黑体" w:cs="黑体"/>
          <w:b/>
          <w:bCs/>
          <w:spacing w:val="6"/>
          <w:sz w:val="42"/>
          <w:szCs w:val="42"/>
        </w:rPr>
      </w:pPr>
    </w:p>
    <w:p>
      <w:pPr>
        <w:spacing w:before="137" w:line="221" w:lineRule="auto"/>
        <w:ind w:left="2336"/>
        <w:rPr>
          <w:rFonts w:ascii="黑体" w:hAnsi="黑体" w:eastAsia="黑体" w:cs="黑体"/>
          <w:b/>
          <w:bCs/>
          <w:spacing w:val="6"/>
          <w:sz w:val="42"/>
          <w:szCs w:val="42"/>
        </w:rPr>
      </w:pPr>
    </w:p>
    <w:p>
      <w:pPr>
        <w:spacing w:before="137" w:line="221" w:lineRule="auto"/>
        <w:ind w:left="2336"/>
        <w:rPr>
          <w:rFonts w:ascii="黑体" w:hAnsi="黑体" w:eastAsia="黑体" w:cs="黑体"/>
          <w:b/>
          <w:bCs/>
          <w:spacing w:val="6"/>
          <w:sz w:val="42"/>
          <w:szCs w:val="42"/>
        </w:r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该项目根据湘人社发[2012] 64号《关于印发&lt;湖南省加强劳动人事争议处理效能建设实施方案&gt;的通知》文件而设立的劳动监察、仲裁办案费用。加强农民工人文关怀，有力维护劳动关系和谐稳定和提高劳动人事争议调解仲裁的水平，保证劳动监察工作正常运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绩效总目标和阶段性目标能够按时圆满完成，有力维护劳动关系和谐稳定和提高劳动人事争议调解仲裁的水平，保证劳动监察工作正常运行。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劳动维权办案专项项目支出基本能够严格按照相关制度规定等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确保本年度劳动监察工作正常运行。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(一)项目支出决策情况</w:t>
      </w:r>
      <w:r>
        <w:rPr>
          <w:rFonts w:hint="eastAsia" w:eastAsia="仿宋_GB2312"/>
          <w:ker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本单位项目支出决策根据实际情况制定实施方案，保证劳动监察工作正常运行，做到专款专用，合理安排项目资金。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本单位项目支出在执行过程中严格按照相关制度规定进行，按照实际情况支出，严禁挤占、挪用、虚列支出等情况发生。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本单位项目产出按照数量、质量、时效、成本等四个方面，根据各自情况，设置相关指标内容，用于跟踪项目工作的开展。全市处理农民工工资拖欠问题次数及人数按计划完成，企业拖欠农民工工资足额发放比率与劳动人事争议调解成功率达到预期目标，时效在2023年12月31日前完成，成本指标100万元已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本单位项目产出按照社会效益、生态效益、可持续影响、服务对象满意度等四个方面，根据各自情况，设置相关指标内容，用于跟踪项目工作的开展。全市企业劳动合同签订率达到预期目标，劳动监察仲裁办事效率和水平不断提升，劳动人事争议调解仲裁的水平提升效益显著，社会公众对相关工作的满意度较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该项目开展过程中主要经验及做法：一是构建 “快速响应” 办案机制，提升维权效率。</w:t>
      </w:r>
      <w:r>
        <w:rPr>
          <w:rFonts w:hint="default" w:eastAsia="仿宋_GB2312"/>
          <w:kern w:val="0"/>
          <w:sz w:val="32"/>
          <w:szCs w:val="32"/>
          <w:lang w:val="en-US" w:eastAsia="zh-CN"/>
        </w:rPr>
        <w:t>依托专项经费支持，建立 “1 小时响应、24 小时受理、3 个工作日初步反馈” 的快速处置流程。针对农民工欠薪、工伤赔偿等高频纠纷，组建专项办案小组。同时，将经费向基层办案点倾斜，在乡镇（街道）设立维权服务站，实现 “小事不出镇、大事不出县”。</w:t>
      </w:r>
      <w:r>
        <w:rPr>
          <w:rFonts w:hint="eastAsia" w:eastAsia="仿宋_GB2312"/>
          <w:kern w:val="0"/>
          <w:sz w:val="32"/>
          <w:szCs w:val="32"/>
          <w:lang w:val="en-US" w:eastAsia="zh-CN"/>
        </w:rPr>
        <w:t>二是</w:t>
      </w:r>
      <w:r>
        <w:rPr>
          <w:rFonts w:hint="default" w:eastAsia="仿宋_GB2312"/>
          <w:kern w:val="0"/>
          <w:sz w:val="32"/>
          <w:szCs w:val="32"/>
          <w:lang w:val="en-US" w:eastAsia="zh-CN"/>
        </w:rPr>
        <w:t>创新 “部门联动” 协作模式，强化资源整合</w:t>
      </w:r>
      <w:r>
        <w:rPr>
          <w:rFonts w:hint="eastAsia" w:eastAsia="仿宋_GB2312"/>
          <w:kern w:val="0"/>
          <w:sz w:val="32"/>
          <w:szCs w:val="32"/>
          <w:lang w:val="en-US" w:eastAsia="zh-CN"/>
        </w:rPr>
        <w:t>。</w:t>
      </w:r>
      <w:r>
        <w:rPr>
          <w:rFonts w:hint="default" w:eastAsia="仿宋_GB2312"/>
          <w:kern w:val="0"/>
          <w:sz w:val="32"/>
          <w:szCs w:val="32"/>
          <w:lang w:val="en-US" w:eastAsia="zh-CN"/>
        </w:rPr>
        <w:t>推动人社、司法、住建等</w:t>
      </w:r>
      <w:r>
        <w:rPr>
          <w:rFonts w:hint="eastAsia" w:eastAsia="仿宋_GB2312"/>
          <w:kern w:val="0"/>
          <w:sz w:val="32"/>
          <w:szCs w:val="32"/>
          <w:lang w:val="en-US" w:eastAsia="zh-CN"/>
        </w:rPr>
        <w:t>各</w:t>
      </w:r>
      <w:r>
        <w:rPr>
          <w:rFonts w:hint="default" w:eastAsia="仿宋_GB2312"/>
          <w:kern w:val="0"/>
          <w:sz w:val="32"/>
          <w:szCs w:val="32"/>
          <w:lang w:val="en-US" w:eastAsia="zh-CN"/>
        </w:rPr>
        <w:t>部门建立 “维权办案联席会议” 制度，跨部门协作，包括联合培训、信息共享平台等。</w:t>
      </w:r>
      <w:r>
        <w:rPr>
          <w:rFonts w:hint="eastAsia" w:eastAsia="仿宋_GB2312"/>
          <w:kern w:val="0"/>
          <w:sz w:val="32"/>
          <w:szCs w:val="32"/>
          <w:lang w:val="en-US" w:eastAsia="zh-CN"/>
        </w:rPr>
        <w:t>三是</w:t>
      </w:r>
      <w:r>
        <w:rPr>
          <w:rFonts w:hint="default" w:eastAsia="仿宋_GB2312"/>
          <w:kern w:val="0"/>
          <w:sz w:val="32"/>
          <w:szCs w:val="32"/>
          <w:lang w:val="en-US" w:eastAsia="zh-CN"/>
        </w:rPr>
        <w:t>聚焦 “精准服务” 需求导向，优化经费使用</w:t>
      </w:r>
      <w:r>
        <w:rPr>
          <w:rFonts w:hint="eastAsia" w:eastAsia="仿宋_GB2312"/>
          <w:kern w:val="0"/>
          <w:sz w:val="32"/>
          <w:szCs w:val="32"/>
          <w:lang w:val="en-US" w:eastAsia="zh-CN"/>
        </w:rPr>
        <w:t>。</w:t>
      </w:r>
      <w:r>
        <w:rPr>
          <w:rFonts w:hint="default" w:eastAsia="仿宋_GB2312"/>
          <w:kern w:val="0"/>
          <w:sz w:val="32"/>
          <w:szCs w:val="32"/>
          <w:lang w:val="en-US" w:eastAsia="zh-CN"/>
        </w:rPr>
        <w:t>针对困难职工、残疾人等特殊群体</w:t>
      </w:r>
      <w:r>
        <w:rPr>
          <w:rFonts w:hint="eastAsia" w:eastAsia="仿宋_GB2312"/>
          <w:kern w:val="0"/>
          <w:sz w:val="32"/>
          <w:szCs w:val="32"/>
          <w:lang w:val="en-US" w:eastAsia="zh-CN"/>
        </w:rPr>
        <w:t>，</w:t>
      </w:r>
      <w:r>
        <w:rPr>
          <w:rFonts w:hint="default" w:eastAsia="仿宋_GB2312"/>
          <w:kern w:val="0"/>
          <w:sz w:val="32"/>
          <w:szCs w:val="32"/>
          <w:lang w:val="en-US" w:eastAsia="zh-CN"/>
        </w:rPr>
        <w:t>提供免费法律咨询、证据收集、仲裁代理等全流程服务。同时，通过线上问卷调查、线下座谈会等方式动态收集群众需求，将经费优先投向 “社保补缴”“竞业限制纠纷” 等群众反映强烈的领域，服务靶向性显著增强。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其中</w:t>
      </w:r>
      <w:r>
        <w:rPr>
          <w:rFonts w:hint="default" w:eastAsia="仿宋_GB2312"/>
          <w:kern w:val="0"/>
          <w:sz w:val="32"/>
          <w:szCs w:val="32"/>
          <w:lang w:val="en-US" w:eastAsia="zh-CN"/>
        </w:rPr>
        <w:t>存在的问题及原因分析</w:t>
      </w:r>
      <w:r>
        <w:rPr>
          <w:rFonts w:hint="eastAsia" w:eastAsia="仿宋_GB2312"/>
          <w:kern w:val="0"/>
          <w:sz w:val="32"/>
          <w:szCs w:val="32"/>
          <w:lang w:val="en-US" w:eastAsia="zh-CN"/>
        </w:rPr>
        <w:t>：一是</w:t>
      </w:r>
      <w:r>
        <w:rPr>
          <w:rFonts w:hint="default" w:eastAsia="仿宋_GB2312"/>
          <w:kern w:val="0"/>
          <w:sz w:val="32"/>
          <w:szCs w:val="32"/>
          <w:lang w:val="en-US" w:eastAsia="zh-CN"/>
        </w:rPr>
        <w:t>预算编制与办案实际需求匹配度不足</w:t>
      </w:r>
      <w:r>
        <w:rPr>
          <w:rFonts w:hint="eastAsia" w:eastAsia="仿宋_GB2312"/>
          <w:kern w:val="0"/>
          <w:sz w:val="32"/>
          <w:szCs w:val="32"/>
          <w:lang w:val="en-US" w:eastAsia="zh-CN"/>
        </w:rPr>
        <w:t>。</w:t>
      </w:r>
      <w:r>
        <w:rPr>
          <w:rFonts w:hint="default" w:eastAsia="仿宋_GB2312"/>
          <w:kern w:val="0"/>
          <w:sz w:val="32"/>
          <w:szCs w:val="32"/>
          <w:lang w:val="en-US" w:eastAsia="zh-CN"/>
        </w:rPr>
        <w:t>专项经费未充分考虑案件复杂程度差异</w:t>
      </w:r>
      <w:r>
        <w:rPr>
          <w:rFonts w:hint="eastAsia" w:eastAsia="仿宋_GB2312"/>
          <w:kern w:val="0"/>
          <w:sz w:val="32"/>
          <w:szCs w:val="32"/>
          <w:lang w:val="en-US" w:eastAsia="zh-CN"/>
        </w:rPr>
        <w:t>，</w:t>
      </w:r>
      <w:r>
        <w:rPr>
          <w:rFonts w:hint="default" w:eastAsia="仿宋_GB2312"/>
          <w:kern w:val="0"/>
          <w:sz w:val="32"/>
          <w:szCs w:val="32"/>
          <w:lang w:val="en-US" w:eastAsia="zh-CN"/>
        </w:rPr>
        <w:t>导致资源分配失衡。原因在于预算编制时采用 “平均化” 分配方式，未建立 “案件难度系数”（如涉及人数、法律适用复杂度）与经费挂钩的动态调整机制，且对新型维权案件（如平台用工纠纷）的成本测算缺乏数据支撑。</w:t>
      </w:r>
      <w:r>
        <w:rPr>
          <w:rFonts w:hint="eastAsia" w:eastAsia="仿宋_GB2312"/>
          <w:kern w:val="0"/>
          <w:sz w:val="32"/>
          <w:szCs w:val="32"/>
          <w:lang w:val="en-US" w:eastAsia="zh-CN"/>
        </w:rPr>
        <w:t>二是</w:t>
      </w:r>
      <w:r>
        <w:rPr>
          <w:rFonts w:hint="default" w:eastAsia="仿宋_GB2312"/>
          <w:kern w:val="0"/>
          <w:sz w:val="32"/>
          <w:szCs w:val="32"/>
          <w:lang w:val="en-US" w:eastAsia="zh-CN"/>
        </w:rPr>
        <w:t>跨部门协作经费使用效能待提升</w:t>
      </w:r>
      <w:r>
        <w:rPr>
          <w:rFonts w:hint="eastAsia" w:eastAsia="仿宋_GB2312"/>
          <w:kern w:val="0"/>
          <w:sz w:val="32"/>
          <w:szCs w:val="32"/>
          <w:lang w:val="en-US" w:eastAsia="zh-CN"/>
        </w:rPr>
        <w:t>。</w:t>
      </w:r>
      <w:r>
        <w:rPr>
          <w:rFonts w:hint="default" w:eastAsia="仿宋_GB2312"/>
          <w:kern w:val="0"/>
          <w:sz w:val="32"/>
          <w:szCs w:val="32"/>
          <w:lang w:val="en-US" w:eastAsia="zh-CN"/>
        </w:rPr>
        <w:t>部门联动中存在 “重形式轻实效” 现象，根源在于协作经费未明确 “效能导向” 的使用标准，缺乏对协作成果（如联合办案数量、纠纷化解率）的量化考核，导致经费投入与协作实效脱节。</w:t>
      </w:r>
      <w:r>
        <w:rPr>
          <w:rFonts w:hint="eastAsia" w:eastAsia="仿宋_GB2312"/>
          <w:kern w:val="0"/>
          <w:sz w:val="32"/>
          <w:szCs w:val="32"/>
          <w:lang w:val="en-US" w:eastAsia="zh-CN"/>
        </w:rPr>
        <w:t>三是</w:t>
      </w:r>
      <w:r>
        <w:rPr>
          <w:rFonts w:hint="default" w:eastAsia="仿宋_GB2312"/>
          <w:kern w:val="0"/>
          <w:sz w:val="32"/>
          <w:szCs w:val="32"/>
          <w:lang w:val="en-US" w:eastAsia="zh-CN"/>
        </w:rPr>
        <w:t>办案质量与经费投入的关联性评估缺失</w:t>
      </w:r>
      <w:r>
        <w:rPr>
          <w:rFonts w:hint="eastAsia" w:eastAsia="仿宋_GB2312"/>
          <w:kern w:val="0"/>
          <w:sz w:val="32"/>
          <w:szCs w:val="32"/>
          <w:lang w:val="en-US" w:eastAsia="zh-CN"/>
        </w:rPr>
        <w:t>。</w:t>
      </w:r>
      <w:r>
        <w:rPr>
          <w:rFonts w:hint="default" w:eastAsia="仿宋_GB2312"/>
          <w:kern w:val="0"/>
          <w:sz w:val="32"/>
          <w:szCs w:val="32"/>
          <w:lang w:val="en-US" w:eastAsia="zh-CN"/>
        </w:rPr>
        <w:t>专项经费主要与 “办案数量” 挂钩，对 “案件化解质量”（如调解协议履行率、群众满意度）的激励不足，部分基层为追求 “结案率”，存在 “速调不细调” 现象。同时，办案人员业务培训</w:t>
      </w:r>
      <w:r>
        <w:rPr>
          <w:rFonts w:hint="eastAsia" w:eastAsia="仿宋_GB2312"/>
          <w:kern w:val="0"/>
          <w:sz w:val="32"/>
          <w:szCs w:val="32"/>
          <w:lang w:val="en-US" w:eastAsia="zh-CN"/>
        </w:rPr>
        <w:t>不够</w:t>
      </w:r>
      <w:r>
        <w:rPr>
          <w:rFonts w:hint="default" w:eastAsia="仿宋_GB2312"/>
          <w:kern w:val="0"/>
          <w:sz w:val="32"/>
          <w:szCs w:val="32"/>
          <w:lang w:val="en-US" w:eastAsia="zh-CN"/>
        </w:rPr>
        <w:t>，导致新型案件（如数字化用工纠纷）的处理能力不足。核心原因是未建立 “经费投入 — 办案质量 — 群众获得感” 的联动分析机制，难以通过经费分配引导办案质效提升。​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eastAsia="仿宋_GB2312"/>
          <w:kern w:val="0"/>
          <w:sz w:val="32"/>
          <w:szCs w:val="32"/>
          <w:lang w:val="en-US" w:eastAsia="zh-CN"/>
        </w:rPr>
      </w:pPr>
      <w:r>
        <w:rPr>
          <w:rFonts w:ascii="黑体" w:hAnsi="黑体" w:eastAsia="黑体" w:cs="黑体"/>
          <w:b/>
          <w:bCs/>
          <w:color w:val="auto"/>
          <w:spacing w:val="-15"/>
          <w:sz w:val="31"/>
          <w:szCs w:val="31"/>
        </w:rPr>
        <w:t>六、有关建议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一是</w:t>
      </w:r>
      <w:r>
        <w:rPr>
          <w:rFonts w:hint="default" w:eastAsia="仿宋_GB2312"/>
          <w:kern w:val="0"/>
          <w:sz w:val="32"/>
          <w:szCs w:val="32"/>
          <w:lang w:val="en-US" w:eastAsia="zh-CN"/>
        </w:rPr>
        <w:t>建立 “差异化” 预算编制体系</w:t>
      </w:r>
      <w:r>
        <w:rPr>
          <w:rFonts w:hint="eastAsia" w:eastAsia="仿宋_GB2312"/>
          <w:kern w:val="0"/>
          <w:sz w:val="32"/>
          <w:szCs w:val="32"/>
          <w:lang w:val="en-US" w:eastAsia="zh-CN"/>
        </w:rPr>
        <w:t>。</w:t>
      </w:r>
      <w:r>
        <w:rPr>
          <w:rFonts w:hint="default" w:eastAsia="仿宋_GB2312"/>
          <w:kern w:val="0"/>
          <w:sz w:val="32"/>
          <w:szCs w:val="32"/>
          <w:lang w:val="en-US" w:eastAsia="zh-CN"/>
        </w:rPr>
        <w:t>按案件类型（如欠薪、工伤、社保）和复杂程度（简单 / 一般 / 疑难）制定 “经费测算标准”，例如将疑难案件的人均办案经费标准提高至简单案件的 2 倍；预留 10% 的 “机动经费”，由办案部门根据实际需求申请，用于突发、复杂案件的应急支出。同时，建立 “历史案件成本数据库”，通过近 3 年办案数据测算各类案件的平均成本，为预算编制提供精准参考。</w:t>
      </w:r>
      <w:r>
        <w:rPr>
          <w:rFonts w:hint="eastAsia" w:eastAsia="仿宋_GB2312"/>
          <w:kern w:val="0"/>
          <w:sz w:val="32"/>
          <w:szCs w:val="32"/>
          <w:lang w:val="en-US" w:eastAsia="zh-CN"/>
        </w:rPr>
        <w:t>二是</w:t>
      </w:r>
      <w:r>
        <w:rPr>
          <w:rFonts w:hint="default" w:eastAsia="仿宋_GB2312"/>
          <w:kern w:val="0"/>
          <w:sz w:val="32"/>
          <w:szCs w:val="32"/>
          <w:lang w:val="en-US" w:eastAsia="zh-CN"/>
        </w:rPr>
        <w:t>优化跨部门协作经费使用机制</w:t>
      </w:r>
      <w:r>
        <w:rPr>
          <w:rFonts w:hint="eastAsia" w:eastAsia="仿宋_GB2312"/>
          <w:kern w:val="0"/>
          <w:sz w:val="32"/>
          <w:szCs w:val="32"/>
          <w:lang w:val="en-US" w:eastAsia="zh-CN"/>
        </w:rPr>
        <w:t>。</w:t>
      </w:r>
      <w:r>
        <w:rPr>
          <w:rFonts w:hint="default" w:eastAsia="仿宋_GB2312"/>
          <w:kern w:val="0"/>
          <w:sz w:val="32"/>
          <w:szCs w:val="32"/>
          <w:lang w:val="en-US" w:eastAsia="zh-CN"/>
        </w:rPr>
        <w:t>重点投向联合执法设备更新、跨部门数据共享平台升级等领域；建立 “协作效能评估表”，将联合办案数、纠纷化解率等指标与下年度协作经费分配挂钩，对连续 2 年评估不达标的部门削减协作经费额度，倒逼资源向实效领域倾斜。</w:t>
      </w:r>
      <w:r>
        <w:rPr>
          <w:rFonts w:hint="eastAsia" w:eastAsia="仿宋_GB2312"/>
          <w:kern w:val="0"/>
          <w:sz w:val="32"/>
          <w:szCs w:val="32"/>
          <w:lang w:val="en-US" w:eastAsia="zh-CN"/>
        </w:rPr>
        <w:t>三是</w:t>
      </w:r>
      <w:r>
        <w:rPr>
          <w:rFonts w:hint="default" w:eastAsia="仿宋_GB2312"/>
          <w:kern w:val="0"/>
          <w:sz w:val="32"/>
          <w:szCs w:val="32"/>
          <w:lang w:val="en-US" w:eastAsia="zh-CN"/>
        </w:rPr>
        <w:t>构建 “质量导向” 的经费分配与评价体系</w:t>
      </w:r>
      <w:r>
        <w:rPr>
          <w:rFonts w:hint="eastAsia" w:eastAsia="仿宋_GB2312"/>
          <w:kern w:val="0"/>
          <w:sz w:val="32"/>
          <w:szCs w:val="32"/>
          <w:lang w:val="en-US" w:eastAsia="zh-CN"/>
        </w:rPr>
        <w:t>。</w:t>
      </w:r>
      <w:r>
        <w:rPr>
          <w:rFonts w:hint="default" w:eastAsia="仿宋_GB2312"/>
          <w:kern w:val="0"/>
          <w:sz w:val="32"/>
          <w:szCs w:val="32"/>
          <w:lang w:val="en-US" w:eastAsia="zh-CN"/>
        </w:rPr>
        <w:t>提高 “办案质量指标” 在绩效评价中的权重，将调解协议履行率、群众满意度等纳入考核；按专项经费设立 “质量激励资金”，对高质量结案（如零二次纠纷、群众五星好评）的办案团队给予奖励。同时，增加业务培训经费，重点开展新型用工纠纷、证据规则等专题培训，提升办案人员专业能力。</w:t>
      </w:r>
      <w:r>
        <w:rPr>
          <w:rFonts w:hint="eastAsia" w:eastAsia="仿宋_GB2312"/>
          <w:kern w:val="0"/>
          <w:sz w:val="32"/>
          <w:szCs w:val="32"/>
          <w:lang w:val="en-US" w:eastAsia="zh-CN"/>
        </w:rPr>
        <w:t>四是</w:t>
      </w:r>
      <w:r>
        <w:rPr>
          <w:rFonts w:hint="default" w:eastAsia="仿宋_GB2312"/>
          <w:kern w:val="0"/>
          <w:sz w:val="32"/>
          <w:szCs w:val="32"/>
          <w:lang w:val="en-US" w:eastAsia="zh-CN"/>
        </w:rPr>
        <w:t>强化经费使用的全流程监控</w:t>
      </w:r>
      <w:r>
        <w:rPr>
          <w:rFonts w:hint="eastAsia" w:eastAsia="仿宋_GB2312"/>
          <w:kern w:val="0"/>
          <w:sz w:val="32"/>
          <w:szCs w:val="32"/>
          <w:lang w:val="en-US" w:eastAsia="zh-CN"/>
        </w:rPr>
        <w:t>。</w:t>
      </w:r>
      <w:r>
        <w:rPr>
          <w:rFonts w:hint="default" w:eastAsia="仿宋_GB2312"/>
          <w:kern w:val="0"/>
          <w:sz w:val="32"/>
          <w:szCs w:val="32"/>
          <w:lang w:val="en-US" w:eastAsia="zh-CN"/>
        </w:rPr>
        <w:t>开发 “维权办案经费管理系统”，实时记录每笔支出对应的案件编号、用途及成效，实现 “一案一账”；每季度开展经费使用专项审计，重点核查经费与案件的匹配度、协作经费的实际效能等，对违规使用情况及时整改，确保资金 “用在刀刃上”。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rPr>
        <w:t>七、其他需要说明的问题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bCs/>
          <w:spacing w:val="-15"/>
          <w:sz w:val="31"/>
          <w:szCs w:val="31"/>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事业单位人员招聘考试专项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bookmarkStart w:id="1" w:name="_GoBack"/>
      <w:bookmarkEnd w:id="1"/>
    </w:p>
    <w:p>
      <w:pPr>
        <w:spacing w:line="247" w:lineRule="auto"/>
        <w:rPr>
          <w:rFonts w:ascii="Arial"/>
          <w:sz w:val="21"/>
        </w:rPr>
      </w:pPr>
    </w:p>
    <w:p>
      <w:pPr>
        <w:pStyle w:val="2"/>
        <w:spacing w:before="89" w:line="221" w:lineRule="auto"/>
        <w:jc w:val="both"/>
        <w:rPr>
          <w:spacing w:val="-22"/>
          <w:sz w:val="27"/>
          <w:szCs w:val="27"/>
        </w:rPr>
      </w:pPr>
    </w:p>
    <w:p>
      <w:pPr>
        <w:pStyle w:val="2"/>
        <w:spacing w:before="89" w:line="221" w:lineRule="auto"/>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pPr>
        <w:pStyle w:val="2"/>
        <w:spacing w:before="289" w:line="610" w:lineRule="exact"/>
        <w:ind w:firstLine="3172" w:firstLineChars="130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17 </w:t>
      </w:r>
      <w:r>
        <w:rPr>
          <w:spacing w:val="-13"/>
          <w:position w:val="26"/>
          <w:sz w:val="27"/>
          <w:szCs w:val="27"/>
        </w:rPr>
        <w:t>日</w:t>
      </w:r>
    </w:p>
    <w:p>
      <w:pPr>
        <w:spacing w:before="137" w:line="221" w:lineRule="auto"/>
        <w:ind w:left="2336"/>
        <w:rPr>
          <w:rFonts w:ascii="黑体" w:hAnsi="黑体" w:eastAsia="黑体" w:cs="黑体"/>
          <w:b/>
          <w:bCs/>
          <w:spacing w:val="6"/>
          <w:sz w:val="42"/>
          <w:szCs w:val="42"/>
        </w:r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该项目根据湘人社函[2014] 314号《关于加强人事考试管理有关问题的通知》文件而设立的事业单位人员招聘考试费用。保证人事考试安全工作各项经费及时到位，维护考试公平公正。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绩效总目标和阶段性目标能够按时圆满完成，保障人事考试安全工作各项经费及时到位，维护考试公平公正。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黑体" w:hAnsi="黑体" w:eastAsia="黑体" w:cs="黑体"/>
          <w:b/>
          <w:bCs/>
          <w:spacing w:val="-15"/>
          <w:sz w:val="31"/>
          <w:szCs w:val="31"/>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事业单位人员招聘考试专项项目支出基本能够严格按照相关制度规定等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确保本年度人事考试安全工作各项经费及时到位，维护考试公平公正。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eastAsia="zh-CN"/>
        </w:rPr>
        <w:t>(一)项目支出决策情况</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本单位项目支出决策根据实际情况制定实施方案，保证事业单位人员招聘考试工作正常运行，做到专款专用，合理安排项目资金。</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本单位项目支出在执行过程中严格按照相关制度规定进行，按照实际情况支出，严禁挤占、挪用、虚列支出等情况发生。</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olor w:val="auto"/>
          <w:sz w:val="32"/>
          <w:szCs w:val="32"/>
          <w:highlight w:val="none"/>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产出按照数量、质量、时效、成本等四个方面，根据各自情况，设置相关指标内容，用于跟踪项目工作的开展。全市事业单位公开招聘人数按计划完成，聘用人员到岗率以及聘用人员年度考核合格率达到预期目标，时效在2023年12月31日前完成，成本指标30万元已完成。</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本单位项目产出按照社会效益、生态效益、可持续影响、服务对象满意度等四个方面，根据各自情况，设置相关指标内容，用于跟踪项目工作的开展。全市改善服务对象的办事体验达到预期目标，提供就业岗位数按计划完成，营造良好的人才引进和服务环境氛围，促进我城区的人才队伍建设效益显著，社会公众对相关工作的满意度较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在事业单位人员招聘考试专项项目的实施过程中，通过系统化管理与流程优化，保障了招聘考试的公平性、规范性和高效性，主要经验及做法如下：​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一、</w:t>
      </w:r>
      <w:r>
        <w:rPr>
          <w:rFonts w:hint="default" w:ascii="仿宋_GB2312" w:hAnsi="仿宋_GB2312" w:eastAsia="仿宋_GB2312"/>
          <w:color w:val="auto"/>
          <w:sz w:val="32"/>
          <w:szCs w:val="32"/>
          <w:highlight w:val="none"/>
          <w:lang w:val="en-US" w:eastAsia="zh-CN"/>
        </w:rPr>
        <w:t>构建标准化组织体系，强化流程管控</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人社部门统筹+用人单位协同+第三方监督”的三位一体管理模式：人社部门负责制定考试方案、审核招聘计划，明确笔试、面试、体检等各环节的时间节点与责任分工；用人单位按岗位需求提交精准的招聘条件，避免“萝卜招聘”等违规行为；引入高校专家、纪检人员组成监督组，全程参与命题、阅卷、面试等关键环节，考试过程中未出现违规举报案例，社会公信力显著提升</w:t>
      </w:r>
      <w:r>
        <w:rPr>
          <w:rFonts w:hint="eastAsia" w:ascii="仿宋_GB2312" w:hAnsi="仿宋_GB2312" w:eastAsia="仿宋_GB2312"/>
          <w:color w:val="auto"/>
          <w:sz w:val="32"/>
          <w:szCs w:val="32"/>
          <w:highlight w:val="none"/>
          <w:lang w:val="en-US" w:eastAsia="zh-CN"/>
        </w:rPr>
        <w:t>；二、</w:t>
      </w:r>
      <w:r>
        <w:rPr>
          <w:rFonts w:hint="default" w:ascii="仿宋_GB2312" w:hAnsi="仿宋_GB2312" w:eastAsia="仿宋_GB2312"/>
          <w:color w:val="auto"/>
          <w:sz w:val="32"/>
          <w:szCs w:val="32"/>
          <w:highlight w:val="none"/>
          <w:lang w:val="en-US" w:eastAsia="zh-CN"/>
        </w:rPr>
        <w:t>创新考试服务模式，提升考生体验</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针对考生分布广、参考成本高的问题，采取“线上线下结合”的服务措施：线上开通“招聘考试服务平台”，提供岗位查询、准考证打印、成绩查询等一站式服务；线下在考点设置 “考生服务站”，提供文具、饮用水、医疗应急等便利</w:t>
      </w:r>
      <w:r>
        <w:rPr>
          <w:rFonts w:hint="eastAsia" w:ascii="仿宋_GB2312" w:hAnsi="仿宋_GB2312" w:eastAsia="仿宋_GB2312"/>
          <w:color w:val="auto"/>
          <w:sz w:val="32"/>
          <w:szCs w:val="32"/>
          <w:highlight w:val="none"/>
          <w:lang w:val="en-US" w:eastAsia="zh-CN"/>
        </w:rPr>
        <w:t>；三、</w:t>
      </w:r>
      <w:r>
        <w:rPr>
          <w:rFonts w:hint="default" w:ascii="仿宋_GB2312" w:hAnsi="仿宋_GB2312" w:eastAsia="仿宋_GB2312"/>
          <w:color w:val="auto"/>
          <w:sz w:val="32"/>
          <w:szCs w:val="32"/>
          <w:highlight w:val="none"/>
          <w:lang w:val="en-US" w:eastAsia="zh-CN"/>
        </w:rPr>
        <w:t>严格成本管控，提高资金使用效率</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在考试物资采购等环节推行“集中采购+比价机制”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统一招标采购</w:t>
      </w:r>
      <w:r>
        <w:rPr>
          <w:rFonts w:hint="eastAsia" w:ascii="仿宋_GB2312" w:hAnsi="仿宋_GB2312" w:eastAsia="仿宋_GB2312"/>
          <w:color w:val="auto"/>
          <w:sz w:val="32"/>
          <w:szCs w:val="32"/>
          <w:highlight w:val="none"/>
          <w:lang w:val="en-US" w:eastAsia="zh-CN"/>
        </w:rPr>
        <w:t>并</w:t>
      </w:r>
      <w:r>
        <w:rPr>
          <w:rFonts w:hint="default" w:ascii="仿宋_GB2312" w:hAnsi="仿宋_GB2312" w:eastAsia="仿宋_GB2312"/>
          <w:color w:val="auto"/>
          <w:sz w:val="32"/>
          <w:szCs w:val="32"/>
          <w:highlight w:val="none"/>
          <w:lang w:val="en-US" w:eastAsia="zh-CN"/>
        </w:rPr>
        <w:t>减少重复购置</w:t>
      </w:r>
      <w:r>
        <w:rPr>
          <w:rFonts w:hint="eastAsia" w:ascii="仿宋_GB2312" w:hAnsi="仿宋_GB2312" w:eastAsia="仿宋_GB2312"/>
          <w:color w:val="auto"/>
          <w:sz w:val="32"/>
          <w:szCs w:val="32"/>
          <w:highlight w:val="none"/>
          <w:lang w:val="en-US" w:eastAsia="zh-CN"/>
        </w:rPr>
        <w:t>老旧物资。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一、</w:t>
      </w:r>
      <w:r>
        <w:rPr>
          <w:rFonts w:hint="default" w:ascii="仿宋_GB2312" w:hAnsi="仿宋_GB2312" w:eastAsia="仿宋_GB2312"/>
          <w:color w:val="auto"/>
          <w:sz w:val="32"/>
          <w:szCs w:val="32"/>
          <w:highlight w:val="none"/>
          <w:lang w:val="en-US" w:eastAsia="zh-CN"/>
        </w:rPr>
        <w:t>考试成本测算精度不足</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部分环节的预算与实际支出存在偏差，缺乏应急资金预留机制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同时，对不同规模考试（如千人以上大型考试与百人以下小型考试）的成本差异测算不细致，导致预算分配缺乏针对性。</w:t>
      </w:r>
      <w:r>
        <w:rPr>
          <w:rFonts w:hint="eastAsia" w:ascii="仿宋_GB2312" w:hAnsi="仿宋_GB2312" w:eastAsia="仿宋_GB2312"/>
          <w:color w:val="auto"/>
          <w:sz w:val="32"/>
          <w:szCs w:val="32"/>
          <w:highlight w:val="none"/>
          <w:lang w:val="en-US" w:eastAsia="zh-CN"/>
        </w:rPr>
        <w:t>二、</w:t>
      </w:r>
      <w:r>
        <w:rPr>
          <w:rFonts w:hint="default" w:ascii="仿宋_GB2312" w:hAnsi="仿宋_GB2312" w:eastAsia="仿宋_GB2312"/>
          <w:color w:val="auto"/>
          <w:sz w:val="32"/>
          <w:szCs w:val="32"/>
          <w:highlight w:val="none"/>
          <w:lang w:val="en-US" w:eastAsia="zh-CN"/>
        </w:rPr>
        <w:t>信息化建设滞后于考试需求</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现有考试系统在报名数据统计、资格审核等方面存在功能短板：报名高峰期因系统承载量不足出现短暂卡顿，影响考生报名体验；资格审核仍依赖人工核对学历、专业等信息，效率较低</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根源在于未建立系统升级的常态化机制，难以满足考生规模逐年增长的需求。​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黑体" w:hAnsi="黑体" w:eastAsia="黑体" w:cs="黑体"/>
          <w:b/>
          <w:bCs/>
          <w:spacing w:val="-15"/>
          <w:sz w:val="31"/>
          <w:szCs w:val="31"/>
          <w:lang w:val="en-US" w:eastAsia="zh-CN"/>
        </w:rPr>
        <w:t>六、</w:t>
      </w:r>
      <w:r>
        <w:rPr>
          <w:rFonts w:hint="default" w:ascii="黑体" w:hAnsi="黑体" w:eastAsia="黑体" w:cs="黑体"/>
          <w:b/>
          <w:bCs/>
          <w:spacing w:val="-15"/>
          <w:sz w:val="31"/>
          <w:szCs w:val="31"/>
          <w:lang w:val="en-US" w:eastAsia="zh-CN"/>
        </w:rPr>
        <w:t>有关建议</w:t>
      </w:r>
      <w:r>
        <w:rPr>
          <w:rFonts w:hint="default" w:ascii="仿宋_GB2312" w:hAnsi="仿宋_GB2312" w:eastAsia="仿宋_GB2312"/>
          <w:color w:val="auto"/>
          <w:sz w:val="32"/>
          <w:szCs w:val="32"/>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一、</w:t>
      </w:r>
      <w:r>
        <w:rPr>
          <w:rFonts w:hint="default" w:ascii="仿宋_GB2312" w:hAnsi="仿宋_GB2312" w:eastAsia="仿宋_GB2312"/>
          <w:color w:val="auto"/>
          <w:sz w:val="32"/>
          <w:szCs w:val="32"/>
          <w:highlight w:val="none"/>
          <w:lang w:val="en-US" w:eastAsia="zh-CN"/>
        </w:rPr>
        <w:t>优化预算编制体系</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建立“基础支出+浮动应急金” 的预算结构，按年度考试总预算的 5%-8% 预留应急资金，用于应对突发情况；针对不同规模、类型的考试，制定“考试成本测算模型”，细化笔试（按考生人数）、面试（按考官人数 + 场次）、体检（按合格人数）等环节的单位成本标准，提高预算精准度</w:t>
      </w:r>
      <w:r>
        <w:rPr>
          <w:rFonts w:hint="eastAsia" w:ascii="仿宋_GB2312" w:hAnsi="仿宋_GB2312" w:eastAsia="仿宋_GB2312"/>
          <w:color w:val="auto"/>
          <w:sz w:val="32"/>
          <w:szCs w:val="32"/>
          <w:highlight w:val="none"/>
          <w:lang w:val="en-US" w:eastAsia="zh-CN"/>
        </w:rPr>
        <w:t>；二、</w:t>
      </w:r>
      <w:r>
        <w:rPr>
          <w:rFonts w:hint="default" w:ascii="仿宋_GB2312" w:hAnsi="仿宋_GB2312" w:eastAsia="仿宋_GB2312"/>
          <w:color w:val="auto"/>
          <w:sz w:val="32"/>
          <w:szCs w:val="32"/>
          <w:highlight w:val="none"/>
          <w:lang w:val="en-US" w:eastAsia="zh-CN"/>
        </w:rPr>
        <w:t>加强信息化建设投入</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重点升级考试报名系统（增加云服务器扩容功能）、开发智能资格审核模块（对接学信网、社保系统实现数据自动核验）；建立系统运维长效机制，每年安排专项经费用于漏洞修复与功能迭代，保障考试流程顺畅。</w:t>
      </w:r>
      <w:r>
        <w:rPr>
          <w:rFonts w:hint="eastAsia" w:ascii="仿宋_GB2312" w:hAnsi="仿宋_GB2312" w:eastAsia="仿宋_GB2312"/>
          <w:color w:val="auto"/>
          <w:sz w:val="32"/>
          <w:szCs w:val="32"/>
          <w:highlight w:val="none"/>
          <w:lang w:val="en-US" w:eastAsia="zh-CN"/>
        </w:rPr>
        <w:t>三、</w:t>
      </w:r>
      <w:r>
        <w:rPr>
          <w:rFonts w:hint="default" w:ascii="仿宋_GB2312" w:hAnsi="仿宋_GB2312" w:eastAsia="仿宋_GB2312"/>
          <w:color w:val="auto"/>
          <w:sz w:val="32"/>
          <w:szCs w:val="32"/>
          <w:highlight w:val="none"/>
          <w:lang w:val="en-US" w:eastAsia="zh-CN"/>
        </w:rPr>
        <w:t>重构考官</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调整经费结构，将</w:t>
      </w:r>
      <w:r>
        <w:rPr>
          <w:rFonts w:hint="eastAsia" w:ascii="仿宋_GB2312" w:hAnsi="仿宋_GB2312" w:eastAsia="仿宋_GB2312"/>
          <w:color w:val="auto"/>
          <w:sz w:val="32"/>
          <w:szCs w:val="32"/>
          <w:highlight w:val="none"/>
          <w:lang w:val="en-US" w:eastAsia="zh-CN"/>
        </w:rPr>
        <w:t>考官</w:t>
      </w:r>
      <w:r>
        <w:rPr>
          <w:rFonts w:hint="default" w:ascii="仿宋_GB2312" w:hAnsi="仿宋_GB2312" w:eastAsia="仿宋_GB2312"/>
          <w:color w:val="auto"/>
          <w:sz w:val="32"/>
          <w:szCs w:val="32"/>
          <w:highlight w:val="none"/>
          <w:lang w:val="en-US" w:eastAsia="zh-CN"/>
        </w:rPr>
        <w:t>指标完成情况与下年度</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经费分配挂钩，通过经费导向提升</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质量，确保招聘考试的公平性与专业性。​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仿宋_GB2312" w:hAnsi="仿宋_GB2312" w:eastAsia="仿宋_GB2312"/>
          <w:color w:val="auto"/>
          <w:sz w:val="32"/>
          <w:szCs w:val="32"/>
          <w:highlight w:val="none"/>
          <w:lang w:val="en-US"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before="201" w:line="578" w:lineRule="exact"/>
        <w:ind w:left="3080" w:hanging="3150" w:hangingChars="700"/>
        <w:jc w:val="both"/>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hint="eastAsia" w:ascii="黑体" w:hAnsi="黑体" w:eastAsia="黑体" w:cs="黑体"/>
          <w:spacing w:val="15"/>
          <w:position w:val="10"/>
          <w:sz w:val="42"/>
          <w:szCs w:val="42"/>
          <w:lang w:val="en-US" w:eastAsia="zh-CN"/>
        </w:rPr>
        <w:t>年度城乡居民养老保险征收及死亡认证奖励经费项</w:t>
      </w:r>
      <w:r>
        <w:rPr>
          <w:rFonts w:ascii="黑体" w:hAnsi="黑体" w:eastAsia="黑体" w:cs="黑体"/>
          <w:spacing w:val="15"/>
          <w:position w:val="10"/>
          <w:sz w:val="42"/>
          <w:szCs w:val="42"/>
        </w:rPr>
        <w:t>目</w:t>
      </w:r>
      <w:r>
        <w:rPr>
          <w:rFonts w:hint="eastAsia" w:ascii="黑体" w:hAnsi="黑体" w:eastAsia="黑体" w:cs="黑体"/>
          <w:spacing w:val="15"/>
          <w:position w:val="10"/>
          <w:sz w:val="42"/>
          <w:szCs w:val="42"/>
          <w:lang w:eastAsia="zh-CN"/>
        </w:rPr>
        <w:t>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pPr>
        <w:pStyle w:val="2"/>
        <w:spacing w:before="289" w:line="610" w:lineRule="exact"/>
        <w:ind w:firstLine="3172" w:firstLineChars="130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17 </w:t>
      </w:r>
      <w:r>
        <w:rPr>
          <w:spacing w:val="-13"/>
          <w:position w:val="26"/>
          <w:sz w:val="27"/>
          <w:szCs w:val="27"/>
        </w:rPr>
        <w:t>日</w:t>
      </w:r>
    </w:p>
    <w:p>
      <w:pPr>
        <w:pStyle w:val="2"/>
        <w:spacing w:before="1" w:line="223" w:lineRule="auto"/>
        <w:ind w:left="3560"/>
        <w:rPr>
          <w:sz w:val="24"/>
          <w:szCs w:val="24"/>
        </w:rPr>
        <w:sectPr>
          <w:footerReference r:id="rId1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spacing w:before="137" w:line="221" w:lineRule="auto"/>
        <w:ind w:left="2336"/>
        <w:rPr>
          <w:rFonts w:ascii="黑体" w:hAnsi="黑体" w:eastAsia="黑体" w:cs="黑体"/>
          <w:b/>
          <w:bCs/>
          <w:spacing w:val="6"/>
          <w:sz w:val="42"/>
          <w:szCs w:val="4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ascii="黑体" w:hAnsi="黑体" w:eastAsia="黑体" w:cs="黑体"/>
          <w:b/>
          <w:bCs/>
          <w:spacing w:val="-15"/>
          <w:sz w:val="31"/>
          <w:szCs w:val="31"/>
          <w:lang w:val="en-US" w:eastAsia="en-US"/>
        </w:rPr>
        <w:t>一 、项目支出基本情况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社会保险服务中心工作职责为统筹建立社会保障体系，组织实施社会保险及补充保险政策和标准。落实基本养老保险和社会保障基金投资政策。根据汨府阅[2012]6号《关于城乡居民社会养老保险试点工作的会议纪要》文件精神，社保征缴经费按服务的参保对象每人每年3元的标准安排预算，经费分配比例为：市级1.4元/人、乡镇0.6元/人、村级1元/人。为深入扩大社会保险覆盖面，提升社会保险费征缴率，增强社会保险基金抗风险能力，推荐我市社会保险事业的完善和发展，结合当前全市参保情况，本单位至少需要</w:t>
      </w:r>
      <w:r>
        <w:rPr>
          <w:rFonts w:hint="eastAsia" w:eastAsia="仿宋_GB2312"/>
          <w:kern w:val="0"/>
          <w:sz w:val="32"/>
          <w:szCs w:val="32"/>
          <w:lang w:val="en-US" w:eastAsia="zh-CN"/>
        </w:rPr>
        <w:t>99</w:t>
      </w:r>
      <w:r>
        <w:rPr>
          <w:rFonts w:hint="eastAsia" w:eastAsia="仿宋_GB2312"/>
          <w:kern w:val="0"/>
          <w:sz w:val="32"/>
          <w:szCs w:val="32"/>
          <w:lang w:eastAsia="zh-CN"/>
        </w:rPr>
        <w:t>万征收经费开展社保征收工作。</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黑体"/>
          <w:color w:val="auto"/>
          <w:sz w:val="32"/>
          <w:szCs w:val="32"/>
          <w:highlight w:val="none"/>
          <w:lang w:val="en-US" w:eastAsia="zh-CN"/>
        </w:rPr>
      </w:pPr>
      <w:r>
        <w:rPr>
          <w:rFonts w:ascii="黑体" w:hAnsi="黑体" w:eastAsia="黑体" w:cs="黑体"/>
          <w:b/>
          <w:bCs/>
          <w:spacing w:val="-15"/>
          <w:sz w:val="31"/>
          <w:szCs w:val="31"/>
        </w:rPr>
        <w:t>(二)项目资金使用管理情况</w:t>
      </w:r>
      <w:r>
        <w:rPr>
          <w:rFonts w:hint="eastAsia" w:ascii="黑体" w:hAnsi="黑体" w:eastAsia="黑体" w:cs="黑体"/>
          <w:b/>
          <w:bCs/>
          <w:spacing w:val="-15"/>
          <w:sz w:val="31"/>
          <w:szCs w:val="31"/>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textAlignment w:val="baseline"/>
        <w:rPr>
          <w:rFonts w:hint="eastAsia" w:ascii="仿宋_GB2312" w:hAnsi="仿宋_GB2312" w:eastAsia="仿宋_GB2312" w:cs="Times New Roman"/>
          <w:snapToGrid w:val="0"/>
          <w:color w:val="000000"/>
          <w:spacing w:val="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2023年度城乡居民养老保险征收及死亡认证奖励经费由财政拨付99万元，做到项目资金专款专用，在该年度已全部支出完毕，主要用于支付社保征缴工作中的办公开支、工作培训经费、根据各乡镇参保情况审核后再拨付到乡镇用于社保工作等。</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黑体"/>
          <w:color w:val="auto"/>
          <w:sz w:val="32"/>
          <w:szCs w:val="32"/>
          <w:highlight w:val="none"/>
          <w:lang w:val="en-US" w:eastAsia="zh-CN"/>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textAlignment w:val="baseline"/>
        <w:rPr>
          <w:rFonts w:hint="eastAsia" w:ascii="仿宋_GB2312" w:hAnsi="仿宋_GB2312" w:eastAsia="仿宋_GB2312" w:cs="Times New Roman"/>
          <w:snapToGrid w:val="0"/>
          <w:color w:val="000000"/>
          <w:spacing w:val="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用于扩面征缴的宣传工作，营造参保良好氛围。通过挂横幅、写标语、办宣传栏、流动宣传车等形式对我市社保扩面征缴工作全方位地宣传。动员各乡镇群众积极参与，使群众明白社会保险的意义和重要性。经过一段时间的努力，群众对于社保的认识有了很大的提高。为全年的社保扩面征缴工作顺利完成提供了坚实的保证。二是扩大社保覆盖面。社保工作人员不时深入企业调查，积极鼓励企业为职工进行企业养老保险参保，维护了职工的合法权益。对拒不参保、瞒报基数拒不整改、恶意欠费的用人单位依法督促其整改。联合各乡镇劳动保障站对居民参保进行动员，提高群众对参保的自觉性，对城乡居民养老保险和灵活就业人员参保政策进行宣传，扩大缴费面。三是对各乡镇劳动保障站社保工作人员加强指导、规范业务，提升服务。按照城乡居保征缴工作流程，严格人员信息管理，建立征缴台账，确保基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rPr>
        <w:t>二、</w:t>
      </w:r>
      <w:r>
        <w:rPr>
          <w:rFonts w:hint="eastAsia" w:ascii="黑体" w:hAnsi="黑体" w:eastAsia="黑体" w:cs="黑体"/>
          <w:b/>
          <w:bCs/>
          <w:spacing w:val="-15"/>
          <w:sz w:val="31"/>
          <w:szCs w:val="31"/>
          <w:lang w:eastAsia="zh-CN"/>
        </w:rPr>
        <w:t>绩效工作评价情况</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pacing w:val="0"/>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本项目资金使用情况良好，分阶段分期使用完毕。做到了合理有效使用资金，并且发挥了应有的效果。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社保征缴工作成效显著。在我单位社保工作人员和乡镇劳保站的共同努力和配合下，扩面征缴工作进展非常顺利，已超额完成市政府下达的扩面征缴任务。积极征缴、合理调度，确保了本年度社会保险基金圆满达标征缴目标，足额入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 w:eastAsia="zh-CN" w:bidi="ar-SA"/>
        </w:rPr>
      </w:pPr>
      <w:r>
        <w:rPr>
          <w:rFonts w:hint="eastAsia" w:ascii="Arial" w:hAnsi="Arial" w:eastAsia="仿宋_GB2312" w:cs="Arial"/>
          <w:snapToGrid w:val="0"/>
          <w:color w:val="000000"/>
          <w:kern w:val="0"/>
          <w:sz w:val="32"/>
          <w:szCs w:val="32"/>
          <w:lang w:val="en" w:eastAsia="zh-CN" w:bidi="ar-SA"/>
        </w:rPr>
        <w:t>本单位项目决策根据实际情况制定了实施规划</w:t>
      </w:r>
      <w:r>
        <w:rPr>
          <w:rFonts w:hint="default" w:ascii="Arial" w:hAnsi="Arial" w:eastAsia="仿宋_GB2312" w:cs="Arial"/>
          <w:snapToGrid w:val="0"/>
          <w:color w:val="000000"/>
          <w:kern w:val="0"/>
          <w:sz w:val="32"/>
          <w:szCs w:val="32"/>
          <w:lang w:val="en" w:eastAsia="zh-CN" w:bidi="ar-SA"/>
        </w:rPr>
        <w:t>,</w:t>
      </w:r>
      <w:r>
        <w:rPr>
          <w:rFonts w:hint="eastAsia" w:ascii="Arial" w:hAnsi="Arial" w:eastAsia="仿宋_GB2312" w:cs="Arial"/>
          <w:snapToGrid w:val="0"/>
          <w:color w:val="000000"/>
          <w:kern w:val="0"/>
          <w:sz w:val="32"/>
          <w:szCs w:val="32"/>
          <w:lang w:val="en" w:eastAsia="zh-CN" w:bidi="ar-SA"/>
        </w:rPr>
        <w:t>秉持“保民生、保工资、保运转”的理念，合理安排项目资金。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 w:eastAsia="zh-CN" w:bidi="ar-SA"/>
        </w:rPr>
      </w:pPr>
      <w:r>
        <w:rPr>
          <w:rFonts w:hint="eastAsia" w:ascii="Arial" w:hAnsi="Arial" w:eastAsia="仿宋_GB2312" w:cs="Arial"/>
          <w:snapToGrid w:val="0"/>
          <w:color w:val="000000"/>
          <w:kern w:val="0"/>
          <w:sz w:val="32"/>
          <w:szCs w:val="32"/>
          <w:lang w:val="en" w:eastAsia="zh-CN" w:bidi="ar-SA"/>
        </w:rPr>
        <w:t>本单位项目在开展过程中严格按照相关制度规定等进行，按照实际情况支出，严禁挤占、挪用、虚列支出等情况发生。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textAlignment w:val="baseline"/>
        <w:rPr>
          <w:rFonts w:hint="default" w:ascii="仿宋_GB2312" w:hAnsi="仿宋_GB2312" w:eastAsia="仿宋_GB2312" w:cs="仿宋_GB2312"/>
          <w:color w:val="auto"/>
          <w:spacing w:val="7"/>
          <w:kern w:val="2"/>
          <w:sz w:val="32"/>
          <w:szCs w:val="32"/>
          <w:lang w:val="en-US" w:eastAsia="zh-CN" w:bidi="ar-SA"/>
        </w:rPr>
      </w:pPr>
      <w:r>
        <w:rPr>
          <w:rFonts w:hint="eastAsia" w:ascii="Arial" w:hAnsi="Arial" w:eastAsia="仿宋_GB2312" w:cs="Arial"/>
          <w:snapToGrid w:val="0"/>
          <w:color w:val="000000"/>
          <w:kern w:val="0"/>
          <w:sz w:val="32"/>
          <w:szCs w:val="32"/>
          <w:lang w:val="en" w:eastAsia="zh-CN" w:bidi="ar-SA"/>
        </w:rPr>
        <w:t>本单位项目产出按照数量、质量、时效、成本等四个方面，根据各自情况，设置相关指标内容，用于跟踪项目工作的开展。全市养老保险参保人员数量已完成；社保征缴参保人员合规；时效在</w:t>
      </w:r>
      <w:r>
        <w:rPr>
          <w:rFonts w:hint="eastAsia" w:ascii="Arial" w:hAnsi="Arial" w:eastAsia="仿宋_GB2312" w:cs="Arial"/>
          <w:snapToGrid w:val="0"/>
          <w:color w:val="000000"/>
          <w:kern w:val="0"/>
          <w:sz w:val="32"/>
          <w:szCs w:val="32"/>
          <w:lang w:val="en-US" w:eastAsia="zh-CN" w:bidi="ar-SA"/>
        </w:rPr>
        <w:t>2023年12月31日前已完成；成本指标99万已完成。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textAlignment w:val="baseline"/>
        <w:rPr>
          <w:rFonts w:hint="default" w:ascii="Arial" w:hAnsi="Arial" w:eastAsia="仿宋_GB2312" w:cs="Arial"/>
          <w:snapToGrid w:val="0"/>
          <w:color w:val="000000"/>
          <w:kern w:val="0"/>
          <w:sz w:val="32"/>
          <w:szCs w:val="32"/>
          <w:lang w:val="en" w:eastAsia="zh-CN" w:bidi="ar-SA"/>
        </w:rPr>
      </w:pPr>
      <w:r>
        <w:rPr>
          <w:rFonts w:hint="eastAsia" w:ascii="Arial" w:hAnsi="Arial" w:eastAsia="仿宋_GB2312" w:cs="Arial"/>
          <w:snapToGrid w:val="0"/>
          <w:color w:val="000000"/>
          <w:kern w:val="0"/>
          <w:sz w:val="32"/>
          <w:szCs w:val="32"/>
          <w:lang w:val="en" w:eastAsia="zh-CN" w:bidi="ar-SA"/>
        </w:rPr>
        <w:t>本单位项目效益按照经济效益、社会效益、生态效益、服务对象满意度等四个方面，设置符合实际情况的指标内容，用于跟踪项目工作的开展。经济效益、社会效益完成良好；服务对象满意。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在项目资金实施过程中我单位按照分时分段以及提前做好规划，合理制定工作方案等方式合规有序使用资金。</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但是在征缴工作中依然存在以下问题：1.部分人员存在观望情绪。大部分农村居民经济条件并不宽裕，历史形成的“养儿防老，积谷防饥”传统的家庭养老观念根深蒂固，加之多数老年人文化水平不高，政策理解有限。参保对象中的中青年人员又存在等待观望情绪，认为自己还年轻，离领取养老待遇还有很长一段时间，存在等待观望思想。2.乡镇年轻劳动力常住人口少，扩面征缴难。近年外出务工经商人员多，对社保政策不知晓，没有防老的意识，还有些已在务工所在地参加了养老保险，这些都为社保扩面工作增加了难度。3.乡镇社保工作人员人手不足，参保信息工作量大，错误信息多。参保人的身份信息存在录入错误，参保重复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1、强化宣传，巩固提高成绩。继续发扬攻坚克难的优良作风，加大宣传力度，确保老百姓对社会养老保险政策的理解更加透彻，达到自愿参保和续保。</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2、加强培训，提升业务能力。进一步加强经办人员业务能力的提升，每年组织乡镇社保中心人员业务培训，使他们及时掌握城乡居保新政策，熟练操作系统软件，通过培训，做到经办工作人员懂业务，熟政策。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仿宋_GB2312" w:hAnsi="仿宋_GB2312" w:eastAsia="仿宋_GB2312" w:cs="仿宋_GB2312"/>
          <w:color w:val="auto"/>
          <w:spacing w:val="7"/>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3、认真学习，创新工作思路。社保政策随时在更新，政策性强，需要我们在工作中不断加强学习和总结。在干中学、学中干，我们要以工作任务为牵引，依托工作岗位来学习提高。观察、摸索、查阅资料，问书本、问同事，不断丰富知识，掌握工作技巧，不断掌握方法，积累经验。摸清工作中的难点，找准切入点，使征缴工作健康有序推进。</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黑体"/>
          <w:color w:val="auto"/>
          <w:sz w:val="32"/>
          <w:szCs w:val="32"/>
          <w:highlight w:val="none"/>
          <w:lang w:eastAsia="zh-CN"/>
        </w:rPr>
      </w:pPr>
      <w:r>
        <w:rPr>
          <w:rFonts w:hint="eastAsia" w:ascii="仿宋_GB2312" w:hAnsi="仿宋_GB2312" w:eastAsia="黑体"/>
          <w:color w:val="auto"/>
          <w:sz w:val="32"/>
          <w:szCs w:val="32"/>
          <w:highlight w:val="none"/>
          <w:lang w:eastAsia="zh-CN"/>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pPr>
        <w:spacing w:before="201" w:line="578" w:lineRule="exact"/>
        <w:ind w:firstLine="1350" w:firstLineChars="300"/>
        <w:jc w:val="both"/>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 xml:space="preserve"> 年度</w:t>
      </w:r>
      <w:r>
        <w:rPr>
          <w:rFonts w:hint="eastAsia" w:ascii="黑体" w:hAnsi="黑体" w:eastAsia="黑体" w:cs="黑体"/>
          <w:spacing w:val="15"/>
          <w:position w:val="10"/>
          <w:sz w:val="42"/>
          <w:szCs w:val="42"/>
          <w:lang w:eastAsia="zh-CN"/>
        </w:rPr>
        <w:t>复退军人生活补助</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both"/>
        <w:rPr>
          <w:spacing w:val="-22"/>
          <w:sz w:val="27"/>
          <w:szCs w:val="27"/>
        </w:rPr>
      </w:pPr>
    </w:p>
    <w:p>
      <w:pPr>
        <w:pStyle w:val="2"/>
        <w:spacing w:before="89" w:line="221" w:lineRule="auto"/>
        <w:ind w:firstLine="1582" w:firstLineChars="700"/>
        <w:jc w:val="both"/>
        <w:rPr>
          <w:spacing w:val="-22"/>
          <w:sz w:val="27"/>
          <w:szCs w:val="27"/>
        </w:rPr>
      </w:pPr>
    </w:p>
    <w:p>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pPr>
        <w:spacing w:before="137" w:line="221" w:lineRule="auto"/>
        <w:ind w:left="2336" w:firstLine="976" w:firstLineChars="400"/>
        <w:rPr>
          <w:spacing w:val="-13"/>
          <w:position w:val="26"/>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17 </w:t>
      </w:r>
      <w:r>
        <w:rPr>
          <w:spacing w:val="-13"/>
          <w:position w:val="26"/>
          <w:sz w:val="27"/>
          <w:szCs w:val="27"/>
        </w:rPr>
        <w:t>日</w:t>
      </w:r>
    </w:p>
    <w:p>
      <w:pPr>
        <w:spacing w:before="137" w:line="221" w:lineRule="auto"/>
        <w:ind w:left="2336"/>
        <w:rPr>
          <w:spacing w:val="-13"/>
          <w:position w:val="26"/>
          <w:sz w:val="27"/>
          <w:szCs w:val="27"/>
        </w:r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pStyle w:val="3"/>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本项目资金用于对企业下岗失业的复退军人（简称“四类人员”包括1、转业志愿兵2、伤残军人3、参战军人4、涉核军人）生活补助,有力维护劳动关系和谐稳定、进一步健全劳动体制机制。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复退军人生活补助项目，</w:t>
      </w:r>
      <w:r>
        <w:rPr>
          <w:rFonts w:hint="eastAsia" w:eastAsia="仿宋_GB2312"/>
          <w:kern w:val="0"/>
          <w:sz w:val="32"/>
          <w:szCs w:val="32"/>
          <w:lang w:val="en-US" w:eastAsia="en-US"/>
        </w:rPr>
        <w:t>根据《就业促进法》、《湖南省就业困难人员就业援助实施办法》湘政办发﹝2009﹞34号、《湖南省就业专项资金使用管理办法》湘政办发﹝2012﹞15号、《湖南省人力资源和社会保障厅 湖南省财政厅关于进一步规范公益性岗位开发和管理有关问题的通知》湘人社发﹝2013﹞93号以及就业困难援助等相关政策文件，结合汨罗实际，需要对企业下岗失业的复退军人（简称“四类人员”包括1、转业志愿兵2、伤残军人3、参战军人4、涉核军人）给予公益性岗位补贴。根据2011年市委市政府关于“四类人员”问题处理的会议要求，从2011年起由就业服务局对四类人员共计144人按公益性岗位526元/月进行补贴，复退军人公益性岗位补贴从就业补助资金中列支，自2011年至2019共计支出16921200元（明细见附表），财政按200元/月共计345600元对就业服务局给予补贴。2020年9月岳阳审计对汨罗市贯彻落实重大政策措施情况跟踪审计中指出复退军人超期享受公益性岗位补贴，追回公益性岗位补贴2257100元，复退军人公益性岗位补贴执行至2019年；根据汨府阅﹝2021﹞4号，关于城镇退役军人“四类人员”信访问题的会议纪要，明确市人社局2020年1月至2022年12月每年统筹就业创业服务补助资金1000000元由财政整合资金兜底解决“四类人员”社保、医保等。</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imes New Roman"/>
          <w:spacing w:val="0"/>
          <w:kern w:val="2"/>
          <w:sz w:val="32"/>
          <w:szCs w:val="32"/>
          <w:lang w:val="en-US" w:eastAsia="zh-CN" w:bidi="ar-SA"/>
        </w:rPr>
      </w:pPr>
      <w:r>
        <w:rPr>
          <w:rFonts w:hint="eastAsia" w:ascii="仿宋_GB2312" w:hAnsi="仿宋_GB2312" w:eastAsia="仿宋_GB2312" w:cs="Times New Roman"/>
          <w:spacing w:val="0"/>
          <w:kern w:val="2"/>
          <w:sz w:val="32"/>
          <w:szCs w:val="32"/>
          <w:lang w:val="en-US" w:eastAsia="zh-CN" w:bidi="ar-SA"/>
        </w:rPr>
        <w:t>复退军人生活补助项目资金使用情况良好，分阶段分期使用完毕。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imes New Roman"/>
          <w:spacing w:val="0"/>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汨罗市财政局关于开展2023年度部门整体支出和项目支出绩效自评工作的通知》等相关文件要求，我单位制定了绩效自评方案，成立了工作领导小组，严格按照方案要求，及时发现问题，解决问题，形成了本自评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imes New Roman"/>
          <w:spacing w:val="0"/>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本年度落实了按时足额发放复退军人生活补助，有力维护了劳动关系和谐稳定，保障了就业工作平稳有序开展。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imes New Roman"/>
          <w:spacing w:val="0"/>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本单位项目决策根据实际情况制定了实施规划，秉持维护劳动关系和谐稳定的理念，合理安排项目资金。</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本单位项目在开展过程中严格按照相关制度规定等进行，按照实际情况支出，严禁挤占、挪用、虚列支出等情况发生。</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本单位项目产出按照数量、质量、时效、成本等四个方面，根据各自情况，设置相关指标内容，用于跟踪项目工作的开展。</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本单位项目效益按照经济效益、社会效益、生态效益、服务对象满意度等四个方面，设置符合实际情况的指标内容，用于跟踪项目工作的开展。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在项目资金实施过程中我单位按照分时分段以及提前做好规划，合理制定工作方案等方式合规有序使用资金。但是在工作过程中，工作量大，工作任务重，执法监督人手不足，工作压力较大。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en-US"/>
        </w:rPr>
        <w:t>六、</w:t>
      </w:r>
      <w:r>
        <w:rPr>
          <w:rFonts w:ascii="黑体" w:hAnsi="黑体" w:eastAsia="黑体" w:cs="黑体"/>
          <w:b/>
          <w:bCs/>
          <w:spacing w:val="-15"/>
          <w:sz w:val="31"/>
          <w:szCs w:val="31"/>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单位将继续深入贯彻落实省厅关于进一步加强社会保险基金管理风险防控工作的实施意见，努力构建政策、经办、信息、监督四位一体的风险防控工作机制，切实维护基金安全完整。同时，采取多种方式，突出抓好经常性警示教育，进一步增强人员的风险防控意识，树立底线思维，努力推动汨罗市就业服务事业健康快速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en-US"/>
        </w:rPr>
        <w:t>七、</w:t>
      </w:r>
      <w:r>
        <w:rPr>
          <w:rFonts w:ascii="黑体" w:hAnsi="黑体" w:eastAsia="黑体" w:cs="黑体"/>
          <w:b/>
          <w:bCs/>
          <w:spacing w:val="-15"/>
          <w:sz w:val="31"/>
          <w:szCs w:val="31"/>
        </w:rPr>
        <w:t>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741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05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24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087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07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68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95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27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38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85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11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290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626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8A9C6"/>
    <w:multiLevelType w:val="singleLevel"/>
    <w:tmpl w:val="88D8A9C6"/>
    <w:lvl w:ilvl="0" w:tentative="0">
      <w:start w:val="2"/>
      <w:numFmt w:val="chineseCounting"/>
      <w:lvlText w:val="(%1)"/>
      <w:lvlJc w:val="left"/>
      <w:pPr>
        <w:tabs>
          <w:tab w:val="left" w:pos="312"/>
        </w:tabs>
      </w:pPr>
      <w:rPr>
        <w:rFonts w:hint="eastAsia"/>
      </w:rPr>
    </w:lvl>
  </w:abstractNum>
  <w:abstractNum w:abstractNumId="1">
    <w:nsid w:val="F18DE1F9"/>
    <w:multiLevelType w:val="singleLevel"/>
    <w:tmpl w:val="F18DE1F9"/>
    <w:lvl w:ilvl="0" w:tentative="0">
      <w:start w:val="2"/>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ZmNDc4MjZiMjE0MmNkMjIxOTNkMTc0ZDZkMmRjNjIifQ=="/>
  </w:docVars>
  <w:rsids>
    <w:rsidRoot w:val="00000000"/>
    <w:rsid w:val="01AF3811"/>
    <w:rsid w:val="03795BF7"/>
    <w:rsid w:val="04BB3C71"/>
    <w:rsid w:val="086E756B"/>
    <w:rsid w:val="09C5583F"/>
    <w:rsid w:val="0ACF37E5"/>
    <w:rsid w:val="0B400BC6"/>
    <w:rsid w:val="0E68228D"/>
    <w:rsid w:val="0EA6787F"/>
    <w:rsid w:val="145209AE"/>
    <w:rsid w:val="15276E52"/>
    <w:rsid w:val="15523513"/>
    <w:rsid w:val="19D32FBC"/>
    <w:rsid w:val="1E6A4395"/>
    <w:rsid w:val="242A5471"/>
    <w:rsid w:val="24653902"/>
    <w:rsid w:val="25557A3D"/>
    <w:rsid w:val="26EA5ED7"/>
    <w:rsid w:val="27A93B82"/>
    <w:rsid w:val="2AE00186"/>
    <w:rsid w:val="2FE83639"/>
    <w:rsid w:val="308216BE"/>
    <w:rsid w:val="31D10739"/>
    <w:rsid w:val="34FE1149"/>
    <w:rsid w:val="37A1638C"/>
    <w:rsid w:val="3A550786"/>
    <w:rsid w:val="3B7A130F"/>
    <w:rsid w:val="47BF69BA"/>
    <w:rsid w:val="494A1329"/>
    <w:rsid w:val="4F8B6063"/>
    <w:rsid w:val="52FA3F96"/>
    <w:rsid w:val="55850F17"/>
    <w:rsid w:val="576C35FB"/>
    <w:rsid w:val="57AE6D93"/>
    <w:rsid w:val="5C203325"/>
    <w:rsid w:val="5FB623A7"/>
    <w:rsid w:val="66682803"/>
    <w:rsid w:val="66C043ED"/>
    <w:rsid w:val="6E3851B0"/>
    <w:rsid w:val="70CE576B"/>
    <w:rsid w:val="784167CA"/>
    <w:rsid w:val="7ED67756"/>
    <w:rsid w:val="7FF48932"/>
    <w:rsid w:val="BB77A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Body Text Indent 2"/>
    <w:basedOn w:val="1"/>
    <w:unhideWhenUsed/>
    <w:qFormat/>
    <w:uiPriority w:val="0"/>
    <w:pPr>
      <w:spacing w:after="120" w:line="480" w:lineRule="auto"/>
      <w:ind w:left="420" w:leftChars="200"/>
    </w:pPr>
  </w:style>
  <w:style w:type="paragraph" w:styleId="4">
    <w:name w:val="footer"/>
    <w:basedOn w:val="1"/>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3688</Words>
  <Characters>4249</Characters>
  <TotalTime>3</TotalTime>
  <ScaleCrop>false</ScaleCrop>
  <LinksUpToDate>false</LinksUpToDate>
  <CharactersWithSpaces>4497</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2024-05-22T06:05:00Z</cp:lastPrinted>
  <dcterms:modified xsi:type="dcterms:W3CDTF">2025-07-16T17:35:49Z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561B17DE5C234218857D77E311E0496E_13</vt:lpwstr>
  </property>
</Properties>
</file>