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w:t>
            </w:r>
          </w:p>
        </w:tc>
        <w:tc>
          <w:tcPr>
            <w:tcW w:w="1983" w:type="dxa"/>
            <w:gridSpan w:val="2"/>
            <w:vAlign w:val="center"/>
          </w:tcPr>
          <w:p w14:paraId="06F2846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103%</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w:t>
            </w: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39.61</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23.5</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13.86</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39.61</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15.93</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13.16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9.26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6.58</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82.25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114.68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始终把艰苦奋斗，勤俭节约惯穿财务全过程，规范财务管理。</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孟波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13548905372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黎安福</w:t>
      </w:r>
    </w:p>
    <w:p w14:paraId="507B99FC">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河道砂石综合执法局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489.36</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652.44</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652..44</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774.48</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791.62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1177.04</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1323.79</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bookmarkStart w:id="0" w:name="OLE_LINK7" w:colFirst="1" w:colLast="2"/>
          </w:p>
        </w:tc>
        <w:tc>
          <w:tcPr>
            <w:tcW w:w="4645" w:type="dxa"/>
            <w:gridSpan w:val="4"/>
            <w:vAlign w:val="center"/>
          </w:tcPr>
          <w:p w14:paraId="5630C8F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1.加强河道禁采管理，2.协助打击非法采砂</w:t>
            </w:r>
          </w:p>
        </w:tc>
        <w:tc>
          <w:tcPr>
            <w:tcW w:w="4260" w:type="dxa"/>
            <w:gridSpan w:val="4"/>
            <w:vAlign w:val="center"/>
          </w:tcPr>
          <w:p w14:paraId="156E0DC0">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加强禁采管理及规范河道采砂，确保禁采安全</w:t>
            </w:r>
          </w:p>
        </w:tc>
      </w:tr>
      <w:bookmarkEnd w:id="0"/>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禁采区安全</w:t>
            </w:r>
          </w:p>
        </w:tc>
        <w:tc>
          <w:tcPr>
            <w:tcW w:w="1298" w:type="dxa"/>
            <w:vAlign w:val="center"/>
          </w:tcPr>
          <w:p w14:paraId="2A374824">
            <w:pPr>
              <w:spacing w:line="240" w:lineRule="auto"/>
              <w:ind w:firstLine="420"/>
              <w:jc w:val="center"/>
              <w:rPr>
                <w:rFonts w:ascii="仿宋_GB2312" w:eastAsia="仿宋_GB2312"/>
                <w:kern w:val="0"/>
              </w:rPr>
            </w:pPr>
            <w:bookmarkStart w:id="1" w:name="OLE_LINK1"/>
            <w:r>
              <w:rPr>
                <w:rFonts w:hint="eastAsia" w:ascii="仿宋_GB2312" w:eastAsia="仿宋_GB2312"/>
                <w:kern w:val="0"/>
                <w:lang w:val="en-US" w:eastAsia="zh-CN"/>
              </w:rPr>
              <w:t>100%</w:t>
            </w:r>
            <w:bookmarkEnd w:id="1"/>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年度绩效</w:t>
            </w:r>
          </w:p>
        </w:tc>
        <w:tc>
          <w:tcPr>
            <w:tcW w:w="1298" w:type="dxa"/>
            <w:vAlign w:val="center"/>
          </w:tcPr>
          <w:p w14:paraId="1A5A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即时完成</w:t>
            </w:r>
          </w:p>
        </w:tc>
        <w:tc>
          <w:tcPr>
            <w:tcW w:w="1269" w:type="dxa"/>
            <w:vAlign w:val="center"/>
          </w:tcPr>
          <w:p w14:paraId="54075F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良好</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完成时间</w:t>
            </w:r>
          </w:p>
        </w:tc>
        <w:tc>
          <w:tcPr>
            <w:tcW w:w="1298" w:type="dxa"/>
            <w:vAlign w:val="center"/>
          </w:tcPr>
          <w:p w14:paraId="479FA5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即时完成</w:t>
            </w:r>
          </w:p>
        </w:tc>
        <w:tc>
          <w:tcPr>
            <w:tcW w:w="1269" w:type="dxa"/>
            <w:vAlign w:val="center"/>
          </w:tcPr>
          <w:p w14:paraId="5C1B340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即时完成</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hint="default" w:ascii="仿宋_GB2312" w:eastAsia="仿宋_GB2312"/>
                <w:kern w:val="0"/>
                <w:lang w:val="en-US" w:eastAsia="zh-CN"/>
              </w:rPr>
            </w:pPr>
            <w:r>
              <w:rPr>
                <w:rFonts w:hint="eastAsia" w:ascii="仿宋_GB2312" w:eastAsia="仿宋_GB2312"/>
                <w:kern w:val="0"/>
                <w:sz w:val="18"/>
                <w:szCs w:val="18"/>
                <w:lang w:val="en-US" w:eastAsia="zh-CN"/>
              </w:rPr>
              <w:t>增加财政收入</w:t>
            </w:r>
          </w:p>
        </w:tc>
        <w:tc>
          <w:tcPr>
            <w:tcW w:w="1298" w:type="dxa"/>
            <w:vAlign w:val="center"/>
          </w:tcPr>
          <w:p w14:paraId="078289F3">
            <w:pPr>
              <w:spacing w:line="240" w:lineRule="auto"/>
              <w:ind w:firstLine="420"/>
              <w:jc w:val="center"/>
              <w:rPr>
                <w:rFonts w:hint="eastAsia" w:ascii="仿宋_GB2312" w:eastAsia="仿宋_GB2312"/>
                <w:kern w:val="0"/>
                <w:lang w:val="en-US" w:eastAsia="zh-CN"/>
              </w:rPr>
            </w:pPr>
            <w:bookmarkStart w:id="2" w:name="OLE_LINK2"/>
            <w:r>
              <w:rPr>
                <w:rFonts w:hint="eastAsia" w:ascii="仿宋_GB2312" w:eastAsia="仿宋_GB2312"/>
                <w:kern w:val="0"/>
                <w:lang w:val="en-US" w:eastAsia="zh-CN"/>
              </w:rPr>
              <w:t>明显</w:t>
            </w:r>
            <w:bookmarkEnd w:id="2"/>
          </w:p>
        </w:tc>
        <w:tc>
          <w:tcPr>
            <w:tcW w:w="1269" w:type="dxa"/>
            <w:vAlign w:val="center"/>
          </w:tcPr>
          <w:p w14:paraId="7A453B8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明显</w:t>
            </w:r>
          </w:p>
        </w:tc>
        <w:tc>
          <w:tcPr>
            <w:tcW w:w="699" w:type="dxa"/>
            <w:vAlign w:val="center"/>
          </w:tcPr>
          <w:p w14:paraId="415A3F6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bookmarkStart w:id="3" w:name="OLE_LINK4" w:colFirst="4" w:colLast="5"/>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hint="default" w:ascii="仿宋_GB2312" w:eastAsia="仿宋_GB2312"/>
                <w:kern w:val="0"/>
                <w:lang w:val="en-US" w:eastAsia="zh-CN"/>
              </w:rPr>
            </w:pPr>
            <w:r>
              <w:rPr>
                <w:rFonts w:hint="eastAsia" w:ascii="仿宋_GB2312" w:eastAsia="仿宋_GB2312"/>
                <w:kern w:val="0"/>
                <w:sz w:val="15"/>
                <w:szCs w:val="15"/>
                <w:lang w:val="en-US" w:eastAsia="zh-CN"/>
              </w:rPr>
              <w:t>投诉举报办结率</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bookmarkEnd w:id="3"/>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hint="default" w:ascii="仿宋_GB2312" w:eastAsia="仿宋_GB2312"/>
                <w:kern w:val="0"/>
                <w:lang w:val="en-US" w:eastAsia="zh-CN"/>
              </w:rPr>
            </w:pPr>
            <w:r>
              <w:rPr>
                <w:rFonts w:hint="eastAsia" w:ascii="仿宋_GB2312" w:eastAsia="仿宋_GB2312"/>
                <w:kern w:val="0"/>
                <w:sz w:val="15"/>
                <w:szCs w:val="15"/>
                <w:lang w:val="en-US" w:eastAsia="zh-CN"/>
              </w:rPr>
              <w:t>生态环境修护</w:t>
            </w:r>
          </w:p>
        </w:tc>
        <w:tc>
          <w:tcPr>
            <w:tcW w:w="1298" w:type="dxa"/>
            <w:vAlign w:val="center"/>
          </w:tcPr>
          <w:p w14:paraId="45B96CBB">
            <w:pPr>
              <w:spacing w:line="240" w:lineRule="auto"/>
              <w:ind w:firstLine="420"/>
              <w:jc w:val="center"/>
              <w:rPr>
                <w:rFonts w:ascii="仿宋_GB2312" w:eastAsia="仿宋_GB2312"/>
                <w:b/>
                <w:bCs/>
                <w:kern w:val="0"/>
              </w:rPr>
            </w:pPr>
            <w:bookmarkStart w:id="4" w:name="OLE_LINK3"/>
            <w:r>
              <w:rPr>
                <w:rFonts w:hint="eastAsia" w:ascii="仿宋_GB2312" w:eastAsia="仿宋_GB2312"/>
                <w:kern w:val="0"/>
                <w:lang w:val="en-US" w:eastAsia="zh-CN"/>
              </w:rPr>
              <w:t>明显</w:t>
            </w:r>
            <w:bookmarkEnd w:id="4"/>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lang w:val="en-US" w:eastAsia="zh-CN"/>
              </w:rPr>
              <w:t>明显</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hint="default" w:ascii="仿宋_GB2312" w:eastAsia="仿宋_GB2312"/>
                <w:kern w:val="0"/>
                <w:lang w:val="en-US" w:eastAsia="zh-CN"/>
              </w:rPr>
            </w:pPr>
            <w:r>
              <w:rPr>
                <w:rFonts w:hint="eastAsia" w:ascii="仿宋_GB2312" w:eastAsia="仿宋_GB2312"/>
                <w:kern w:val="0"/>
                <w:sz w:val="18"/>
                <w:szCs w:val="18"/>
                <w:lang w:val="en-US" w:eastAsia="zh-CN"/>
              </w:rPr>
              <w:t>生态环境建设</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lang w:val="en-US" w:eastAsia="zh-CN"/>
              </w:rPr>
              <w:t>明显</w:t>
            </w:r>
          </w:p>
        </w:tc>
        <w:tc>
          <w:tcPr>
            <w:tcW w:w="1269"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lang w:val="en-US" w:eastAsia="zh-CN"/>
              </w:rPr>
              <w:t>明显</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群众满意度</w:t>
            </w:r>
          </w:p>
        </w:tc>
        <w:tc>
          <w:tcPr>
            <w:tcW w:w="1298"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1269"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hint="default" w:ascii="仿宋_GB2312" w:eastAsia="仿宋_GB2312"/>
                <w:kern w:val="0"/>
                <w:lang w:val="en-US" w:eastAsia="zh-CN"/>
              </w:rPr>
            </w:pPr>
            <w:r>
              <w:rPr>
                <w:rFonts w:hint="eastAsia" w:ascii="仿宋_GB2312" w:eastAsia="仿宋_GB2312"/>
                <w:kern w:val="0"/>
                <w:sz w:val="18"/>
                <w:szCs w:val="18"/>
                <w:lang w:val="en-US" w:eastAsia="zh-CN"/>
              </w:rPr>
              <w:t>实际完成控制在概算内</w:t>
            </w:r>
          </w:p>
        </w:tc>
        <w:tc>
          <w:tcPr>
            <w:tcW w:w="1298" w:type="dxa"/>
            <w:vAlign w:val="center"/>
          </w:tcPr>
          <w:p w14:paraId="15ECA8D3">
            <w:pPr>
              <w:spacing w:line="240" w:lineRule="auto"/>
              <w:jc w:val="both"/>
              <w:rPr>
                <w:rFonts w:hint="default" w:ascii="仿宋_GB2312" w:eastAsia="仿宋_GB2312"/>
                <w:kern w:val="0"/>
                <w:lang w:val="en-US" w:eastAsia="zh-CN"/>
              </w:rPr>
            </w:pPr>
            <w:bookmarkStart w:id="5" w:name="OLE_LINK5"/>
            <w:r>
              <w:rPr>
                <w:rFonts w:hint="eastAsia" w:ascii="仿宋_GB2312" w:eastAsia="仿宋_GB2312"/>
                <w:kern w:val="0"/>
                <w:lang w:val="en-US" w:eastAsia="zh-CN"/>
              </w:rPr>
              <w:t>按计划实施</w:t>
            </w:r>
            <w:bookmarkEnd w:id="5"/>
          </w:p>
        </w:tc>
        <w:tc>
          <w:tcPr>
            <w:tcW w:w="1269"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lang w:val="en-US" w:eastAsia="zh-CN"/>
              </w:rPr>
              <w:t>按计划实施</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对河道水环境负面影响</w:t>
            </w:r>
          </w:p>
        </w:tc>
        <w:tc>
          <w:tcPr>
            <w:tcW w:w="1298" w:type="dxa"/>
            <w:vAlign w:val="center"/>
          </w:tcPr>
          <w:p w14:paraId="09361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2DCD30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99" w:type="dxa"/>
            <w:vAlign w:val="center"/>
          </w:tcPr>
          <w:p w14:paraId="76522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p>
        </w:tc>
        <w:tc>
          <w:tcPr>
            <w:tcW w:w="1298" w:type="dxa"/>
            <w:vAlign w:val="center"/>
          </w:tcPr>
          <w:p w14:paraId="789CDCB9">
            <w:pPr>
              <w:spacing w:line="240" w:lineRule="auto"/>
              <w:ind w:firstLine="420"/>
              <w:jc w:val="center"/>
              <w:rPr>
                <w:rFonts w:ascii="仿宋_GB2312" w:eastAsia="仿宋_GB2312"/>
                <w:kern w:val="0"/>
              </w:rPr>
            </w:pPr>
          </w:p>
        </w:tc>
        <w:tc>
          <w:tcPr>
            <w:tcW w:w="1269" w:type="dxa"/>
            <w:vAlign w:val="center"/>
          </w:tcPr>
          <w:p w14:paraId="4E354EE6">
            <w:pPr>
              <w:spacing w:line="240" w:lineRule="auto"/>
              <w:ind w:firstLine="420"/>
              <w:jc w:val="center"/>
              <w:rPr>
                <w:rFonts w:ascii="仿宋_GB2312" w:eastAsia="仿宋_GB2312"/>
                <w:kern w:val="0"/>
              </w:rPr>
            </w:pPr>
          </w:p>
        </w:tc>
        <w:tc>
          <w:tcPr>
            <w:tcW w:w="699" w:type="dxa"/>
            <w:vAlign w:val="center"/>
          </w:tcPr>
          <w:p w14:paraId="6C36DE67">
            <w:pPr>
              <w:spacing w:line="240" w:lineRule="auto"/>
              <w:ind w:firstLine="420"/>
              <w:jc w:val="center"/>
              <w:rPr>
                <w:rFonts w:ascii="仿宋_GB2312" w:eastAsia="仿宋_GB2312"/>
                <w:kern w:val="0"/>
              </w:rPr>
            </w:pPr>
          </w:p>
        </w:tc>
        <w:tc>
          <w:tcPr>
            <w:tcW w:w="869" w:type="dxa"/>
            <w:vAlign w:val="center"/>
          </w:tcPr>
          <w:p w14:paraId="6B31F2AB">
            <w:pPr>
              <w:spacing w:line="240" w:lineRule="auto"/>
              <w:ind w:firstLine="420"/>
              <w:jc w:val="center"/>
              <w:rPr>
                <w:rFonts w:ascii="仿宋_GB2312" w:eastAsia="仿宋_GB2312"/>
                <w:kern w:val="0"/>
              </w:rPr>
            </w:pP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孟波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13548905372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黎安福</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bookmarkStart w:id="6" w:name="OLE_LINK6"/>
            <w:r>
              <w:rPr>
                <w:rFonts w:hint="eastAsia" w:ascii="仿宋_GB2312" w:hAnsi="宋体" w:eastAsia="仿宋_GB2312" w:cs="宋体"/>
                <w:kern w:val="0"/>
                <w:lang w:val="en-US" w:eastAsia="zh-CN"/>
              </w:rPr>
              <w:t>河道砂石综合执法局</w:t>
            </w:r>
            <w:bookmarkEnd w:id="6"/>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河道砂石综合执法局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2C4C4FFF">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1.加强河道禁采管理，2.协助打击非法采砂</w:t>
            </w:r>
          </w:p>
        </w:tc>
        <w:tc>
          <w:tcPr>
            <w:tcW w:w="4140" w:type="dxa"/>
            <w:gridSpan w:val="4"/>
            <w:shd w:val="clear" w:color="auto" w:fill="auto"/>
            <w:vAlign w:val="center"/>
          </w:tcPr>
          <w:p w14:paraId="309F7763">
            <w:pPr>
              <w:spacing w:line="240" w:lineRule="auto"/>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sz w:val="18"/>
                <w:szCs w:val="18"/>
                <w:lang w:val="en-US" w:eastAsia="zh-CN"/>
              </w:rPr>
              <w:t>加强禁采管理及规范河道采砂，确保禁采安全.</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E0E2F6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1"/>
                <w:szCs w:val="11"/>
                <w:lang w:val="en-US" w:eastAsia="zh-CN"/>
              </w:rPr>
              <w:t>采区及禁采区安全</w:t>
            </w:r>
          </w:p>
        </w:tc>
        <w:tc>
          <w:tcPr>
            <w:tcW w:w="1099" w:type="dxa"/>
            <w:vAlign w:val="center"/>
          </w:tcPr>
          <w:p w14:paraId="54B93945">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安全率100%</w:t>
            </w:r>
          </w:p>
        </w:tc>
        <w:tc>
          <w:tcPr>
            <w:tcW w:w="1099" w:type="dxa"/>
            <w:vAlign w:val="center"/>
          </w:tcPr>
          <w:p w14:paraId="7F49710C">
            <w:pPr>
              <w:spacing w:line="240" w:lineRule="auto"/>
              <w:ind w:firstLine="420"/>
              <w:jc w:val="center"/>
              <w:rPr>
                <w:rFonts w:hint="eastAsia" w:ascii="仿宋_GB2312" w:hAnsi="宋体" w:eastAsia="仿宋_GB2312" w:cs="宋体"/>
                <w:kern w:val="0"/>
                <w:lang w:val="en-US" w:eastAsia="zh-CN"/>
              </w:rPr>
            </w:pPr>
            <w:bookmarkStart w:id="7" w:name="OLE_LINK8"/>
            <w:r>
              <w:rPr>
                <w:rFonts w:hint="eastAsia" w:ascii="仿宋_GB2312" w:hAnsi="宋体" w:eastAsia="仿宋_GB2312" w:cs="宋体"/>
                <w:kern w:val="0"/>
                <w:lang w:val="en-US" w:eastAsia="zh-CN"/>
              </w:rPr>
              <w:t>100%</w:t>
            </w:r>
            <w:bookmarkEnd w:id="7"/>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5"/>
                <w:szCs w:val="15"/>
                <w:lang w:val="en-US" w:eastAsia="zh-CN"/>
              </w:rPr>
              <w:t>年度绩效考核</w:t>
            </w:r>
          </w:p>
        </w:tc>
        <w:tc>
          <w:tcPr>
            <w:tcW w:w="1099" w:type="dxa"/>
            <w:vAlign w:val="center"/>
          </w:tcPr>
          <w:p w14:paraId="2D69FB3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良好以上</w:t>
            </w:r>
          </w:p>
        </w:tc>
        <w:tc>
          <w:tcPr>
            <w:tcW w:w="1099" w:type="dxa"/>
            <w:vAlign w:val="center"/>
          </w:tcPr>
          <w:p w14:paraId="03BC31E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良好</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99" w:type="dxa"/>
            <w:vAlign w:val="center"/>
          </w:tcPr>
          <w:p w14:paraId="015D039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即时完成</w:t>
            </w:r>
          </w:p>
        </w:tc>
        <w:tc>
          <w:tcPr>
            <w:tcW w:w="1099" w:type="dxa"/>
            <w:vAlign w:val="center"/>
          </w:tcPr>
          <w:p w14:paraId="5C21687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即时完成</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5"/>
                <w:szCs w:val="15"/>
                <w:lang w:val="en-US" w:eastAsia="zh-CN"/>
              </w:rPr>
              <w:t>增加财政收入</w:t>
            </w:r>
          </w:p>
        </w:tc>
        <w:tc>
          <w:tcPr>
            <w:tcW w:w="1099" w:type="dxa"/>
            <w:vAlign w:val="center"/>
          </w:tcPr>
          <w:p w14:paraId="53928C3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明显</w:t>
            </w:r>
          </w:p>
        </w:tc>
        <w:tc>
          <w:tcPr>
            <w:tcW w:w="1099" w:type="dxa"/>
            <w:vAlign w:val="center"/>
          </w:tcPr>
          <w:p w14:paraId="6D883D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明显</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bookmarkStart w:id="8" w:name="OLE_LINK9" w:colFirst="4" w:colLast="5"/>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3"/>
                <w:szCs w:val="13"/>
                <w:lang w:val="en-US" w:eastAsia="zh-CN"/>
              </w:rPr>
              <w:t>投诉举报办结率</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bookmarkEnd w:id="8"/>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1"/>
                <w:szCs w:val="11"/>
                <w:lang w:val="en-US" w:eastAsia="zh-CN"/>
              </w:rPr>
              <w:t>河道生态环境修复</w:t>
            </w:r>
          </w:p>
        </w:tc>
        <w:tc>
          <w:tcPr>
            <w:tcW w:w="1099" w:type="dxa"/>
            <w:vAlign w:val="center"/>
          </w:tcPr>
          <w:p w14:paraId="286C219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明显</w:t>
            </w:r>
          </w:p>
        </w:tc>
        <w:tc>
          <w:tcPr>
            <w:tcW w:w="1099" w:type="dxa"/>
            <w:vAlign w:val="center"/>
          </w:tcPr>
          <w:p w14:paraId="4CA75DE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明显</w:t>
            </w:r>
          </w:p>
        </w:tc>
        <w:tc>
          <w:tcPr>
            <w:tcW w:w="809" w:type="dxa"/>
            <w:vAlign w:val="center"/>
          </w:tcPr>
          <w:p w14:paraId="491BA9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BF7EB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8"/>
                <w:szCs w:val="18"/>
                <w:lang w:val="en-US" w:eastAsia="zh-CN"/>
              </w:rPr>
              <w:t>群众</w:t>
            </w:r>
            <w:r>
              <w:rPr>
                <w:rFonts w:hint="eastAsia" w:ascii="仿宋_GB2312" w:hAnsi="宋体" w:eastAsia="仿宋_GB2312" w:cs="宋体"/>
                <w:kern w:val="0"/>
                <w:lang w:val="en-US" w:eastAsia="zh-CN"/>
              </w:rPr>
              <w:t>满意度</w:t>
            </w:r>
          </w:p>
        </w:tc>
        <w:tc>
          <w:tcPr>
            <w:tcW w:w="1099" w:type="dxa"/>
            <w:shd w:val="clear" w:color="auto" w:fill="auto"/>
            <w:vAlign w:val="center"/>
          </w:tcPr>
          <w:p w14:paraId="10DB725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65FCC67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3"/>
                <w:szCs w:val="13"/>
                <w:lang w:val="en-US" w:eastAsia="zh-CN"/>
              </w:rPr>
              <w:t>实际完成控制在概算内</w:t>
            </w:r>
          </w:p>
        </w:tc>
        <w:tc>
          <w:tcPr>
            <w:tcW w:w="1099" w:type="dxa"/>
            <w:vAlign w:val="center"/>
          </w:tcPr>
          <w:p w14:paraId="7D8FEFD1">
            <w:pPr>
              <w:spacing w:line="240" w:lineRule="auto"/>
              <w:jc w:val="both"/>
              <w:rPr>
                <w:rFonts w:hint="default" w:ascii="仿宋_GB2312" w:hAnsi="宋体" w:eastAsia="仿宋_GB2312" w:cs="宋体"/>
                <w:kern w:val="0"/>
                <w:lang w:val="en-US" w:eastAsia="zh-CN"/>
              </w:rPr>
            </w:pPr>
            <w:bookmarkStart w:id="9" w:name="OLE_LINK10"/>
            <w:r>
              <w:rPr>
                <w:rFonts w:hint="eastAsia" w:ascii="仿宋_GB2312" w:hAnsi="宋体" w:eastAsia="仿宋_GB2312" w:cs="宋体"/>
                <w:kern w:val="0"/>
                <w:sz w:val="18"/>
                <w:szCs w:val="18"/>
                <w:lang w:val="en-US" w:eastAsia="zh-CN"/>
              </w:rPr>
              <w:t>按计划实施</w:t>
            </w:r>
            <w:bookmarkEnd w:id="9"/>
          </w:p>
        </w:tc>
        <w:tc>
          <w:tcPr>
            <w:tcW w:w="1099" w:type="dxa"/>
            <w:vAlign w:val="center"/>
          </w:tcPr>
          <w:p w14:paraId="729BFD57">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按计划实施</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sz w:val="15"/>
                <w:szCs w:val="15"/>
                <w:lang w:val="en-US" w:eastAsia="zh-CN"/>
              </w:rPr>
              <w:t>对河道水环境负面影响</w:t>
            </w: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3C982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5F698F50">
      <w:pPr>
        <w:rPr>
          <w:rFonts w:hint="default" w:ascii="仿宋_GB2312" w:hAnsi="宋体" w:eastAsia="仿宋_GB2312" w:cs="宋体"/>
          <w:lang w:val="en-US"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孟波</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13548905372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黎安福</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河道砂石综合执法局</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部门(单位)名称：河道砂石综合执法局</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F261F5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79772B57">
      <w:pPr>
        <w:pStyle w:val="3"/>
        <w:ind w:firstLine="1320" w:firstLineChars="300"/>
        <w:rPr>
          <w:rFonts w:asciiTheme="minorEastAsia" w:hAnsiTheme="minorEastAsia" w:eastAsiaTheme="minorEastAsia"/>
          <w:sz w:val="44"/>
          <w:szCs w:val="44"/>
        </w:rPr>
      </w:pPr>
      <w:r>
        <w:rPr>
          <w:sz w:val="44"/>
          <w:szCs w:val="44"/>
        </w:rPr>
        <w:t>2023</w:t>
      </w:r>
      <w:r>
        <w:rPr>
          <w:rFonts w:hint="eastAsia" w:ascii="宋体" w:hAnsi="宋体" w:eastAsia="宋体" w:cs="宋体"/>
          <w:sz w:val="44"/>
          <w:szCs w:val="44"/>
        </w:rPr>
        <w:t>年度汨罗市河道砂石综合执法局</w:t>
      </w:r>
    </w:p>
    <w:p w14:paraId="54D5CC74">
      <w:pPr>
        <w:jc w:val="center"/>
        <w:rPr>
          <w:sz w:val="44"/>
          <w:szCs w:val="44"/>
        </w:rPr>
      </w:pPr>
      <w:r>
        <w:rPr>
          <w:sz w:val="44"/>
          <w:szCs w:val="44"/>
        </w:rPr>
        <w:t>部门整体支出绩效</w:t>
      </w:r>
    </w:p>
    <w:p w14:paraId="607E2C39">
      <w:pPr>
        <w:jc w:val="center"/>
        <w:rPr>
          <w:sz w:val="44"/>
          <w:szCs w:val="44"/>
        </w:rPr>
      </w:pPr>
      <w:r>
        <w:rPr>
          <w:sz w:val="44"/>
          <w:szCs w:val="44"/>
        </w:rPr>
        <w:t>自 评 报 告</w:t>
      </w:r>
    </w:p>
    <w:p w14:paraId="09A33485">
      <w:pPr>
        <w:rPr>
          <w:sz w:val="32"/>
          <w:szCs w:val="32"/>
        </w:rPr>
      </w:pPr>
    </w:p>
    <w:p w14:paraId="18D26E68">
      <w:pPr>
        <w:rPr>
          <w:sz w:val="32"/>
          <w:szCs w:val="32"/>
        </w:rPr>
      </w:pPr>
      <w:r>
        <w:rPr>
          <w:rFonts w:hint="eastAsia"/>
          <w:sz w:val="32"/>
          <w:szCs w:val="32"/>
        </w:rPr>
        <w:t>一、部门</w:t>
      </w:r>
      <w:r>
        <w:rPr>
          <w:sz w:val="32"/>
          <w:szCs w:val="32"/>
        </w:rPr>
        <w:t>(</w:t>
      </w:r>
      <w:r>
        <w:rPr>
          <w:rFonts w:hint="eastAsia"/>
          <w:sz w:val="32"/>
          <w:szCs w:val="32"/>
        </w:rPr>
        <w:t>单位</w:t>
      </w:r>
      <w:r>
        <w:rPr>
          <w:sz w:val="32"/>
          <w:szCs w:val="32"/>
        </w:rPr>
        <w:t>)</w:t>
      </w:r>
      <w:r>
        <w:rPr>
          <w:rFonts w:hint="eastAsia"/>
          <w:sz w:val="32"/>
          <w:szCs w:val="32"/>
        </w:rPr>
        <w:t>基本情况</w:t>
      </w:r>
    </w:p>
    <w:p w14:paraId="1D6EF13C">
      <w:pPr>
        <w:rPr>
          <w:rFonts w:ascii="仿宋_GB2312" w:hAnsi="仿宋_GB2312" w:eastAsia="仿宋_GB2312" w:cs="仿宋_GB2312"/>
          <w:snapToGrid/>
          <w:color w:val="555555"/>
          <w:sz w:val="32"/>
          <w:szCs w:val="32"/>
          <w:shd w:val="clear" w:color="auto" w:fill="FFFFFF"/>
        </w:rPr>
      </w:pPr>
      <w:r>
        <w:rPr>
          <w:rFonts w:hint="eastAsia"/>
          <w:sz w:val="32"/>
          <w:szCs w:val="32"/>
        </w:rPr>
        <w:t xml:space="preserve">      </w:t>
      </w:r>
      <w:r>
        <w:rPr>
          <w:rFonts w:hint="eastAsia" w:ascii="仿宋_GB2312" w:hAnsi="仿宋_GB2312" w:eastAsia="仿宋_GB2312" w:cs="仿宋_GB2312"/>
          <w:snapToGrid/>
          <w:color w:val="555555"/>
          <w:sz w:val="32"/>
          <w:szCs w:val="32"/>
          <w:shd w:val="clear" w:color="auto" w:fill="FFFFFF"/>
        </w:rPr>
        <w:t>我单位为公益一类全额拨款事业单位，其中编制人数40人，</w:t>
      </w:r>
      <w:r>
        <w:rPr>
          <w:rFonts w:ascii="仿宋_GB2312" w:hAnsi="仿宋_GB2312" w:eastAsia="仿宋_GB2312" w:cs="仿宋_GB2312"/>
          <w:snapToGrid/>
          <w:color w:val="555555"/>
          <w:sz w:val="32"/>
          <w:szCs w:val="32"/>
          <w:shd w:val="clear" w:color="auto" w:fill="FFFFFF"/>
        </w:rPr>
        <w:t>年末实有人数</w:t>
      </w:r>
      <w:r>
        <w:rPr>
          <w:rFonts w:hint="eastAsia" w:ascii="仿宋_GB2312" w:hAnsi="仿宋_GB2312" w:eastAsia="仿宋_GB2312" w:cs="仿宋_GB2312"/>
          <w:snapToGrid/>
          <w:color w:val="555555"/>
          <w:sz w:val="32"/>
          <w:szCs w:val="32"/>
          <w:shd w:val="clear" w:color="auto" w:fill="FFFFFF"/>
        </w:rPr>
        <w:t>43</w:t>
      </w:r>
      <w:r>
        <w:rPr>
          <w:rFonts w:ascii="仿宋_GB2312" w:hAnsi="仿宋_GB2312" w:eastAsia="仿宋_GB2312" w:cs="仿宋_GB2312"/>
          <w:snapToGrid/>
          <w:color w:val="555555"/>
          <w:sz w:val="32"/>
          <w:szCs w:val="32"/>
          <w:shd w:val="clear" w:color="auto" w:fill="FFFFFF"/>
        </w:rPr>
        <w:t>人</w:t>
      </w:r>
      <w:r>
        <w:rPr>
          <w:rFonts w:hint="eastAsia" w:ascii="仿宋_GB2312" w:hAnsi="仿宋_GB2312" w:eastAsia="仿宋_GB2312" w:cs="仿宋_GB2312"/>
          <w:snapToGrid/>
          <w:color w:val="555555"/>
          <w:sz w:val="32"/>
          <w:szCs w:val="32"/>
          <w:shd w:val="clear" w:color="auto" w:fill="FFFFFF"/>
        </w:rPr>
        <w:t>。设局长1人，副局长2人，内设机构6个：办公室、砂政股、安监股、法规股、财计股、生产管理股。主要职能职责：为河道采砂生产经营提供管理和服务保障，负责本市水域采砂统一管理，组织协调监督检查，采砂许可的初步审查工作。负责采砂现场生产安全管理。负责本市砂石资源有偿出让价款的征缴工作，协助河道采砂涉及的税费政府性基金等费用的征缴。</w:t>
      </w:r>
    </w:p>
    <w:p w14:paraId="77603C25">
      <w:pPr>
        <w:rPr>
          <w:sz w:val="32"/>
          <w:szCs w:val="32"/>
        </w:rPr>
      </w:pPr>
      <w:r>
        <w:rPr>
          <w:rFonts w:hint="eastAsia"/>
          <w:sz w:val="32"/>
          <w:szCs w:val="32"/>
        </w:rPr>
        <w:t>二、一般公共预算支出情况</w:t>
      </w:r>
    </w:p>
    <w:p w14:paraId="658F6E7F">
      <w:pPr>
        <w:pStyle w:val="9"/>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楷体_GB2312"/>
          <w:sz w:val="32"/>
          <w:szCs w:val="32"/>
          <w:lang w:eastAsia="zh-CN"/>
        </w:rPr>
        <w:t>（一）</w:t>
      </w:r>
      <w:r>
        <w:rPr>
          <w:rFonts w:hint="eastAsia" w:ascii="Times New Roman" w:hAnsi="Times New Roman" w:eastAsia="仿宋_GB2312"/>
          <w:sz w:val="32"/>
          <w:szCs w:val="32"/>
          <w:lang w:eastAsia="zh-CN"/>
        </w:rPr>
        <w:t>基本支出情况</w:t>
      </w:r>
    </w:p>
    <w:p w14:paraId="5309F22D">
      <w:pPr>
        <w:pStyle w:val="10"/>
        <w:rPr>
          <w:rFonts w:ascii="仿宋_GB2312" w:hAnsi="仿宋_GB2312" w:eastAsia="仿宋_GB2312" w:cs="仿宋_GB2312"/>
          <w:color w:val="555555"/>
          <w:sz w:val="32"/>
          <w:szCs w:val="32"/>
          <w:shd w:val="clear" w:color="auto" w:fill="FFFFFF"/>
        </w:rPr>
      </w:pPr>
      <w:r>
        <w:rPr>
          <w:rFonts w:hint="eastAsia" w:ascii="仿宋_GB2312" w:hAnsi="仿宋_GB2312" w:eastAsia="仿宋_GB2312" w:cs="仿宋_GB2312"/>
          <w:color w:val="555555"/>
          <w:sz w:val="32"/>
          <w:szCs w:val="32"/>
          <w:shd w:val="clear" w:color="auto" w:fill="FFFFFF"/>
        </w:rPr>
        <w:t xml:space="preserve">    2023年基本支出489.36万元，是指为保障单位机构正常运转、完成日常工作任务而发生的各项支出，包括用于基本工资、津贴补贴等人员经费以及办公费、印刷费、水电费、差旅费等日常公用经费。其中人员经费392.89万元，公用经费76.46万元。</w:t>
      </w:r>
    </w:p>
    <w:p w14:paraId="3D94BB79">
      <w:pPr>
        <w:pStyle w:val="10"/>
        <w:rPr>
          <w:rFonts w:ascii="仿宋_GB2312" w:hAnsi="仿宋_GB2312" w:eastAsia="仿宋_GB2312" w:cs="仿宋_GB2312"/>
          <w:color w:val="555555"/>
          <w:sz w:val="32"/>
          <w:szCs w:val="32"/>
          <w:shd w:val="clear" w:color="auto" w:fill="FFFFFF"/>
        </w:rPr>
      </w:pPr>
      <w:r>
        <w:rPr>
          <w:rFonts w:hint="eastAsia" w:ascii="仿宋_GB2312" w:hAnsi="仿宋_GB2312" w:eastAsia="仿宋_GB2312" w:cs="仿宋_GB2312"/>
          <w:color w:val="555555"/>
          <w:sz w:val="32"/>
          <w:szCs w:val="32"/>
          <w:shd w:val="clear" w:color="auto" w:fill="FFFFFF"/>
        </w:rPr>
        <w:t xml:space="preserve">   （二）项目支出：</w:t>
      </w:r>
    </w:p>
    <w:p w14:paraId="64944BF9">
      <w:pPr>
        <w:pStyle w:val="10"/>
        <w:rPr>
          <w:rFonts w:ascii="仿宋_GB2312" w:hAnsi="仿宋_GB2312" w:eastAsia="仿宋_GB2312" w:cs="仿宋_GB2312"/>
          <w:color w:val="555555"/>
          <w:sz w:val="32"/>
          <w:szCs w:val="32"/>
          <w:shd w:val="clear" w:color="auto" w:fill="FFFFFF"/>
        </w:rPr>
      </w:pPr>
      <w:r>
        <w:rPr>
          <w:rFonts w:hint="eastAsia" w:ascii="仿宋_GB2312" w:hAnsi="仿宋_GB2312" w:eastAsia="仿宋_GB2312" w:cs="仿宋_GB2312"/>
          <w:color w:val="555555"/>
          <w:sz w:val="32"/>
          <w:szCs w:val="32"/>
          <w:shd w:val="clear" w:color="auto" w:fill="FFFFFF"/>
        </w:rPr>
        <w:t xml:space="preserve">    2023年本部门项目支出20万元。</w:t>
      </w:r>
    </w:p>
    <w:p w14:paraId="4FB49C50">
      <w:pPr>
        <w:pStyle w:val="9"/>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项目支出情况：运行维护经费20万元。</w:t>
      </w:r>
    </w:p>
    <w:p w14:paraId="546C98FD">
      <w:pPr>
        <w:rPr>
          <w:sz w:val="32"/>
          <w:szCs w:val="32"/>
        </w:rPr>
      </w:pPr>
      <w:r>
        <w:rPr>
          <w:rFonts w:hint="eastAsia" w:ascii="Times New Roman" w:hAnsi="Times New Roman" w:eastAsia="仿宋_GB2312"/>
          <w:sz w:val="32"/>
          <w:szCs w:val="32"/>
        </w:rPr>
        <w:t xml:space="preserve">       </w:t>
      </w:r>
      <w:r>
        <w:rPr>
          <w:rFonts w:hint="eastAsia"/>
          <w:sz w:val="32"/>
          <w:szCs w:val="32"/>
        </w:rPr>
        <w:t>三、政府性基金预算支出情况</w:t>
      </w:r>
    </w:p>
    <w:p w14:paraId="3DE72E88">
      <w:pPr>
        <w:rPr>
          <w:rFonts w:ascii="Times New Roman" w:hAnsi="Times New Roman" w:eastAsia="仿宋_GB2312"/>
          <w:sz w:val="32"/>
          <w:szCs w:val="32"/>
        </w:rPr>
      </w:pPr>
      <w:r>
        <w:rPr>
          <w:rFonts w:hint="eastAsia" w:ascii="Times New Roman" w:hAnsi="Times New Roman" w:eastAsia="仿宋_GB2312"/>
          <w:sz w:val="32"/>
          <w:szCs w:val="32"/>
        </w:rPr>
        <w:t xml:space="preserve">       无政府性基金预算支出。</w:t>
      </w:r>
    </w:p>
    <w:p w14:paraId="37A9FCF7">
      <w:pPr>
        <w:rPr>
          <w:sz w:val="32"/>
          <w:szCs w:val="32"/>
        </w:rPr>
      </w:pPr>
      <w:r>
        <w:rPr>
          <w:rFonts w:hint="eastAsia"/>
          <w:sz w:val="32"/>
          <w:szCs w:val="32"/>
        </w:rPr>
        <w:t>四、国有资本经营预算支出情况</w:t>
      </w:r>
    </w:p>
    <w:p w14:paraId="2FEF1F43">
      <w:pPr>
        <w:rPr>
          <w:rFonts w:ascii="Times New Roman" w:hAnsi="Times New Roman" w:eastAsia="仿宋_GB2312"/>
          <w:sz w:val="32"/>
          <w:szCs w:val="32"/>
        </w:rPr>
      </w:pPr>
      <w:r>
        <w:rPr>
          <w:rFonts w:hint="eastAsia" w:ascii="Times New Roman" w:hAnsi="Times New Roman" w:eastAsia="仿宋_GB2312"/>
          <w:sz w:val="32"/>
          <w:szCs w:val="32"/>
        </w:rPr>
        <w:t xml:space="preserve">    无国有资本经营预算支出。</w:t>
      </w:r>
    </w:p>
    <w:p w14:paraId="0B76FBA8">
      <w:pPr>
        <w:rPr>
          <w:sz w:val="32"/>
          <w:szCs w:val="32"/>
        </w:rPr>
      </w:pPr>
      <w:r>
        <w:rPr>
          <w:rFonts w:hint="eastAsia"/>
          <w:sz w:val="32"/>
          <w:szCs w:val="32"/>
        </w:rPr>
        <w:t>五、社会保险基金预算支出情况</w:t>
      </w:r>
    </w:p>
    <w:p w14:paraId="470A67D7">
      <w:pPr>
        <w:rPr>
          <w:rFonts w:ascii="Times New Roman" w:hAnsi="Times New Roman" w:eastAsia="仿宋_GB2312"/>
          <w:sz w:val="32"/>
          <w:szCs w:val="32"/>
        </w:rPr>
      </w:pPr>
      <w:r>
        <w:rPr>
          <w:rFonts w:hint="eastAsia" w:ascii="Times New Roman" w:hAnsi="Times New Roman" w:eastAsia="仿宋_GB2312"/>
          <w:sz w:val="32"/>
          <w:szCs w:val="32"/>
        </w:rPr>
        <w:t xml:space="preserve">         基本养老保险缴费支出40.78万元；职业年金缴费支出20.39万元；职工基本医疗保险缴费支出21.66万元；其他社会保障缴费11.34万元；住房公积金支出30.5</w:t>
      </w:r>
      <w:r>
        <w:rPr>
          <w:rFonts w:hint="eastAsia" w:ascii="Times New Roman" w:hAnsi="Times New Roman" w:eastAsia="仿宋_GB2312"/>
          <w:sz w:val="32"/>
          <w:szCs w:val="32"/>
          <w:lang w:val="en-US" w:eastAsia="zh-CN"/>
        </w:rPr>
        <w:t>9</w:t>
      </w:r>
      <w:bookmarkStart w:id="10" w:name="_GoBack"/>
      <w:bookmarkEnd w:id="10"/>
      <w:r>
        <w:rPr>
          <w:rFonts w:hint="eastAsia" w:ascii="Times New Roman" w:hAnsi="Times New Roman" w:eastAsia="仿宋_GB2312"/>
          <w:sz w:val="32"/>
          <w:szCs w:val="32"/>
        </w:rPr>
        <w:t>万元。</w:t>
      </w:r>
    </w:p>
    <w:p w14:paraId="6C646E1F">
      <w:pPr>
        <w:rPr>
          <w:sz w:val="32"/>
          <w:szCs w:val="32"/>
        </w:rPr>
      </w:pPr>
      <w:r>
        <w:rPr>
          <w:rFonts w:hint="eastAsia"/>
          <w:sz w:val="32"/>
          <w:szCs w:val="32"/>
        </w:rPr>
        <w:t>六、部门整体支出绩效情况</w:t>
      </w:r>
    </w:p>
    <w:p w14:paraId="26ECF704">
      <w:pPr>
        <w:rPr>
          <w:rFonts w:ascii="Times New Roman" w:hAnsi="Times New Roman" w:eastAsia="仿宋_GB2312"/>
          <w:sz w:val="32"/>
          <w:szCs w:val="32"/>
        </w:rPr>
      </w:pPr>
      <w:r>
        <w:rPr>
          <w:rFonts w:hint="eastAsia"/>
          <w:sz w:val="32"/>
          <w:szCs w:val="32"/>
        </w:rPr>
        <w:t xml:space="preserve">        </w:t>
      </w:r>
      <w:r>
        <w:rPr>
          <w:rFonts w:hint="eastAsia" w:ascii="Times New Roman" w:hAnsi="Times New Roman" w:eastAsia="仿宋_GB2312"/>
          <w:sz w:val="32"/>
          <w:szCs w:val="32"/>
        </w:rPr>
        <w:t>一是部门预算管理。包括绩效目标制定、目标完成、预算编制准确、支出控制、预算动态调整、执行进度、预算完成情况和违规记录等情况。2023年本部门的绩效目标制定、目标完成、预决算编制等均按照市财政局下达的相关文件指标进了编制，均按相关要求严格执行预算范围内开支，并完成所有预定目标，年中人员调离本单位，及时进行了预算动态调整，全年无违规记录。</w:t>
      </w:r>
    </w:p>
    <w:p w14:paraId="612FA1D4">
      <w:pPr>
        <w:rPr>
          <w:rFonts w:ascii="Times New Roman" w:hAnsi="Times New Roman" w:eastAsia="仿宋_GB2312"/>
          <w:sz w:val="32"/>
          <w:szCs w:val="32"/>
        </w:rPr>
      </w:pPr>
      <w:r>
        <w:rPr>
          <w:rFonts w:hint="eastAsia" w:ascii="Times New Roman" w:hAnsi="Times New Roman" w:eastAsia="仿宋_GB2312"/>
          <w:sz w:val="32"/>
          <w:szCs w:val="32"/>
        </w:rPr>
        <w:t xml:space="preserve">        二是专项预算管理。包括专项预算项目程序严密、规划合理、结果符合、分配科学、分配及时、专项预算绩效目标完成、实施绩效、违规记录等情况。严格执行《湖南省省级财政专项资金绩效分配管理暂行办法》按照省级的专项资金管理办法，实施专款专用原则根据各项目展、完成情况，合理规划、科学分配专项资金，项目资金专项专用。完成专项预算绩效目标，无违规记录。</w:t>
      </w:r>
    </w:p>
    <w:p w14:paraId="61601DD8">
      <w:pPr>
        <w:rPr>
          <w:sz w:val="32"/>
          <w:szCs w:val="32"/>
        </w:rPr>
      </w:pPr>
      <w:r>
        <w:rPr>
          <w:rFonts w:hint="eastAsia"/>
          <w:sz w:val="32"/>
          <w:szCs w:val="32"/>
        </w:rPr>
        <w:t>七、存在的问题及原因分析</w:t>
      </w:r>
    </w:p>
    <w:p w14:paraId="53E0A7CE">
      <w:pPr>
        <w:rPr>
          <w:rFonts w:ascii="Times New Roman" w:hAnsi="Times New Roman" w:eastAsia="仿宋_GB2312"/>
          <w:sz w:val="32"/>
          <w:szCs w:val="32"/>
        </w:rPr>
      </w:pPr>
      <w:r>
        <w:rPr>
          <w:rFonts w:hint="eastAsia" w:ascii="Times New Roman" w:hAnsi="Times New Roman" w:eastAsia="仿宋_GB2312"/>
          <w:sz w:val="32"/>
          <w:szCs w:val="32"/>
        </w:rPr>
        <w:t xml:space="preserve">       一是部门整体绩效目标设立简单，绩效目标制定不明晰，定性指标居多，量化指标偏少。</w:t>
      </w:r>
    </w:p>
    <w:p w14:paraId="05AB27D1">
      <w:pPr>
        <w:rPr>
          <w:rFonts w:hint="eastAsia" w:ascii="Times New Roman" w:hAnsi="Times New Roman" w:eastAsia="仿宋_GB2312"/>
          <w:sz w:val="32"/>
          <w:szCs w:val="32"/>
        </w:rPr>
      </w:pPr>
      <w:r>
        <w:rPr>
          <w:rFonts w:hint="eastAsia" w:ascii="Times New Roman" w:hAnsi="Times New Roman" w:eastAsia="仿宋_GB2312"/>
          <w:sz w:val="32"/>
          <w:szCs w:val="32"/>
        </w:rPr>
        <w:t xml:space="preserve">    二是固定资产管理工作不到位，固定资产管理意识尚需提高。</w:t>
      </w:r>
    </w:p>
    <w:p w14:paraId="7DD75A1C">
      <w:pPr>
        <w:rPr>
          <w:rFonts w:ascii="Times New Roman" w:hAnsi="Times New Roman" w:eastAsia="仿宋_GB2312"/>
          <w:sz w:val="32"/>
          <w:szCs w:val="32"/>
        </w:rPr>
      </w:pPr>
      <w:r>
        <w:rPr>
          <w:rFonts w:hint="eastAsia" w:ascii="Times New Roman" w:hAnsi="Times New Roman" w:eastAsia="仿宋_GB2312"/>
          <w:sz w:val="32"/>
          <w:szCs w:val="32"/>
        </w:rPr>
        <w:t xml:space="preserve"> 三、财务管理发面，会计核算还不够细致，财务核算不能详细分类核算，绩效评价基础数据不够准确。</w:t>
      </w:r>
    </w:p>
    <w:p w14:paraId="620C9E54">
      <w:pPr>
        <w:rPr>
          <w:sz w:val="32"/>
          <w:szCs w:val="32"/>
        </w:rPr>
      </w:pPr>
      <w:r>
        <w:rPr>
          <w:rFonts w:hint="eastAsia"/>
          <w:sz w:val="32"/>
          <w:szCs w:val="32"/>
        </w:rPr>
        <w:t>八、下一步改进措施</w:t>
      </w:r>
    </w:p>
    <w:p w14:paraId="2F4C5B85">
      <w:pPr>
        <w:rPr>
          <w:rFonts w:ascii="Times New Roman" w:hAnsi="Times New Roman" w:eastAsia="仿宋_GB2312"/>
          <w:sz w:val="32"/>
          <w:szCs w:val="32"/>
        </w:rPr>
      </w:pPr>
      <w:r>
        <w:rPr>
          <w:rFonts w:hint="eastAsia" w:ascii="Times New Roman" w:hAnsi="Times New Roman" w:eastAsia="仿宋_GB2312"/>
          <w:sz w:val="32"/>
          <w:szCs w:val="32"/>
        </w:rPr>
        <w:t xml:space="preserve">        一是及时完善相关管理制度。结合单位实际，进一步健全完善单位内部管理制度，制定单位预算绩效、政府采购、合同管理、内部控制等管理制度，确保工作开展程序化、规范化。</w:t>
      </w:r>
    </w:p>
    <w:p w14:paraId="096ECB38">
      <w:pPr>
        <w:rPr>
          <w:rFonts w:ascii="Times New Roman" w:hAnsi="Times New Roman" w:eastAsia="仿宋_GB2312"/>
          <w:sz w:val="32"/>
          <w:szCs w:val="32"/>
        </w:rPr>
      </w:pPr>
      <w:r>
        <w:rPr>
          <w:rFonts w:hint="eastAsia" w:ascii="Times New Roman" w:hAnsi="Times New Roman" w:eastAsia="仿宋_GB2312"/>
          <w:sz w:val="32"/>
          <w:szCs w:val="32"/>
        </w:rPr>
        <w:t xml:space="preserve">        二是加强绩效管理工作。根据部门眩要职责、年度主要、重点为内容进一步完善、细化、量化绩效目标，强化全过程绩效管理，将绩效管理贯穿于项目实施的每一个环节，及时发现并纠正绩效管理过程中存大的问题，提高资金使用效率。</w:t>
      </w:r>
    </w:p>
    <w:p w14:paraId="585A68E3">
      <w:pPr>
        <w:rPr>
          <w:sz w:val="32"/>
          <w:szCs w:val="32"/>
        </w:rPr>
      </w:pPr>
      <w:r>
        <w:rPr>
          <w:rFonts w:hint="eastAsia"/>
          <w:sz w:val="32"/>
          <w:szCs w:val="32"/>
        </w:rPr>
        <w:t>九、部门整体支出绩效自评结果拟应用和公开情况</w:t>
      </w:r>
    </w:p>
    <w:p w14:paraId="5E815EBB">
      <w:pPr>
        <w:rPr>
          <w:rFonts w:ascii="Times New Roman" w:hAnsi="Times New Roman" w:eastAsia="仿宋_GB2312"/>
          <w:sz w:val="32"/>
          <w:szCs w:val="32"/>
        </w:rPr>
      </w:pPr>
      <w:r>
        <w:rPr>
          <w:rFonts w:hint="eastAsia" w:ascii="Times New Roman" w:hAnsi="Times New Roman" w:eastAsia="仿宋_GB2312"/>
          <w:sz w:val="32"/>
          <w:szCs w:val="32"/>
        </w:rPr>
        <w:t xml:space="preserve">        自评结果应用计划：一是加强资金分配监管，在资金分配方面，我们将更加注重资金分配机制，确保资金能够优先用于重点领域和关键项目。同时时加强对资金使用情况的监管，防止资金浪费和违规使用。二是提升绩效管理水平，结合自评结果，我们将进一步完善绩效评价体系，强化绩效管理意识，通过定期开展绩效培训和交流活动，提升部门员工的绩效管理能力和水平。同时建立绩效激励机制，将绩效结果与员工考核和奖惩挂钩，激发员工的工作积极性和创造性。</w:t>
      </w:r>
    </w:p>
    <w:p w14:paraId="3F5D75DA">
      <w:pPr>
        <w:rPr>
          <w:rFonts w:ascii="Times New Roman" w:hAnsi="Times New Roman" w:eastAsia="仿宋_GB2312"/>
          <w:sz w:val="32"/>
          <w:szCs w:val="32"/>
        </w:rPr>
      </w:pPr>
      <w:r>
        <w:rPr>
          <w:rFonts w:hint="eastAsia" w:ascii="Times New Roman" w:hAnsi="Times New Roman" w:eastAsia="仿宋_GB2312"/>
          <w:sz w:val="32"/>
          <w:szCs w:val="32"/>
        </w:rPr>
        <w:t xml:space="preserve">        自评结果公开计划：无</w:t>
      </w:r>
    </w:p>
    <w:p w14:paraId="187EC9EB">
      <w:pPr>
        <w:rPr>
          <w:sz w:val="32"/>
          <w:szCs w:val="32"/>
        </w:rPr>
      </w:pPr>
      <w:r>
        <w:rPr>
          <w:rFonts w:hint="eastAsia"/>
          <w:sz w:val="32"/>
          <w:szCs w:val="32"/>
        </w:rPr>
        <w:t>十、其他需要说明的情况</w:t>
      </w:r>
    </w:p>
    <w:p w14:paraId="673DEF56">
      <w:pPr>
        <w:rPr>
          <w:rFonts w:ascii="Times New Roman" w:hAnsi="Times New Roman" w:eastAsia="仿宋_GB2312"/>
          <w:sz w:val="32"/>
          <w:szCs w:val="32"/>
        </w:rPr>
      </w:pPr>
      <w:r>
        <w:rPr>
          <w:rFonts w:hint="eastAsia" w:ascii="Times New Roman" w:hAnsi="Times New Roman" w:eastAsia="仿宋_GB2312"/>
          <w:sz w:val="32"/>
          <w:szCs w:val="32"/>
        </w:rPr>
        <w:t xml:space="preserve">      无</w:t>
      </w:r>
    </w:p>
    <w:p w14:paraId="3B2237CA">
      <w:pPr>
        <w:spacing w:before="130" w:line="221" w:lineRule="auto"/>
        <w:jc w:val="center"/>
        <w:rPr>
          <w:rFonts w:ascii="黑体" w:hAnsi="黑体" w:eastAsia="黑体" w:cs="黑体"/>
          <w:spacing w:val="-24"/>
          <w:position w:val="20"/>
          <w:sz w:val="32"/>
          <w:szCs w:val="32"/>
        </w:rPr>
      </w:pP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2"/>
          <w:szCs w:val="32"/>
          <w:lang w:val="en-US" w:eastAsia="zh-CN" w:bidi="ar-SA"/>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4D2ADA00">
      <w:pPr>
        <w:spacing w:line="267" w:lineRule="auto"/>
        <w:ind w:firstLine="272" w:firstLineChars="100"/>
        <w:jc w:val="both"/>
        <w:rPr>
          <w:rFonts w:hint="eastAsia" w:ascii="宋体" w:hAnsi="宋体" w:eastAsia="宋体" w:cs="宋体"/>
          <w:bCs/>
          <w:spacing w:val="-4"/>
          <w:kern w:val="0"/>
          <w:sz w:val="28"/>
          <w:szCs w:val="28"/>
          <w:lang w:eastAsia="zh-CN"/>
        </w:rPr>
      </w:pPr>
    </w:p>
    <w:p w14:paraId="0F0F8EBD">
      <w:pPr>
        <w:spacing w:line="267" w:lineRule="auto"/>
        <w:ind w:firstLine="272" w:firstLineChars="100"/>
        <w:jc w:val="both"/>
        <w:rPr>
          <w:rFonts w:hint="eastAsia" w:ascii="宋体" w:hAnsi="宋体" w:eastAsia="宋体" w:cs="宋体"/>
          <w:bCs/>
          <w:spacing w:val="-4"/>
          <w:kern w:val="0"/>
          <w:sz w:val="28"/>
          <w:szCs w:val="28"/>
          <w:lang w:eastAsia="zh-CN"/>
        </w:rPr>
      </w:pPr>
    </w:p>
    <w:p w14:paraId="0F2500A6">
      <w:pPr>
        <w:spacing w:line="267" w:lineRule="auto"/>
        <w:ind w:firstLine="272" w:firstLineChars="100"/>
        <w:jc w:val="both"/>
        <w:rPr>
          <w:rFonts w:hint="eastAsia" w:ascii="宋体" w:hAnsi="宋体" w:eastAsia="宋体" w:cs="宋体"/>
          <w:bCs/>
          <w:spacing w:val="-4"/>
          <w:kern w:val="0"/>
          <w:sz w:val="28"/>
          <w:szCs w:val="28"/>
          <w:lang w:eastAsia="zh-CN"/>
        </w:rPr>
      </w:pPr>
    </w:p>
    <w:p w14:paraId="01B8A854">
      <w:pPr>
        <w:spacing w:line="267" w:lineRule="auto"/>
        <w:ind w:firstLine="272" w:firstLineChars="100"/>
        <w:jc w:val="both"/>
        <w:rPr>
          <w:rFonts w:hint="eastAsia" w:ascii="宋体" w:hAnsi="宋体" w:eastAsia="宋体" w:cs="宋体"/>
          <w:bCs/>
          <w:spacing w:val="-4"/>
          <w:kern w:val="0"/>
          <w:sz w:val="28"/>
          <w:szCs w:val="28"/>
          <w:lang w:eastAsia="zh-CN"/>
        </w:rPr>
      </w:pPr>
    </w:p>
    <w:p w14:paraId="1A7C30C8">
      <w:pPr>
        <w:spacing w:line="267" w:lineRule="auto"/>
        <w:ind w:firstLine="272" w:firstLineChars="100"/>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Times New Roman" w:hAnsi="Times New Roman" w:eastAsia="宋体" w:cs="Times New Roman"/>
          <w:position w:val="10"/>
          <w:sz w:val="42"/>
          <w:szCs w:val="42"/>
          <w:lang w:val="en-US" w:eastAsia="zh-CN"/>
        </w:rPr>
        <w:t>河道砂石禁采管理</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河道砂石综合执法局</w:t>
      </w:r>
      <w:r>
        <w:rPr>
          <w:sz w:val="27"/>
          <w:szCs w:val="27"/>
          <w:u w:val="single" w:color="auto"/>
        </w:rPr>
        <w:t xml:space="preserve">     </w:t>
      </w:r>
    </w:p>
    <w:p w14:paraId="6B80A16B">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42459973">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14:paraId="44E26851">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14:paraId="341BB3AD">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我局全市河道禁采及采砂工作进行统一管理，组织协调和监督检查。加强河道禁采宣传和管理</w:t>
      </w:r>
      <w:r>
        <w:rPr>
          <w:rFonts w:eastAsia="仿宋_GB2312"/>
          <w:sz w:val="32"/>
          <w:szCs w:val="32"/>
          <w:lang w:eastAsia="zh-CN"/>
        </w:rPr>
        <w:t>,</w:t>
      </w:r>
      <w:r>
        <w:rPr>
          <w:rFonts w:hint="eastAsia" w:eastAsia="仿宋_GB2312"/>
          <w:sz w:val="32"/>
          <w:szCs w:val="32"/>
          <w:lang w:eastAsia="zh-CN"/>
        </w:rPr>
        <w:t>维护河势稳定，规范河道采砂秩序。负责协助查处打击非法采砂、非法运砂等涉砂违法违规行为，确保全市河道禁采安全。我们对2023年度禁采及采砂规范化建设管理支出使用，管理进行绩效自评，自评结果表明河道禁采及采砂工作规范化建设管理专项资金使用规范，通过河道禁采协调管理项目，有力打击了非法采砂行为，对不法分子产生了极大的震慑作用。</w:t>
      </w:r>
    </w:p>
    <w:p w14:paraId="0728D306">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14:paraId="187E42CB">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主要包括：2023年度河道禁采协调管理经费预算金额20万元，实际到位20万元，该项目主要用于河道禁采协调管理经费，如：执法宣传广告、船舶的维修使用、安全隐患整治等零星费用，都通过电子卖场及三方询价进行采购，采购程序合法合规，同时严格按照专项资金管理办法及财务管理制度执行。更好的推动河道禁采管理有序，确保本市水域河道全面禁采工作，有效的打击了偷盗采行为</w:t>
      </w:r>
      <w:r>
        <w:rPr>
          <w:rFonts w:eastAsia="仿宋_GB2312"/>
          <w:sz w:val="32"/>
          <w:szCs w:val="32"/>
          <w:lang w:eastAsia="zh-CN"/>
        </w:rPr>
        <w:t>,</w:t>
      </w:r>
      <w:r>
        <w:rPr>
          <w:rFonts w:hint="eastAsia" w:eastAsia="仿宋_GB2312"/>
          <w:sz w:val="32"/>
          <w:szCs w:val="32"/>
          <w:lang w:eastAsia="zh-CN"/>
        </w:rPr>
        <w:t>有效的控制了涉砂违法违规的现象，维护河道禁采正常秩序。</w:t>
      </w:r>
    </w:p>
    <w:p w14:paraId="21A5A89F">
      <w:pPr>
        <w:spacing w:line="560" w:lineRule="exact"/>
        <w:ind w:firstLine="562" w:firstLineChars="200"/>
        <w:jc w:val="both"/>
        <w:rPr>
          <w:rFonts w:hint="eastAsia"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(三)项目支出绩效目标完成程度</w:t>
      </w:r>
    </w:p>
    <w:p w14:paraId="7040D904">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至2023年12月底，此项目资金到位并使用到位，本年度河道采砂协调管理经费严格落实到位。达到了绩效年度目标；规范河道禁采秩序。</w:t>
      </w:r>
    </w:p>
    <w:p w14:paraId="5AC842F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397CA6DB">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我局成立了绩效评价工作指导小组，根据相关文件要求,本局主要负责全市河道禁采及采砂工作及统一管理，组织协调和监督检查，规范河道禁采及采砂秩序，协助查处打击非法采砂，非法运砂等涉砂违法违规行为，确保全市河道禁采安全。</w:t>
      </w:r>
    </w:p>
    <w:p w14:paraId="6F7A841C">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81EC23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河道砂石采挖规范化建设管理专项资金支出符合河道砂石科学管理、打击非法采砂活动及打击非法采砂宣传活动需要，有效控制了涉砂违法违规的现象，对不法分子产生了极大的震慑作用。绩效评价自评小组根据绩效评价要求，自评得分98分。考评结果为优秀。按照2023年度部门预算项目支出绩效自评工作的要求，河道砂石综合执法局对项目支出预算资金的经济性、效率性、有效性和可持性进行客观、公正的评价。通过自查，项目绩效目标合理，管理制度健全，项目质量控制达标，资金使用合理合规，没有发生专项资金的挤占、挪用、截流等违规现象。</w:t>
      </w:r>
    </w:p>
    <w:p w14:paraId="1871CBAA">
      <w:pPr>
        <w:spacing w:line="560" w:lineRule="exact"/>
        <w:ind w:firstLine="562" w:firstLineChars="200"/>
        <w:outlineLvl w:val="0"/>
        <w:rPr>
          <w:rFonts w:ascii="黑体" w:hAnsi="黑体" w:eastAsia="黑体" w:cs="黑体"/>
          <w:b/>
          <w:bCs/>
          <w:spacing w:val="-15"/>
          <w:sz w:val="31"/>
          <w:szCs w:val="31"/>
          <w:lang w:eastAsia="zh-CN"/>
        </w:rPr>
      </w:pPr>
    </w:p>
    <w:p w14:paraId="700CC169">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财政预算安排河道砂石协调禁采管理经费</w:t>
      </w:r>
    </w:p>
    <w:p w14:paraId="7FE9690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4A283A8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5E9A650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为了更好的履行单位的职能职责，确保资产归集、资产处置以及经营性资产的保值增值，同时确保单位的正常运转，按惯列以报告形式申报，申报、批复程序符合相关管理办法。</w:t>
      </w:r>
    </w:p>
    <w:p w14:paraId="38B71BF1">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6FB2A35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严格按照项目管理办法和资金使用制度，做到项目资金专款专用、按项目独立核算、无截留、挤占、挪用、虚列支出等情况发生。</w:t>
      </w:r>
    </w:p>
    <w:p w14:paraId="63BFB24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27F6DDD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项目产发按照数量、质量、时效、成本等四个方面，根据项目各自情况，设置符合项目特点的三级产出指标、用于指导和跟踪项目工作开展。</w:t>
      </w:r>
    </w:p>
    <w:p w14:paraId="04BE93B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31D4847C">
      <w:pPr>
        <w:spacing w:beforeLines="50" w:line="396" w:lineRule="auto"/>
        <w:ind w:left="15" w:leftChars="7" w:right="11" w:firstLine="640" w:firstLineChars="200"/>
        <w:rPr>
          <w:rFonts w:eastAsia="仿宋_GB2312"/>
          <w:sz w:val="32"/>
          <w:szCs w:val="32"/>
          <w:lang w:eastAsia="zh-CN"/>
        </w:rPr>
      </w:pPr>
      <w:r>
        <w:rPr>
          <w:rFonts w:hint="eastAsia" w:eastAsia="仿宋_GB2312"/>
          <w:sz w:val="32"/>
          <w:szCs w:val="32"/>
          <w:lang w:eastAsia="zh-CN"/>
        </w:rPr>
        <w:t>项目效益按照经济效益、社会效益、生态效益、可持续影响等四个方面，设置符合各项目际情况和特点的三级效益指标，用于指导和跟踪项目工作开展。为加强河道禁采及安全有序，河道协调禁采管理经费专项资金20万元。维护全市水域禁采安全有序。</w:t>
      </w:r>
      <w:r>
        <w:rPr>
          <w:rFonts w:hint="eastAsia" w:ascii="仿宋" w:hAnsi="仿宋" w:eastAsia="仿宋" w:cs="仿宋"/>
          <w:spacing w:val="6"/>
          <w:sz w:val="29"/>
          <w:szCs w:val="29"/>
          <w:lang w:eastAsia="zh-CN"/>
        </w:rPr>
        <w:t xml:space="preserve"> </w:t>
      </w:r>
    </w:p>
    <w:p w14:paraId="1090972A">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6A80257F">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 xml:space="preserve">           一是细化预算编制工作，认真做好预算的编制。进一步加强内部预算管理意识，严格执照预算编制的相关制度和要求进行预算编制，全面编制预算项目，进一步提高预算编制的科学性、严谨性和可控性。</w:t>
      </w:r>
    </w:p>
    <w:p w14:paraId="69CAF877">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二是加强财务管理，严格财务审核。按照专款专用列支，杜绝超支现象的发生。</w:t>
      </w:r>
    </w:p>
    <w:p w14:paraId="07293910">
      <w:pPr>
        <w:spacing w:line="560" w:lineRule="exact"/>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 xml:space="preserve"> </w:t>
      </w:r>
      <w:r>
        <w:rPr>
          <w:rFonts w:ascii="黑体" w:hAnsi="黑体" w:eastAsia="黑体" w:cs="黑体"/>
          <w:b/>
          <w:bCs/>
          <w:spacing w:val="-15"/>
          <w:sz w:val="31"/>
          <w:szCs w:val="31"/>
          <w:lang w:eastAsia="zh-CN"/>
        </w:rPr>
        <w:t>六、有关建议</w:t>
      </w:r>
    </w:p>
    <w:p w14:paraId="407DAB6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今后，我单位将完善预算绩效管理相关制度，特别落实好部门好项目管理的责任，加强项目管理，不断提高预算项目绩效目标设置的科学性，并加大绩效运行监控的国度，及时调整绩效目标设定的偏差，客观公正对绩效结果进行评价，对绩效结果出现的问题及时整改，切实提高项目预算资金的管理水平和能力。</w:t>
      </w:r>
    </w:p>
    <w:p w14:paraId="5978EBBC">
      <w:pPr>
        <w:spacing w:line="560" w:lineRule="exact"/>
        <w:outlineLvl w:val="0"/>
        <w:rPr>
          <w:rFonts w:ascii="黑体" w:hAnsi="黑体" w:eastAsia="黑体" w:cs="黑体"/>
          <w:b/>
          <w:bCs/>
          <w:spacing w:val="-15"/>
          <w:sz w:val="31"/>
          <w:szCs w:val="31"/>
          <w:lang w:eastAsia="zh-CN"/>
        </w:rPr>
      </w:pPr>
    </w:p>
    <w:p w14:paraId="52F22947">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6B5260FB">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无</w:t>
      </w:r>
    </w:p>
    <w:p w14:paraId="407933C9">
      <w:pPr>
        <w:spacing w:before="137" w:line="221" w:lineRule="auto"/>
        <w:ind w:left="2336"/>
        <w:rPr>
          <w:rFonts w:ascii="黑体" w:hAnsi="黑体" w:eastAsia="黑体" w:cs="黑体"/>
          <w:b/>
          <w:bCs/>
          <w:spacing w:val="6"/>
          <w:sz w:val="42"/>
          <w:szCs w:val="42"/>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E3MWQwYTk0MzNjNDhjNDA4NDUwZjJmYTdlZmQ5OTIifQ=="/>
  </w:docVars>
  <w:rsids>
    <w:rsidRoot w:val="00000000"/>
    <w:rsid w:val="01AF3811"/>
    <w:rsid w:val="03795BF7"/>
    <w:rsid w:val="086E756B"/>
    <w:rsid w:val="0ACF37E5"/>
    <w:rsid w:val="0B400BC6"/>
    <w:rsid w:val="0E68228D"/>
    <w:rsid w:val="0EA6787F"/>
    <w:rsid w:val="15276E52"/>
    <w:rsid w:val="19D32FBC"/>
    <w:rsid w:val="1E6A4395"/>
    <w:rsid w:val="1EE461C3"/>
    <w:rsid w:val="25557A3D"/>
    <w:rsid w:val="26EA5ED7"/>
    <w:rsid w:val="26FC7CDF"/>
    <w:rsid w:val="27A93B82"/>
    <w:rsid w:val="2AE00186"/>
    <w:rsid w:val="2DFA354C"/>
    <w:rsid w:val="308216BE"/>
    <w:rsid w:val="30953167"/>
    <w:rsid w:val="342B3168"/>
    <w:rsid w:val="34FE1149"/>
    <w:rsid w:val="3A550786"/>
    <w:rsid w:val="3B7A130F"/>
    <w:rsid w:val="423821FE"/>
    <w:rsid w:val="45786049"/>
    <w:rsid w:val="494A1329"/>
    <w:rsid w:val="4F8B6063"/>
    <w:rsid w:val="52FA3F96"/>
    <w:rsid w:val="53FD539C"/>
    <w:rsid w:val="55850F17"/>
    <w:rsid w:val="56B04DF0"/>
    <w:rsid w:val="57AE6D93"/>
    <w:rsid w:val="5EFE586F"/>
    <w:rsid w:val="5FB623A7"/>
    <w:rsid w:val="636270AD"/>
    <w:rsid w:val="64ED30F3"/>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4492</Words>
  <Characters>4872</Characters>
  <TotalTime>3</TotalTime>
  <ScaleCrop>false</ScaleCrop>
  <LinksUpToDate>false</LinksUpToDate>
  <CharactersWithSpaces>5073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熊</cp:lastModifiedBy>
  <cp:lastPrinted>2024-05-21T14:05:00Z</cp:lastPrinted>
  <dcterms:modified xsi:type="dcterms:W3CDTF">2024-10-23T03:20:20Z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