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48</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34</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27.5</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p>
        </w:tc>
        <w:tc>
          <w:tcPr>
            <w:tcW w:w="1983" w:type="dxa"/>
            <w:gridSpan w:val="2"/>
            <w:vAlign w:val="center"/>
          </w:tcPr>
          <w:p>
            <w:pPr>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p>
        </w:tc>
        <w:tc>
          <w:tcPr>
            <w:tcW w:w="1983" w:type="dxa"/>
            <w:gridSpan w:val="2"/>
            <w:vAlign w:val="center"/>
          </w:tcPr>
          <w:p>
            <w:pPr>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p>
        </w:tc>
        <w:tc>
          <w:tcPr>
            <w:tcW w:w="1983" w:type="dxa"/>
            <w:gridSpan w:val="2"/>
            <w:vAlign w:val="center"/>
          </w:tcPr>
          <w:p>
            <w:pPr>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27.5</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167.13</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170.6</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167.13</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170.6</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p>
        </w:tc>
        <w:tc>
          <w:tcPr>
            <w:tcW w:w="1983" w:type="dxa"/>
            <w:gridSpan w:val="2"/>
            <w:vAlign w:val="center"/>
          </w:tcPr>
          <w:p>
            <w:pPr>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jc w:val="center"/>
              <w:rPr>
                <w:rFonts w:ascii="仿宋_GB2312" w:eastAsia="仿宋_GB2312"/>
                <w:kern w:val="0"/>
                <w:lang w:eastAsia="zh-CN"/>
              </w:rPr>
            </w:pPr>
          </w:p>
        </w:tc>
        <w:tc>
          <w:tcPr>
            <w:tcW w:w="2039" w:type="dxa"/>
            <w:gridSpan w:val="2"/>
            <w:vAlign w:val="center"/>
          </w:tcPr>
          <w:p>
            <w:pPr>
              <w:jc w:val="center"/>
              <w:rPr>
                <w:rFonts w:ascii="仿宋_GB2312" w:eastAsia="仿宋_GB2312"/>
                <w:kern w:val="0"/>
                <w:lang w:eastAsia="zh-CN"/>
              </w:rPr>
            </w:pPr>
          </w:p>
        </w:tc>
        <w:tc>
          <w:tcPr>
            <w:tcW w:w="1983" w:type="dxa"/>
            <w:gridSpan w:val="2"/>
            <w:vAlign w:val="center"/>
          </w:tcPr>
          <w:p>
            <w:pPr>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jc w:val="center"/>
              <w:rPr>
                <w:rFonts w:ascii="仿宋_GB2312" w:eastAsia="仿宋_GB2312"/>
                <w:kern w:val="0"/>
              </w:rPr>
            </w:pPr>
          </w:p>
        </w:tc>
        <w:tc>
          <w:tcPr>
            <w:tcW w:w="2039" w:type="dxa"/>
            <w:gridSpan w:val="2"/>
            <w:vAlign w:val="center"/>
          </w:tcPr>
          <w:p>
            <w:pPr>
              <w:jc w:val="center"/>
              <w:rPr>
                <w:rFonts w:ascii="仿宋_GB2312" w:eastAsia="仿宋_GB2312"/>
                <w:kern w:val="0"/>
              </w:rPr>
            </w:pPr>
          </w:p>
        </w:tc>
        <w:tc>
          <w:tcPr>
            <w:tcW w:w="1983" w:type="dxa"/>
            <w:gridSpan w:val="2"/>
            <w:vAlign w:val="center"/>
          </w:tcPr>
          <w:p>
            <w:pPr>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45.86</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4.55</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4.93</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15.75</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4.42</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127.61</w:t>
            </w:r>
          </w:p>
        </w:tc>
        <w:tc>
          <w:tcPr>
            <w:tcW w:w="2039"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200</w:t>
            </w:r>
          </w:p>
        </w:tc>
        <w:tc>
          <w:tcPr>
            <w:tcW w:w="1983" w:type="dxa"/>
            <w:gridSpan w:val="2"/>
            <w:vAlign w:val="center"/>
          </w:tcPr>
          <w:p>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keepNext w:val="0"/>
              <w:keepLines w:val="0"/>
              <w:widowControl/>
              <w:suppressLineNumbers w:val="0"/>
              <w:jc w:val="center"/>
              <w:textAlignment w:val="center"/>
              <w:rPr>
                <w:rFonts w:ascii="仿宋_GB2312" w:eastAsia="仿宋_GB2312"/>
                <w:kern w:val="0"/>
                <w:lang w:eastAsia="zh-CN"/>
              </w:rPr>
            </w:pPr>
          </w:p>
        </w:tc>
        <w:tc>
          <w:tcPr>
            <w:tcW w:w="2039" w:type="dxa"/>
            <w:gridSpan w:val="2"/>
            <w:vAlign w:val="center"/>
          </w:tcPr>
          <w:p>
            <w:pPr>
              <w:jc w:val="center"/>
              <w:rPr>
                <w:rFonts w:ascii="仿宋_GB2312" w:eastAsia="仿宋_GB2312"/>
                <w:kern w:val="0"/>
                <w:lang w:eastAsia="zh-CN"/>
              </w:rPr>
            </w:pPr>
          </w:p>
        </w:tc>
        <w:tc>
          <w:tcPr>
            <w:tcW w:w="1983" w:type="dxa"/>
            <w:gridSpan w:val="2"/>
            <w:vAlign w:val="center"/>
          </w:tcPr>
          <w:p>
            <w:pPr>
              <w:keepNext w:val="0"/>
              <w:keepLines w:val="0"/>
              <w:widowControl/>
              <w:suppressLineNumbers w:val="0"/>
              <w:jc w:val="center"/>
              <w:textAlignment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遵守中央八项规定，严格履行厉行节约政策</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杨子宸</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15197139088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戴超文</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中共汨罗市委组织部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924.58</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1693.00</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1693.00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其中：一般公共预算：1693.00</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其中：基本支出：661.00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项目支出：1032.00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both"/>
              <w:rPr>
                <w:rFonts w:hint="eastAsia" w:ascii="仿宋_GB2312" w:eastAsia="仿宋_GB2312"/>
                <w:kern w:val="0"/>
              </w:rPr>
            </w:pPr>
            <w:r>
              <w:rPr>
                <w:rFonts w:hint="eastAsia" w:ascii="仿宋_GB2312" w:eastAsia="仿宋_GB2312"/>
                <w:kern w:val="0"/>
              </w:rPr>
              <w:t>任务1：保障组织部在职人员35人、退休人员8人的正常办公、生活秩序；</w:t>
            </w:r>
          </w:p>
          <w:p>
            <w:pPr>
              <w:spacing w:line="240" w:lineRule="auto"/>
              <w:ind w:firstLine="420"/>
              <w:jc w:val="both"/>
              <w:rPr>
                <w:rFonts w:hint="eastAsia" w:ascii="仿宋_GB2312" w:eastAsia="仿宋_GB2312"/>
                <w:kern w:val="0"/>
              </w:rPr>
            </w:pPr>
            <w:r>
              <w:rPr>
                <w:rFonts w:hint="eastAsia" w:ascii="仿宋_GB2312" w:eastAsia="仿宋_GB2312"/>
                <w:kern w:val="0"/>
              </w:rPr>
              <w:t>任务2：做好基层党建工作、党员教育管理、党代表联络、“两新”党组织建设、“农民大学生”培养等工作；</w:t>
            </w:r>
          </w:p>
          <w:p>
            <w:pPr>
              <w:spacing w:line="240" w:lineRule="auto"/>
              <w:ind w:firstLine="420"/>
              <w:jc w:val="both"/>
              <w:rPr>
                <w:rFonts w:hint="eastAsia" w:ascii="仿宋_GB2312" w:eastAsia="仿宋_GB2312"/>
                <w:kern w:val="0"/>
              </w:rPr>
            </w:pPr>
            <w:r>
              <w:rPr>
                <w:rFonts w:hint="eastAsia" w:ascii="仿宋_GB2312" w:eastAsia="仿宋_GB2312"/>
                <w:kern w:val="0"/>
              </w:rPr>
              <w:t>任务3：完成干部教育培训、公务员管理、招录、干部档案管理、人才培养等工作；</w:t>
            </w:r>
          </w:p>
          <w:p>
            <w:pPr>
              <w:spacing w:line="240" w:lineRule="auto"/>
              <w:ind w:firstLine="420"/>
              <w:jc w:val="both"/>
              <w:rPr>
                <w:rFonts w:ascii="仿宋_GB2312" w:eastAsia="仿宋_GB2312"/>
                <w:kern w:val="0"/>
              </w:rPr>
            </w:pPr>
            <w:r>
              <w:rPr>
                <w:rFonts w:hint="eastAsia" w:ascii="仿宋_GB2312" w:eastAsia="仿宋_GB2312"/>
                <w:kern w:val="0"/>
              </w:rPr>
              <w:t>任务4：对领导班子和领导干部、党政领导干部选拔任用工作及有关法规贯彻执行情况进行监督。</w:t>
            </w:r>
          </w:p>
        </w:tc>
        <w:tc>
          <w:tcPr>
            <w:tcW w:w="4260" w:type="dxa"/>
            <w:gridSpan w:val="4"/>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任务1：完成度100%</w:t>
            </w:r>
          </w:p>
          <w:p>
            <w:pPr>
              <w:spacing w:line="240" w:lineRule="auto"/>
              <w:ind w:firstLine="420"/>
              <w:jc w:val="center"/>
              <w:rPr>
                <w:rFonts w:hint="eastAsia" w:ascii="仿宋_GB2312" w:eastAsia="仿宋_GB2312"/>
                <w:kern w:val="0"/>
              </w:rPr>
            </w:pPr>
            <w:r>
              <w:rPr>
                <w:rFonts w:hint="eastAsia" w:ascii="仿宋_GB2312" w:eastAsia="仿宋_GB2312"/>
                <w:kern w:val="0"/>
              </w:rPr>
              <w:t>任务2：完成度100%</w:t>
            </w:r>
          </w:p>
          <w:p>
            <w:pPr>
              <w:spacing w:line="240" w:lineRule="auto"/>
              <w:ind w:firstLine="420"/>
              <w:jc w:val="center"/>
              <w:rPr>
                <w:rFonts w:hint="eastAsia" w:ascii="仿宋_GB2312" w:eastAsia="仿宋_GB2312"/>
                <w:kern w:val="0"/>
              </w:rPr>
            </w:pPr>
            <w:r>
              <w:rPr>
                <w:rFonts w:hint="eastAsia" w:ascii="仿宋_GB2312" w:eastAsia="仿宋_GB2312"/>
                <w:kern w:val="0"/>
              </w:rPr>
              <w:t>任务3：完成度100%</w:t>
            </w:r>
          </w:p>
          <w:p>
            <w:pPr>
              <w:spacing w:line="240" w:lineRule="auto"/>
              <w:ind w:firstLine="420"/>
              <w:jc w:val="center"/>
              <w:rPr>
                <w:rFonts w:ascii="仿宋_GB2312" w:eastAsia="仿宋_GB2312"/>
                <w:kern w:val="0"/>
              </w:rPr>
            </w:pPr>
            <w:r>
              <w:rPr>
                <w:rFonts w:hint="eastAsia" w:ascii="仿宋_GB2312" w:eastAsia="仿宋_GB2312"/>
                <w:kern w:val="0"/>
              </w:rPr>
              <w:t>任务4：完成度100%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人才招聘 党委换届</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≥2次</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党员培训 公务员培训</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≥2次</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保障人员数量</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在职35人、退休10人；</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提升我市干部工作、组织工作、人才工作、党建工作的质量与效率。</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各项工作完成时间</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 xml:space="preserve">2023.1.1-2023.12.31 </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249"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各项工作按期完成率           </w:t>
            </w:r>
          </w:p>
        </w:tc>
        <w:tc>
          <w:tcPr>
            <w:tcW w:w="1298"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w:t>
            </w:r>
          </w:p>
        </w:tc>
        <w:tc>
          <w:tcPr>
            <w:tcW w:w="869" w:type="dxa"/>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间接效益</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间接效益</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加强党建引领，制定人才政策，强化干部队伍，完善工作制度，规范内部管理</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为生态文化活力汨罗的建设增强续航能力。</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20"/>
                <w:szCs w:val="20"/>
                <w:u w:val="none"/>
                <w:lang w:val="en-US" w:eastAsia="zh-CN" w:bidi="ar"/>
              </w:rPr>
              <w:t xml:space="preserve">持续抓好党建对各项工作的引领作用。   持续增强组织对干部和人才等工作的引领作用。 </w:t>
            </w:r>
          </w:p>
        </w:tc>
        <w:tc>
          <w:tcPr>
            <w:tcW w:w="1298"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126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699" w:type="dxa"/>
            <w:vAlign w:val="center"/>
          </w:tcPr>
          <w:p>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pPr>
              <w:keepNext w:val="0"/>
              <w:keepLines w:val="0"/>
              <w:widowControl/>
              <w:suppressLineNumbers w:val="0"/>
              <w:jc w:val="left"/>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 xml:space="preserve">社会群众满意度               </w:t>
            </w:r>
          </w:p>
        </w:tc>
        <w:tc>
          <w:tcPr>
            <w:tcW w:w="1298" w:type="dxa"/>
            <w:shd w:val="clear" w:color="auto" w:fill="auto"/>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 xml:space="preserve">95%                  </w:t>
            </w:r>
          </w:p>
        </w:tc>
        <w:tc>
          <w:tcPr>
            <w:tcW w:w="1269" w:type="dxa"/>
            <w:shd w:val="clear" w:color="auto" w:fill="auto"/>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95%</w:t>
            </w:r>
          </w:p>
        </w:tc>
        <w:tc>
          <w:tcPr>
            <w:tcW w:w="699" w:type="dxa"/>
            <w:shd w:val="clear" w:color="auto" w:fill="auto"/>
            <w:vAlign w:val="center"/>
          </w:tcPr>
          <w:p>
            <w:pPr>
              <w:keepNext w:val="0"/>
              <w:keepLines w:val="0"/>
              <w:widowControl/>
              <w:suppressLineNumbers w:val="0"/>
              <w:jc w:val="center"/>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4</w:t>
            </w:r>
          </w:p>
        </w:tc>
        <w:tc>
          <w:tcPr>
            <w:tcW w:w="869" w:type="dxa"/>
            <w:shd w:val="clear" w:color="auto" w:fill="auto"/>
            <w:vAlign w:val="center"/>
          </w:tcPr>
          <w:p>
            <w:pPr>
              <w:keepNext w:val="0"/>
              <w:keepLines w:val="0"/>
              <w:widowControl/>
              <w:suppressLineNumbers w:val="0"/>
              <w:jc w:val="left"/>
              <w:textAlignment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仿宋_GB2312"/>
                <w:i w:val="0"/>
                <w:iCs w:val="0"/>
                <w:snapToGrid w:val="0"/>
                <w:color w:val="000000"/>
                <w:kern w:val="0"/>
                <w:sz w:val="20"/>
                <w:szCs w:val="20"/>
                <w:u w:val="none"/>
                <w:lang w:val="en-US" w:eastAsia="zh-CN" w:bidi="ar"/>
              </w:rPr>
              <w:t>4</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上级部门满意度</w:t>
            </w:r>
          </w:p>
        </w:tc>
        <w:tc>
          <w:tcPr>
            <w:tcW w:w="1298" w:type="dxa"/>
            <w:shd w:val="clear" w:color="auto" w:fill="auto"/>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1269" w:type="dxa"/>
            <w:shd w:val="clear" w:color="auto" w:fill="auto"/>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95%</w:t>
            </w:r>
          </w:p>
        </w:tc>
        <w:tc>
          <w:tcPr>
            <w:tcW w:w="699" w:type="dxa"/>
            <w:shd w:val="clear" w:color="auto" w:fill="auto"/>
            <w:vAlign w:val="center"/>
          </w:tcPr>
          <w:p>
            <w:pPr>
              <w:keepNext w:val="0"/>
              <w:keepLines w:val="0"/>
              <w:widowControl/>
              <w:suppressLineNumbers w:val="0"/>
              <w:jc w:val="center"/>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869" w:type="dxa"/>
            <w:shd w:val="clear" w:color="auto" w:fill="auto"/>
            <w:vAlign w:val="center"/>
          </w:tcPr>
          <w:p>
            <w:pPr>
              <w:keepNext w:val="0"/>
              <w:keepLines w:val="0"/>
              <w:widowControl/>
              <w:suppressLineNumbers w:val="0"/>
              <w:jc w:val="left"/>
              <w:textAlignment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仿宋_GB2312"/>
                <w:i w:val="0"/>
                <w:iCs w:val="0"/>
                <w:snapToGrid w:val="0"/>
                <w:color w:val="000000"/>
                <w:kern w:val="0"/>
                <w:sz w:val="20"/>
                <w:szCs w:val="20"/>
                <w:u w:val="none"/>
                <w:lang w:val="en-US" w:eastAsia="zh-CN" w:bidi="ar"/>
              </w:rPr>
              <w:t>2</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bottom w:val="nil"/>
            </w:tcBorders>
            <w:vAlign w:val="center"/>
          </w:tcPr>
          <w:p>
            <w:pPr>
              <w:spacing w:line="240" w:lineRule="auto"/>
              <w:jc w:val="center"/>
              <w:rPr>
                <w:rFonts w:hint="eastAsia" w:ascii="仿宋_GB2312" w:eastAsia="仿宋_GB2312"/>
                <w:kern w:val="0"/>
              </w:rPr>
            </w:pPr>
          </w:p>
        </w:tc>
        <w:tc>
          <w:tcPr>
            <w:tcW w:w="1029" w:type="dxa"/>
            <w:vMerge w:val="continue"/>
            <w:tcBorders>
              <w:bottom w:val="nil"/>
            </w:tcBorders>
            <w:vAlign w:val="center"/>
          </w:tcPr>
          <w:p>
            <w:pPr>
              <w:spacing w:line="240" w:lineRule="auto"/>
              <w:jc w:val="center"/>
              <w:rPr>
                <w:rFonts w:hint="eastAsia" w:ascii="仿宋_GB2312" w:hAnsi="宋体" w:eastAsia="仿宋_GB2312" w:cs="宋体"/>
                <w:kern w:val="0"/>
              </w:rPr>
            </w:pPr>
          </w:p>
        </w:tc>
        <w:tc>
          <w:tcPr>
            <w:tcW w:w="124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职工满意度           </w:t>
            </w:r>
          </w:p>
        </w:tc>
        <w:tc>
          <w:tcPr>
            <w:tcW w:w="129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1269"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699"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869"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3</w:t>
            </w:r>
          </w:p>
        </w:tc>
        <w:tc>
          <w:tcPr>
            <w:tcW w:w="1423" w:type="dxa"/>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129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1.基本支出≤481.27万                    2.项目支出≤170.6万（不包含后期追加）</w:t>
            </w:r>
          </w:p>
        </w:tc>
        <w:tc>
          <w:tcPr>
            <w:tcW w:w="1269"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869" w:type="dxa"/>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0"/>
                <w:szCs w:val="20"/>
                <w:u w:val="none"/>
                <w:lang w:val="en-US" w:eastAsia="zh-CN" w:bidi="ar"/>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1423" w:type="dxa"/>
            <w:vAlign w:val="center"/>
          </w:tcPr>
          <w:p>
            <w:pPr>
              <w:keepNext w:val="0"/>
              <w:keepLines w:val="0"/>
              <w:widowControl/>
              <w:suppressLineNumbers w:val="0"/>
              <w:jc w:val="center"/>
              <w:textAlignment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94</w:t>
            </w: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杨子宸</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15197139088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戴超文</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英才计划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125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125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103.7</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82.00%</w:t>
            </w:r>
          </w:p>
        </w:tc>
        <w:tc>
          <w:tcPr>
            <w:tcW w:w="1383"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8.20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125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125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103.7</w:t>
            </w:r>
          </w:p>
        </w:tc>
        <w:tc>
          <w:tcPr>
            <w:tcW w:w="809" w:type="dxa"/>
            <w:vAlign w:val="center"/>
          </w:tcPr>
          <w:p>
            <w:pPr>
              <w:spacing w:line="240" w:lineRule="auto"/>
              <w:ind w:firstLine="420"/>
              <w:jc w:val="center"/>
              <w:rPr>
                <w:rFonts w:hint="eastAsia" w:ascii="仿宋" w:hAnsi="仿宋" w:eastAsia="仿宋" w:cs="仿宋"/>
                <w:kern w:val="0"/>
                <w:lang w:eastAsia="zh-CN"/>
              </w:rPr>
            </w:pPr>
          </w:p>
        </w:tc>
        <w:tc>
          <w:tcPr>
            <w:tcW w:w="849" w:type="dxa"/>
            <w:vAlign w:val="center"/>
          </w:tcPr>
          <w:p>
            <w:pPr>
              <w:spacing w:line="240" w:lineRule="auto"/>
              <w:ind w:firstLine="420"/>
              <w:jc w:val="center"/>
              <w:rPr>
                <w:rFonts w:hint="eastAsia" w:ascii="仿宋" w:hAnsi="仿宋" w:eastAsia="仿宋" w:cs="仿宋"/>
                <w:kern w:val="0"/>
                <w:lang w:eastAsia="zh-CN"/>
              </w:rPr>
            </w:pPr>
          </w:p>
        </w:tc>
        <w:tc>
          <w:tcPr>
            <w:tcW w:w="1383" w:type="dxa"/>
            <w:vAlign w:val="center"/>
          </w:tcPr>
          <w:p>
            <w:pPr>
              <w:spacing w:line="240" w:lineRule="auto"/>
              <w:ind w:firstLine="420"/>
              <w:jc w:val="center"/>
              <w:rPr>
                <w:rFonts w:hint="eastAsia" w:ascii="仿宋" w:hAnsi="仿宋" w:eastAsia="仿宋" w:cs="仿宋"/>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pPr>
              <w:spacing w:line="240" w:lineRule="auto"/>
              <w:ind w:firstLine="420"/>
              <w:jc w:val="center"/>
              <w:rPr>
                <w:rFonts w:hint="eastAsia" w:ascii="仿宋" w:hAnsi="仿宋" w:eastAsia="仿宋" w:cs="仿宋"/>
                <w:kern w:val="0"/>
                <w:lang w:eastAsia="zh-CN"/>
              </w:rPr>
            </w:pPr>
          </w:p>
        </w:tc>
        <w:tc>
          <w:tcPr>
            <w:tcW w:w="849" w:type="dxa"/>
            <w:vAlign w:val="center"/>
          </w:tcPr>
          <w:p>
            <w:pPr>
              <w:spacing w:line="240" w:lineRule="auto"/>
              <w:ind w:firstLine="420"/>
              <w:jc w:val="center"/>
              <w:rPr>
                <w:rFonts w:hint="eastAsia" w:ascii="仿宋" w:hAnsi="仿宋" w:eastAsia="仿宋" w:cs="仿宋"/>
                <w:kern w:val="0"/>
                <w:lang w:eastAsia="zh-CN"/>
              </w:rPr>
            </w:pPr>
          </w:p>
        </w:tc>
        <w:tc>
          <w:tcPr>
            <w:tcW w:w="1383" w:type="dxa"/>
            <w:vAlign w:val="center"/>
          </w:tcPr>
          <w:p>
            <w:pPr>
              <w:spacing w:line="240" w:lineRule="auto"/>
              <w:ind w:firstLine="420"/>
              <w:jc w:val="center"/>
              <w:rPr>
                <w:rFonts w:hint="eastAsia" w:ascii="仿宋" w:hAnsi="仿宋" w:eastAsia="仿宋" w:cs="仿宋"/>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pPr>
              <w:spacing w:line="240" w:lineRule="auto"/>
              <w:ind w:firstLine="420"/>
              <w:jc w:val="center"/>
              <w:rPr>
                <w:rFonts w:hint="eastAsia" w:ascii="仿宋" w:hAnsi="仿宋" w:eastAsia="仿宋" w:cs="仿宋"/>
                <w:kern w:val="0"/>
              </w:rPr>
            </w:pPr>
          </w:p>
        </w:tc>
        <w:tc>
          <w:tcPr>
            <w:tcW w:w="849" w:type="dxa"/>
            <w:vAlign w:val="center"/>
          </w:tcPr>
          <w:p>
            <w:pPr>
              <w:spacing w:line="240" w:lineRule="auto"/>
              <w:ind w:firstLine="420"/>
              <w:jc w:val="center"/>
              <w:rPr>
                <w:rFonts w:hint="eastAsia" w:ascii="仿宋" w:hAnsi="仿宋" w:eastAsia="仿宋" w:cs="仿宋"/>
                <w:kern w:val="0"/>
              </w:rPr>
            </w:pPr>
          </w:p>
        </w:tc>
        <w:tc>
          <w:tcPr>
            <w:tcW w:w="1383" w:type="dxa"/>
            <w:vAlign w:val="center"/>
          </w:tcPr>
          <w:p>
            <w:pPr>
              <w:spacing w:line="240" w:lineRule="auto"/>
              <w:ind w:firstLine="420"/>
              <w:jc w:val="center"/>
              <w:rPr>
                <w:rFonts w:hint="eastAsia" w:ascii="仿宋" w:hAnsi="仿宋" w:eastAsia="仿宋" w:cs="仿宋"/>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深入推进人才强市战略，充分发挥人才在新时代汨罗高质量发展中的支撑引领作用:</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一、完善党管人才格局</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二、加快人才体制机制改革</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三、加快人才引进和培育</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四、促进人才创新创业</w:t>
            </w:r>
          </w:p>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五、加强人才配套保障工作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评选各类优秀人才</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≥2次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校园直招招聘</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≥2次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农村实用人才培训</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≥2次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企业人才培训</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≥3次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80%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8.00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 xml:space="preserve">长沙、岳阳招聘会  </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≥2次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录取优质人才</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各项工作完成时间</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 xml:space="preserve">2023.1.1-2023.12.31 </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无直接经济效益，可促进城市的经济发展</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间接效益</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间接效益</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提高整体城市形象，对外留下良好印象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rPr>
                <w:rFonts w:hint="eastAsia" w:ascii="仿宋" w:hAnsi="仿宋" w:eastAsia="仿宋" w:cs="仿宋"/>
                <w:kern w:val="0"/>
                <w:sz w:val="18"/>
                <w:szCs w:val="18"/>
              </w:rPr>
            </w:pPr>
          </w:p>
        </w:tc>
        <w:tc>
          <w:tcPr>
            <w:tcW w:w="1099" w:type="dxa"/>
            <w:vAlign w:val="center"/>
          </w:tcPr>
          <w:p>
            <w:pPr>
              <w:jc w:val="center"/>
              <w:rPr>
                <w:rFonts w:hint="eastAsia" w:ascii="仿宋" w:hAnsi="仿宋" w:eastAsia="仿宋" w:cs="仿宋"/>
                <w:kern w:val="0"/>
                <w:sz w:val="18"/>
                <w:szCs w:val="18"/>
              </w:rPr>
            </w:pPr>
          </w:p>
        </w:tc>
        <w:tc>
          <w:tcPr>
            <w:tcW w:w="1099" w:type="dxa"/>
            <w:vAlign w:val="center"/>
          </w:tcPr>
          <w:p>
            <w:pPr>
              <w:jc w:val="center"/>
              <w:rPr>
                <w:rFonts w:hint="eastAsia" w:ascii="仿宋" w:hAnsi="仿宋" w:eastAsia="仿宋" w:cs="仿宋"/>
                <w:kern w:val="0"/>
                <w:sz w:val="18"/>
                <w:szCs w:val="18"/>
              </w:rPr>
            </w:pPr>
          </w:p>
        </w:tc>
        <w:tc>
          <w:tcPr>
            <w:tcW w:w="809" w:type="dxa"/>
            <w:vAlign w:val="center"/>
          </w:tcPr>
          <w:p>
            <w:pPr>
              <w:jc w:val="center"/>
              <w:rPr>
                <w:rFonts w:hint="eastAsia" w:ascii="仿宋" w:hAnsi="仿宋" w:eastAsia="仿宋" w:cs="仿宋"/>
                <w:kern w:val="0"/>
                <w:sz w:val="18"/>
                <w:szCs w:val="18"/>
              </w:rPr>
            </w:pPr>
          </w:p>
        </w:tc>
        <w:tc>
          <w:tcPr>
            <w:tcW w:w="849" w:type="dxa"/>
            <w:vAlign w:val="center"/>
          </w:tcPr>
          <w:p>
            <w:pPr>
              <w:jc w:val="center"/>
              <w:rPr>
                <w:rFonts w:hint="eastAsia" w:ascii="仿宋" w:hAnsi="仿宋" w:eastAsia="仿宋" w:cs="仿宋"/>
                <w:kern w:val="0"/>
                <w:sz w:val="18"/>
                <w:szCs w:val="18"/>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提高我市人才储备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有效助力</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有效助力</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 xml:space="preserve">人才满意度           </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98%</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9.00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严格控制在预算成本内</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≤125万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20"/>
                <w:szCs w:val="20"/>
              </w:rPr>
            </w:pPr>
            <w:r>
              <w:rPr>
                <w:rFonts w:hint="eastAsia" w:ascii="仿宋" w:hAnsi="仿宋" w:eastAsia="仿宋" w:cs="仿宋"/>
                <w:i w:val="0"/>
                <w:iCs w:val="0"/>
                <w:snapToGrid w:val="0"/>
                <w:color w:val="000000"/>
                <w:kern w:val="0"/>
                <w:sz w:val="18"/>
                <w:szCs w:val="18"/>
                <w:u w:val="none"/>
                <w:lang w:val="en-US" w:eastAsia="zh-CN" w:bidi="ar"/>
              </w:rPr>
              <w:t>8.00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93.2</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snapToGrid w:val="0"/>
          <w:color w:val="000000"/>
          <w:sz w:val="21"/>
          <w:szCs w:val="21"/>
          <w:lang w:val="en-US" w:eastAsia="zh-CN" w:bidi="ar-SA"/>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snapToGrid w:val="0"/>
          <w:color w:val="000000"/>
          <w:sz w:val="21"/>
          <w:szCs w:val="21"/>
          <w:lang w:val="en-US" w:eastAsia="zh-CN" w:bidi="ar-SA"/>
        </w:rPr>
        <w:t>杨子宸</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15197139088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戴超文</w:t>
      </w:r>
    </w:p>
    <w:p>
      <w:pPr>
        <w:rPr>
          <w:rFonts w:hint="eastAsia" w:ascii="仿宋_GB2312" w:hAnsi="宋体" w:eastAsia="仿宋_GB2312" w:cs="宋体"/>
          <w:snapToGrid w:val="0"/>
          <w:color w:val="000000"/>
          <w:sz w:val="21"/>
          <w:szCs w:val="21"/>
          <w:lang w:val="en-US" w:eastAsia="zh-CN" w:bidi="ar-SA"/>
        </w:rPr>
      </w:pPr>
    </w:p>
    <w:p>
      <w:pPr>
        <w:rPr>
          <w:rFonts w:hint="eastAsia" w:ascii="仿宋_GB2312" w:hAnsi="宋体" w:eastAsia="仿宋_GB2312" w:cs="宋体"/>
          <w:snapToGrid w:val="0"/>
          <w:color w:val="000000"/>
          <w:sz w:val="21"/>
          <w:szCs w:val="21"/>
          <w:lang w:val="en-US" w:eastAsia="zh-CN" w:bidi="ar-SA"/>
        </w:rPr>
      </w:pPr>
    </w:p>
    <w:p>
      <w:pPr>
        <w:rPr>
          <w:rFonts w:hint="eastAsia" w:ascii="仿宋_GB2312" w:hAnsi="宋体" w:eastAsia="仿宋_GB2312" w:cs="宋体"/>
          <w:snapToGrid w:val="0"/>
          <w:color w:val="000000"/>
          <w:sz w:val="21"/>
          <w:szCs w:val="21"/>
          <w:lang w:val="en-US" w:eastAsia="zh-CN" w:bidi="ar-SA"/>
        </w:rPr>
      </w:pPr>
    </w:p>
    <w:p>
      <w:pPr>
        <w:rPr>
          <w:rFonts w:hint="eastAsia" w:ascii="仿宋_GB2312" w:hAnsi="宋体" w:eastAsia="仿宋_GB2312" w:cs="宋体"/>
          <w:snapToGrid w:val="0"/>
          <w:color w:val="000000"/>
          <w:sz w:val="21"/>
          <w:szCs w:val="21"/>
          <w:lang w:val="en-US" w:eastAsia="zh-CN" w:bidi="ar-SA"/>
        </w:rPr>
      </w:pPr>
    </w:p>
    <w:p>
      <w:pPr>
        <w:rPr>
          <w:rFonts w:hint="eastAsia" w:ascii="仿宋_GB2312" w:hAnsi="宋体" w:eastAsia="仿宋_GB2312" w:cs="宋体"/>
          <w:snapToGrid w:val="0"/>
          <w:color w:val="000000"/>
          <w:sz w:val="21"/>
          <w:szCs w:val="21"/>
          <w:lang w:val="en-US" w:eastAsia="zh-CN" w:bidi="ar-SA"/>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党员教育中心工作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中共汨罗市委组织部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80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100.00%</w:t>
            </w:r>
          </w:p>
        </w:tc>
        <w:tc>
          <w:tcPr>
            <w:tcW w:w="1383"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13</w:t>
            </w:r>
          </w:p>
        </w:tc>
        <w:tc>
          <w:tcPr>
            <w:tcW w:w="809" w:type="dxa"/>
            <w:vAlign w:val="center"/>
          </w:tcPr>
          <w:p>
            <w:pPr>
              <w:spacing w:line="240" w:lineRule="auto"/>
              <w:ind w:firstLine="420"/>
              <w:jc w:val="left"/>
              <w:rPr>
                <w:rFonts w:hint="eastAsia" w:ascii="仿宋_GB2312" w:hAnsi="宋体" w:eastAsia="仿宋_GB2312" w:cs="宋体"/>
                <w:kern w:val="0"/>
                <w:lang w:eastAsia="zh-CN"/>
              </w:rPr>
            </w:pPr>
          </w:p>
        </w:tc>
        <w:tc>
          <w:tcPr>
            <w:tcW w:w="849" w:type="dxa"/>
            <w:vAlign w:val="center"/>
          </w:tcPr>
          <w:p>
            <w:pPr>
              <w:spacing w:line="240" w:lineRule="auto"/>
              <w:ind w:firstLine="420"/>
              <w:jc w:val="left"/>
              <w:rPr>
                <w:rFonts w:hint="eastAsia" w:ascii="仿宋_GB2312" w:hAnsi="宋体" w:eastAsia="仿宋_GB2312" w:cs="宋体"/>
                <w:kern w:val="0"/>
                <w:lang w:eastAsia="zh-CN"/>
              </w:rPr>
            </w:pPr>
          </w:p>
        </w:tc>
        <w:tc>
          <w:tcPr>
            <w:tcW w:w="1383" w:type="dxa"/>
            <w:vAlign w:val="center"/>
          </w:tcPr>
          <w:p>
            <w:pPr>
              <w:spacing w:line="240" w:lineRule="auto"/>
              <w:ind w:firstLine="420"/>
              <w:jc w:val="left"/>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left"/>
              <w:rPr>
                <w:rFonts w:hint="eastAsia" w:ascii="仿宋_GB2312" w:hAnsi="宋体" w:eastAsia="仿宋_GB2312" w:cs="宋体"/>
                <w:kern w:val="0"/>
                <w:lang w:eastAsia="zh-CN"/>
              </w:rPr>
            </w:pPr>
          </w:p>
        </w:tc>
        <w:tc>
          <w:tcPr>
            <w:tcW w:w="849" w:type="dxa"/>
            <w:vAlign w:val="center"/>
          </w:tcPr>
          <w:p>
            <w:pPr>
              <w:spacing w:line="240" w:lineRule="auto"/>
              <w:ind w:firstLine="420"/>
              <w:jc w:val="left"/>
              <w:rPr>
                <w:rFonts w:hint="eastAsia" w:ascii="仿宋_GB2312" w:hAnsi="宋体" w:eastAsia="仿宋_GB2312" w:cs="宋体"/>
                <w:kern w:val="0"/>
                <w:lang w:eastAsia="zh-CN"/>
              </w:rPr>
            </w:pPr>
          </w:p>
        </w:tc>
        <w:tc>
          <w:tcPr>
            <w:tcW w:w="1383" w:type="dxa"/>
            <w:vAlign w:val="center"/>
          </w:tcPr>
          <w:p>
            <w:pPr>
              <w:spacing w:line="240" w:lineRule="auto"/>
              <w:ind w:firstLine="420"/>
              <w:jc w:val="left"/>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left"/>
              <w:rPr>
                <w:rFonts w:hint="eastAsia" w:ascii="仿宋_GB2312" w:hAnsi="宋体" w:eastAsia="仿宋_GB2312" w:cs="宋体"/>
                <w:kern w:val="0"/>
                <w:lang w:eastAsia="zh-CN"/>
              </w:rPr>
            </w:pPr>
          </w:p>
        </w:tc>
        <w:tc>
          <w:tcPr>
            <w:tcW w:w="849" w:type="dxa"/>
            <w:vAlign w:val="center"/>
          </w:tcPr>
          <w:p>
            <w:pPr>
              <w:spacing w:line="240" w:lineRule="auto"/>
              <w:ind w:firstLine="420"/>
              <w:jc w:val="left"/>
              <w:rPr>
                <w:rFonts w:hint="eastAsia" w:ascii="仿宋_GB2312" w:hAnsi="宋体" w:eastAsia="仿宋_GB2312" w:cs="宋体"/>
                <w:kern w:val="0"/>
                <w:lang w:eastAsia="zh-CN"/>
              </w:rPr>
            </w:pPr>
          </w:p>
        </w:tc>
        <w:tc>
          <w:tcPr>
            <w:tcW w:w="1383" w:type="dxa"/>
            <w:vAlign w:val="center"/>
          </w:tcPr>
          <w:p>
            <w:pPr>
              <w:spacing w:line="240" w:lineRule="auto"/>
              <w:ind w:firstLine="420"/>
              <w:jc w:val="left"/>
              <w:rPr>
                <w:rFonts w:hint="eastAsia"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开展党员教育中心工作</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党代表联络</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“农民大学生”培养</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pPr>
              <w:spacing w:line="240" w:lineRule="auto"/>
              <w:jc w:val="center"/>
              <w:rPr>
                <w:rFonts w:ascii="仿宋_GB2312" w:hAnsi="宋体" w:eastAsia="仿宋_GB2312" w:cs="宋体"/>
                <w:kern w:val="0"/>
              </w:rPr>
            </w:pPr>
          </w:p>
        </w:tc>
        <w:tc>
          <w:tcPr>
            <w:tcW w:w="1218" w:type="dxa"/>
            <w:vMerge w:val="continue"/>
            <w:vAlign w:val="center"/>
          </w:tcPr>
          <w:p>
            <w:pPr>
              <w:spacing w:line="240" w:lineRule="auto"/>
              <w:jc w:val="center"/>
              <w:rPr>
                <w:rFonts w:hint="eastAsia" w:ascii="仿宋_GB2312" w:hAnsi="宋体" w:eastAsia="仿宋_GB2312" w:cs="宋体"/>
                <w:kern w:val="0"/>
              </w:rPr>
            </w:pP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开展党员教育培训</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提高党员素质</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有效助力</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有效助力</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 xml:space="preserve">各项工作完成时间           </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2023.1.1-2023.12.31</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5.00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反向促进城市的经济发展</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间接效益</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间接效益</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20.00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提高党员素质，间接提高城市整体形象</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有效提升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提升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rPr>
                <w:rFonts w:hint="eastAsia" w:ascii="仿宋" w:hAnsi="仿宋" w:eastAsia="仿宋" w:cs="仿宋"/>
                <w:kern w:val="0"/>
                <w:sz w:val="16"/>
                <w:szCs w:val="16"/>
              </w:rPr>
            </w:pPr>
          </w:p>
        </w:tc>
        <w:tc>
          <w:tcPr>
            <w:tcW w:w="1099" w:type="dxa"/>
            <w:vAlign w:val="center"/>
          </w:tcPr>
          <w:p>
            <w:pPr>
              <w:jc w:val="center"/>
              <w:rPr>
                <w:rFonts w:hint="eastAsia" w:ascii="仿宋" w:hAnsi="仿宋" w:eastAsia="仿宋" w:cs="仿宋"/>
                <w:kern w:val="0"/>
                <w:sz w:val="16"/>
                <w:szCs w:val="16"/>
              </w:rPr>
            </w:pPr>
          </w:p>
        </w:tc>
        <w:tc>
          <w:tcPr>
            <w:tcW w:w="1099" w:type="dxa"/>
            <w:vAlign w:val="center"/>
          </w:tcPr>
          <w:p>
            <w:pPr>
              <w:jc w:val="center"/>
              <w:rPr>
                <w:rFonts w:hint="eastAsia" w:ascii="仿宋" w:hAnsi="仿宋" w:eastAsia="仿宋" w:cs="仿宋"/>
                <w:kern w:val="0"/>
                <w:sz w:val="16"/>
                <w:szCs w:val="16"/>
              </w:rPr>
            </w:pPr>
          </w:p>
        </w:tc>
        <w:tc>
          <w:tcPr>
            <w:tcW w:w="809" w:type="dxa"/>
            <w:vAlign w:val="center"/>
          </w:tcPr>
          <w:p>
            <w:pPr>
              <w:jc w:val="center"/>
              <w:rPr>
                <w:rFonts w:hint="eastAsia" w:ascii="仿宋" w:hAnsi="仿宋" w:eastAsia="仿宋" w:cs="仿宋"/>
                <w:kern w:val="0"/>
                <w:sz w:val="16"/>
                <w:szCs w:val="16"/>
              </w:rPr>
            </w:pPr>
          </w:p>
        </w:tc>
        <w:tc>
          <w:tcPr>
            <w:tcW w:w="849" w:type="dxa"/>
            <w:vAlign w:val="center"/>
          </w:tcPr>
          <w:p>
            <w:pPr>
              <w:jc w:val="center"/>
              <w:rPr>
                <w:rFonts w:hint="eastAsia" w:ascii="仿宋" w:hAnsi="仿宋" w:eastAsia="仿宋" w:cs="仿宋"/>
                <w:kern w:val="0"/>
                <w:sz w:val="16"/>
                <w:szCs w:val="16"/>
              </w:rPr>
            </w:pP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服务对象满意度</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≥95%</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93%</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8.00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严格控制在预算成本内</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≤13万</w:t>
            </w:r>
          </w:p>
        </w:tc>
        <w:tc>
          <w:tcPr>
            <w:tcW w:w="109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≤13万</w:t>
            </w:r>
          </w:p>
        </w:tc>
        <w:tc>
          <w:tcPr>
            <w:tcW w:w="80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20</w:t>
            </w:r>
          </w:p>
        </w:tc>
        <w:tc>
          <w:tcPr>
            <w:tcW w:w="849" w:type="dxa"/>
            <w:vAlign w:val="center"/>
          </w:tcPr>
          <w:p>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8"/>
                <w:szCs w:val="18"/>
                <w:u w:val="none"/>
                <w:lang w:val="en-US" w:eastAsia="zh-CN" w:bidi="ar"/>
              </w:rPr>
              <w:t>20.00</w:t>
            </w:r>
          </w:p>
        </w:tc>
        <w:tc>
          <w:tcPr>
            <w:tcW w:w="1383" w:type="dxa"/>
            <w:vAlign w:val="center"/>
          </w:tcPr>
          <w:p>
            <w:pPr>
              <w:spacing w:line="240" w:lineRule="auto"/>
              <w:ind w:firstLine="420"/>
              <w:jc w:val="center"/>
              <w:rPr>
                <w:rFonts w:hint="eastAsia" w:ascii="仿宋" w:hAnsi="仿宋" w:eastAsia="仿宋" w:cs="仿宋"/>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304" w:right="1474" w:bottom="1304"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snapToGrid w:val="0"/>
          <w:color w:val="000000"/>
          <w:sz w:val="21"/>
          <w:szCs w:val="21"/>
          <w:lang w:val="en-US" w:eastAsia="zh-CN" w:bidi="ar-SA"/>
        </w:rPr>
        <w:t>杨子宸</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2024.10.15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15197139088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戴超文</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中共汨罗市委组织部</w:t>
      </w: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部门名称：中共汨罗市委组织部</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spacing w:before="130" w:line="221" w:lineRule="auto"/>
        <w:jc w:val="center"/>
        <w:rPr>
          <w:rFonts w:hint="eastAsia" w:ascii="黑体" w:hAnsi="黑体" w:eastAsia="黑体" w:cs="黑体"/>
          <w:spacing w:val="-60"/>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60"/>
          <w:sz w:val="40"/>
          <w:szCs w:val="40"/>
        </w:rPr>
        <w:t>中共汨罗市委组织部</w:t>
      </w:r>
    </w:p>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1、机构设置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中共汨罗市委组织部</w:t>
      </w:r>
      <w:r>
        <w:rPr>
          <w:rFonts w:hint="eastAsia" w:eastAsia="仿宋_GB2312"/>
          <w:kern w:val="0"/>
          <w:sz w:val="32"/>
          <w:szCs w:val="32"/>
          <w:lang w:val="en-US" w:eastAsia="zh-CN"/>
        </w:rPr>
        <w:t>为</w:t>
      </w:r>
      <w:r>
        <w:rPr>
          <w:rFonts w:hint="eastAsia" w:eastAsia="仿宋_GB2312"/>
          <w:kern w:val="0"/>
          <w:sz w:val="32"/>
          <w:szCs w:val="32"/>
          <w:lang w:val="en-US" w:eastAsia="en-US"/>
        </w:rPr>
        <w:t>财政全额拨款</w:t>
      </w:r>
      <w:r>
        <w:rPr>
          <w:rFonts w:hint="eastAsia" w:eastAsia="仿宋_GB2312"/>
          <w:kern w:val="0"/>
          <w:sz w:val="32"/>
          <w:szCs w:val="32"/>
          <w:lang w:val="en-US" w:eastAsia="zh-CN"/>
        </w:rPr>
        <w:t>的行政</w:t>
      </w:r>
      <w:r>
        <w:rPr>
          <w:rFonts w:hint="eastAsia" w:eastAsia="仿宋_GB2312"/>
          <w:kern w:val="0"/>
          <w:sz w:val="32"/>
          <w:szCs w:val="32"/>
          <w:lang w:val="en-US" w:eastAsia="en-US"/>
        </w:rPr>
        <w:t>机关</w:t>
      </w:r>
      <w:r>
        <w:rPr>
          <w:rFonts w:hint="eastAsia" w:eastAsia="仿宋_GB2312"/>
          <w:kern w:val="0"/>
          <w:sz w:val="32"/>
          <w:szCs w:val="32"/>
          <w:lang w:val="en-US" w:eastAsia="zh-CN"/>
        </w:rPr>
        <w:t>单位，下属有</w:t>
      </w:r>
      <w:r>
        <w:rPr>
          <w:rFonts w:hint="eastAsia" w:eastAsia="仿宋_GB2312"/>
          <w:kern w:val="0"/>
          <w:sz w:val="32"/>
          <w:szCs w:val="32"/>
          <w:lang w:val="en-US" w:eastAsia="en-US"/>
        </w:rPr>
        <w:t>汨罗市人才服务中心、中共汨罗市委组织部党员干部教育中心和汨罗市老干部活动中心</w:t>
      </w:r>
      <w:r>
        <w:rPr>
          <w:rFonts w:hint="eastAsia" w:eastAsia="仿宋_GB2312"/>
          <w:kern w:val="0"/>
          <w:sz w:val="32"/>
          <w:szCs w:val="32"/>
          <w:lang w:val="en-US" w:eastAsia="zh-CN"/>
        </w:rPr>
        <w:t>（</w:t>
      </w:r>
      <w:r>
        <w:rPr>
          <w:rFonts w:hint="eastAsia" w:eastAsia="仿宋_GB2312"/>
          <w:kern w:val="0"/>
          <w:sz w:val="32"/>
          <w:szCs w:val="32"/>
          <w:lang w:val="en-US" w:eastAsia="en-US"/>
        </w:rPr>
        <w:t>独立核算</w:t>
      </w:r>
      <w:r>
        <w:rPr>
          <w:rFonts w:hint="eastAsia" w:eastAsia="仿宋_GB2312"/>
          <w:kern w:val="0"/>
          <w:sz w:val="32"/>
          <w:szCs w:val="32"/>
          <w:lang w:val="en-US" w:eastAsia="zh-CN"/>
        </w:rPr>
        <w:t>）</w:t>
      </w:r>
      <w:r>
        <w:rPr>
          <w:rFonts w:hint="eastAsia" w:eastAsia="仿宋_GB2312"/>
          <w:kern w:val="0"/>
          <w:sz w:val="32"/>
          <w:szCs w:val="32"/>
          <w:lang w:val="en-US" w:eastAsia="en-US"/>
        </w:rPr>
        <w:t>三个二级机构，执行行政单位会计制度。中共汨罗市委组织部机关下设：办公室、干部室、公务员管理办公室、干部监督室、研究室、干部信息室（干部档案室）、党建室、</w:t>
      </w:r>
      <w:r>
        <w:rPr>
          <w:rFonts w:hint="eastAsia" w:eastAsia="仿宋_GB2312"/>
          <w:kern w:val="0"/>
          <w:sz w:val="32"/>
          <w:szCs w:val="32"/>
          <w:lang w:val="en-US" w:eastAsia="zh-CN"/>
        </w:rPr>
        <w:t>基层</w:t>
      </w:r>
      <w:r>
        <w:rPr>
          <w:rFonts w:hint="eastAsia" w:eastAsia="仿宋_GB2312"/>
          <w:kern w:val="0"/>
          <w:sz w:val="32"/>
          <w:szCs w:val="32"/>
          <w:lang w:val="en-US" w:eastAsia="en-US"/>
        </w:rPr>
        <w:t>办、人才工作办公室、老干部工作办公室、</w:t>
      </w:r>
      <w:r>
        <w:rPr>
          <w:rFonts w:hint="eastAsia" w:eastAsia="仿宋_GB2312"/>
          <w:kern w:val="0"/>
          <w:sz w:val="32"/>
          <w:szCs w:val="32"/>
          <w:lang w:val="en-US" w:eastAsia="zh-CN"/>
        </w:rPr>
        <w:t>财务</w:t>
      </w:r>
      <w:r>
        <w:rPr>
          <w:rFonts w:hint="eastAsia" w:eastAsia="仿宋_GB2312"/>
          <w:kern w:val="0"/>
          <w:sz w:val="32"/>
          <w:szCs w:val="32"/>
          <w:lang w:val="en-US" w:eastAsia="en-US"/>
        </w:rPr>
        <w:t>人事办公室。</w:t>
      </w:r>
    </w:p>
    <w:p>
      <w:pPr>
        <w:rPr>
          <w:rFonts w:hint="eastAsia" w:ascii="仿宋" w:hAnsi="仿宋" w:eastAsia="仿宋" w:cs="仿宋"/>
          <w:sz w:val="32"/>
          <w:szCs w:val="40"/>
        </w:rPr>
      </w:pPr>
      <w:r>
        <w:rPr>
          <w:rFonts w:hint="eastAsia" w:ascii="仿宋" w:hAnsi="仿宋" w:eastAsia="仿宋" w:cs="仿宋"/>
          <w:sz w:val="32"/>
          <w:szCs w:val="40"/>
          <w:lang w:val="en-US" w:eastAsia="zh-CN"/>
        </w:rPr>
        <w:t xml:space="preserve">  </w:t>
      </w:r>
      <w:r>
        <w:rPr>
          <w:rFonts w:hint="eastAsia" w:ascii="仿宋" w:hAnsi="仿宋" w:eastAsia="仿宋" w:cs="仿宋"/>
          <w:b/>
          <w:bCs/>
          <w:sz w:val="32"/>
          <w:szCs w:val="40"/>
          <w:lang w:val="en-US" w:eastAsia="zh-CN"/>
        </w:rPr>
        <w:t xml:space="preserve">  2、人员情况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我单位202</w:t>
      </w:r>
      <w:r>
        <w:rPr>
          <w:rFonts w:hint="eastAsia" w:eastAsia="仿宋_GB2312"/>
          <w:kern w:val="0"/>
          <w:sz w:val="32"/>
          <w:szCs w:val="32"/>
          <w:lang w:val="en-US" w:eastAsia="zh-CN"/>
        </w:rPr>
        <w:t>3</w:t>
      </w:r>
      <w:r>
        <w:rPr>
          <w:rFonts w:hint="eastAsia" w:eastAsia="仿宋_GB2312"/>
          <w:kern w:val="0"/>
          <w:sz w:val="32"/>
          <w:szCs w:val="32"/>
          <w:lang w:val="en-US" w:eastAsia="en-US"/>
        </w:rPr>
        <w:t>年人员编制4</w:t>
      </w:r>
      <w:r>
        <w:rPr>
          <w:rFonts w:hint="eastAsia" w:eastAsia="仿宋_GB2312"/>
          <w:kern w:val="0"/>
          <w:sz w:val="32"/>
          <w:szCs w:val="32"/>
          <w:lang w:val="en-US" w:eastAsia="zh-CN"/>
        </w:rPr>
        <w:t>8</w:t>
      </w:r>
      <w:r>
        <w:rPr>
          <w:rFonts w:hint="eastAsia" w:eastAsia="仿宋_GB2312"/>
          <w:kern w:val="0"/>
          <w:sz w:val="32"/>
          <w:szCs w:val="32"/>
          <w:lang w:val="en-US" w:eastAsia="en-US"/>
        </w:rPr>
        <w:t>名，其中部机关行政编制2</w:t>
      </w:r>
      <w:r>
        <w:rPr>
          <w:rFonts w:hint="eastAsia" w:eastAsia="仿宋_GB2312"/>
          <w:kern w:val="0"/>
          <w:sz w:val="32"/>
          <w:szCs w:val="32"/>
          <w:lang w:val="en-US" w:eastAsia="zh-CN"/>
        </w:rPr>
        <w:t>5</w:t>
      </w:r>
      <w:r>
        <w:rPr>
          <w:rFonts w:hint="eastAsia" w:eastAsia="仿宋_GB2312"/>
          <w:kern w:val="0"/>
          <w:sz w:val="32"/>
          <w:szCs w:val="32"/>
          <w:lang w:val="en-US" w:eastAsia="en-US"/>
        </w:rPr>
        <w:t>名，党员干部教育中心参公事业编制1</w:t>
      </w:r>
      <w:r>
        <w:rPr>
          <w:rFonts w:hint="eastAsia" w:eastAsia="仿宋_GB2312"/>
          <w:kern w:val="0"/>
          <w:sz w:val="32"/>
          <w:szCs w:val="32"/>
          <w:lang w:val="en-US" w:eastAsia="zh-CN"/>
        </w:rPr>
        <w:t>6</w:t>
      </w:r>
      <w:r>
        <w:rPr>
          <w:rFonts w:hint="eastAsia" w:eastAsia="仿宋_GB2312"/>
          <w:kern w:val="0"/>
          <w:sz w:val="32"/>
          <w:szCs w:val="32"/>
          <w:lang w:val="en-US" w:eastAsia="en-US"/>
        </w:rPr>
        <w:t>名，人才服务中心编制7名。202</w:t>
      </w:r>
      <w:r>
        <w:rPr>
          <w:rFonts w:hint="eastAsia" w:eastAsia="仿宋_GB2312"/>
          <w:kern w:val="0"/>
          <w:sz w:val="32"/>
          <w:szCs w:val="32"/>
          <w:lang w:val="en-US" w:eastAsia="zh-CN"/>
        </w:rPr>
        <w:t>3</w:t>
      </w:r>
      <w:r>
        <w:rPr>
          <w:rFonts w:hint="eastAsia" w:eastAsia="仿宋_GB2312"/>
          <w:kern w:val="0"/>
          <w:sz w:val="32"/>
          <w:szCs w:val="32"/>
          <w:lang w:val="en-US" w:eastAsia="en-US"/>
        </w:rPr>
        <w:t>年末在职</w:t>
      </w:r>
      <w:r>
        <w:rPr>
          <w:rFonts w:hint="eastAsia" w:eastAsia="仿宋_GB2312"/>
          <w:kern w:val="0"/>
          <w:sz w:val="32"/>
          <w:szCs w:val="32"/>
          <w:lang w:val="en-US" w:eastAsia="zh-CN"/>
        </w:rPr>
        <w:t>34</w:t>
      </w:r>
      <w:r>
        <w:rPr>
          <w:rFonts w:hint="eastAsia" w:eastAsia="仿宋_GB2312"/>
          <w:kern w:val="0"/>
          <w:sz w:val="32"/>
          <w:szCs w:val="32"/>
          <w:lang w:val="en-US" w:eastAsia="en-US"/>
        </w:rPr>
        <w:t>人，退休1</w:t>
      </w:r>
      <w:r>
        <w:rPr>
          <w:rFonts w:hint="eastAsia" w:eastAsia="仿宋_GB2312"/>
          <w:kern w:val="0"/>
          <w:sz w:val="32"/>
          <w:szCs w:val="32"/>
          <w:lang w:val="en-US" w:eastAsia="zh-CN"/>
        </w:rPr>
        <w:t>0</w:t>
      </w:r>
      <w:r>
        <w:rPr>
          <w:rFonts w:hint="eastAsia" w:eastAsia="仿宋_GB2312"/>
          <w:kern w:val="0"/>
          <w:sz w:val="32"/>
          <w:szCs w:val="32"/>
          <w:lang w:val="en-US" w:eastAsia="en-US"/>
        </w:rPr>
        <w:t>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lang w:val="en-US" w:eastAsia="zh-CN"/>
        </w:rPr>
        <w:t>财政拨款</w:t>
      </w:r>
      <w:r>
        <w:rPr>
          <w:rFonts w:hint="eastAsia" w:ascii="方正黑体_GBK" w:eastAsia="方正黑体_GBK"/>
          <w:kern w:val="0"/>
          <w:sz w:val="32"/>
          <w:szCs w:val="32"/>
          <w:lang w:eastAsia="zh-CN"/>
        </w:rPr>
        <w:t>支出情况</w:t>
      </w:r>
    </w:p>
    <w:p>
      <w:pPr>
        <w:ind w:firstLine="643" w:firstLineChars="200"/>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（一）基本支出情况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我部为保障单位机构运转、完成日常工作任务，202</w:t>
      </w:r>
      <w:r>
        <w:rPr>
          <w:rFonts w:hint="eastAsia" w:eastAsia="仿宋_GB2312"/>
          <w:kern w:val="0"/>
          <w:sz w:val="32"/>
          <w:szCs w:val="32"/>
          <w:lang w:val="en-US" w:eastAsia="zh-CN"/>
        </w:rPr>
        <w:t>3</w:t>
      </w:r>
      <w:r>
        <w:rPr>
          <w:rFonts w:hint="eastAsia" w:eastAsia="仿宋_GB2312"/>
          <w:kern w:val="0"/>
          <w:sz w:val="32"/>
          <w:szCs w:val="32"/>
          <w:lang w:val="en-US" w:eastAsia="en-US"/>
        </w:rPr>
        <w:t>年一般公共预算拨款基本支出决算</w:t>
      </w:r>
      <w:r>
        <w:rPr>
          <w:rFonts w:hint="eastAsia" w:eastAsia="仿宋_GB2312"/>
          <w:kern w:val="0"/>
          <w:sz w:val="32"/>
          <w:szCs w:val="32"/>
          <w:lang w:val="en-US" w:eastAsia="zh-CN"/>
        </w:rPr>
        <w:t>661</w:t>
      </w:r>
      <w:r>
        <w:rPr>
          <w:rFonts w:hint="eastAsia" w:eastAsia="仿宋_GB2312"/>
          <w:kern w:val="0"/>
          <w:sz w:val="32"/>
          <w:szCs w:val="32"/>
          <w:lang w:val="en-US" w:eastAsia="en-US"/>
        </w:rPr>
        <w:t>万元，主要是工资福利支出、商品和服务支出和对个人和家庭的补助支出。</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“三公”经费支出情况: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年度一般公共预算财政拨款“三公”经费年初预算为</w:t>
      </w:r>
      <w:r>
        <w:rPr>
          <w:rFonts w:hint="eastAsia" w:eastAsia="仿宋_GB2312"/>
          <w:kern w:val="0"/>
          <w:sz w:val="32"/>
          <w:szCs w:val="32"/>
          <w:lang w:val="en-US" w:eastAsia="zh-CN"/>
        </w:rPr>
        <w:t>7</w:t>
      </w:r>
      <w:r>
        <w:rPr>
          <w:rFonts w:hint="eastAsia" w:eastAsia="仿宋_GB2312"/>
          <w:kern w:val="0"/>
          <w:sz w:val="32"/>
          <w:szCs w:val="32"/>
          <w:lang w:val="en-US" w:eastAsia="en-US"/>
        </w:rPr>
        <w:t>万元，一般公共预算财政拨款“三公”经费支出决算为3.</w:t>
      </w:r>
      <w:r>
        <w:rPr>
          <w:rFonts w:hint="eastAsia" w:eastAsia="仿宋_GB2312"/>
          <w:kern w:val="0"/>
          <w:sz w:val="32"/>
          <w:szCs w:val="32"/>
          <w:lang w:val="en-US" w:eastAsia="zh-CN"/>
        </w:rPr>
        <w:t>39</w:t>
      </w:r>
      <w:r>
        <w:rPr>
          <w:rFonts w:hint="eastAsia" w:eastAsia="仿宋_GB2312"/>
          <w:kern w:val="0"/>
          <w:sz w:val="32"/>
          <w:szCs w:val="32"/>
          <w:lang w:val="en-US" w:eastAsia="en-US"/>
        </w:rPr>
        <w:t>万元。其中：因公出国（境）费用0万元；公务用车购置及运行维护费0万元；公务接待费支出3.</w:t>
      </w:r>
      <w:r>
        <w:rPr>
          <w:rFonts w:hint="eastAsia" w:eastAsia="仿宋_GB2312"/>
          <w:kern w:val="0"/>
          <w:sz w:val="32"/>
          <w:szCs w:val="32"/>
          <w:lang w:val="en-US" w:eastAsia="zh-CN"/>
        </w:rPr>
        <w:t>39</w:t>
      </w:r>
      <w:r>
        <w:rPr>
          <w:rFonts w:hint="eastAsia" w:eastAsia="仿宋_GB2312"/>
          <w:kern w:val="0"/>
          <w:sz w:val="32"/>
          <w:szCs w:val="32"/>
          <w:lang w:val="en-US" w:eastAsia="en-US"/>
        </w:rPr>
        <w:t>万元，比202</w:t>
      </w:r>
      <w:r>
        <w:rPr>
          <w:rFonts w:hint="eastAsia" w:eastAsia="仿宋_GB2312"/>
          <w:kern w:val="0"/>
          <w:sz w:val="32"/>
          <w:szCs w:val="32"/>
          <w:lang w:val="en-US" w:eastAsia="zh-CN"/>
        </w:rPr>
        <w:t>2</w:t>
      </w:r>
      <w:r>
        <w:rPr>
          <w:rFonts w:hint="eastAsia" w:eastAsia="仿宋_GB2312"/>
          <w:kern w:val="0"/>
          <w:sz w:val="32"/>
          <w:szCs w:val="32"/>
          <w:lang w:val="en-US" w:eastAsia="en-US"/>
        </w:rPr>
        <w:t>年公务接待费用减少了</w:t>
      </w:r>
      <w:r>
        <w:rPr>
          <w:rFonts w:hint="eastAsia" w:eastAsia="仿宋_GB2312"/>
          <w:kern w:val="0"/>
          <w:sz w:val="32"/>
          <w:szCs w:val="32"/>
          <w:lang w:val="en-US" w:eastAsia="zh-CN"/>
        </w:rPr>
        <w:t>24.11</w:t>
      </w:r>
      <w:r>
        <w:rPr>
          <w:rFonts w:hint="eastAsia" w:eastAsia="仿宋_GB2312"/>
          <w:kern w:val="0"/>
          <w:sz w:val="32"/>
          <w:szCs w:val="32"/>
          <w:lang w:val="en-US" w:eastAsia="en-US"/>
        </w:rPr>
        <w:t>万元。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2、公用经费支出情况：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（1）办公经费</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年度一般公共预算财政拨款年初预算为</w:t>
      </w:r>
      <w:r>
        <w:rPr>
          <w:rFonts w:hint="eastAsia" w:eastAsia="仿宋_GB2312"/>
          <w:kern w:val="0"/>
          <w:sz w:val="32"/>
          <w:szCs w:val="32"/>
          <w:lang w:val="en-US" w:eastAsia="zh-CN"/>
        </w:rPr>
        <w:t>4.55</w:t>
      </w:r>
      <w:r>
        <w:rPr>
          <w:rFonts w:hint="eastAsia" w:eastAsia="仿宋_GB2312"/>
          <w:kern w:val="0"/>
          <w:sz w:val="32"/>
          <w:szCs w:val="32"/>
          <w:lang w:val="en-US" w:eastAsia="en-US"/>
        </w:rPr>
        <w:t>万元，一般公共预算财政拨款经费支出决算为</w:t>
      </w:r>
      <w:r>
        <w:rPr>
          <w:rFonts w:hint="eastAsia" w:eastAsia="仿宋_GB2312"/>
          <w:kern w:val="0"/>
          <w:sz w:val="32"/>
          <w:szCs w:val="32"/>
          <w:lang w:val="en-US" w:eastAsia="zh-CN"/>
        </w:rPr>
        <w:t>22.1</w:t>
      </w:r>
      <w:r>
        <w:rPr>
          <w:rFonts w:hint="eastAsia" w:eastAsia="仿宋_GB2312"/>
          <w:kern w:val="0"/>
          <w:sz w:val="32"/>
          <w:szCs w:val="32"/>
          <w:lang w:val="en-US" w:eastAsia="en-US"/>
        </w:rPr>
        <w:t>万元</w:t>
      </w:r>
      <w:r>
        <w:rPr>
          <w:rFonts w:hint="eastAsia" w:eastAsia="仿宋_GB2312"/>
          <w:kern w:val="0"/>
          <w:sz w:val="32"/>
          <w:szCs w:val="32"/>
          <w:lang w:val="en-US" w:eastAsia="zh-CN"/>
        </w:rPr>
        <w:t>，因工作需要从其他公用经费指标中调剂使用</w:t>
      </w:r>
      <w:r>
        <w:rPr>
          <w:rFonts w:hint="eastAsia" w:eastAsia="仿宋_GB2312"/>
          <w:kern w:val="0"/>
          <w:sz w:val="32"/>
          <w:szCs w:val="32"/>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w:t>
      </w:r>
      <w:r>
        <w:rPr>
          <w:rFonts w:hint="default" w:eastAsia="仿宋_GB2312"/>
          <w:kern w:val="0"/>
          <w:sz w:val="32"/>
          <w:szCs w:val="32"/>
          <w:lang w:val="en-US" w:eastAsia="zh-CN"/>
        </w:rPr>
        <w:t>水费、电费、差旅费</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年度一般公共预算财政拨款年初预算为</w:t>
      </w:r>
      <w:r>
        <w:rPr>
          <w:rFonts w:hint="eastAsia" w:eastAsia="仿宋_GB2312"/>
          <w:kern w:val="0"/>
          <w:sz w:val="32"/>
          <w:szCs w:val="32"/>
          <w:lang w:val="en-US" w:eastAsia="zh-CN"/>
        </w:rPr>
        <w:t>15.75</w:t>
      </w:r>
      <w:r>
        <w:rPr>
          <w:rFonts w:hint="eastAsia" w:eastAsia="仿宋_GB2312"/>
          <w:kern w:val="0"/>
          <w:sz w:val="32"/>
          <w:szCs w:val="32"/>
          <w:lang w:val="en-US" w:eastAsia="en-US"/>
        </w:rPr>
        <w:t>万元，一般公共预算财政拨款经费支出决算为</w:t>
      </w:r>
      <w:r>
        <w:rPr>
          <w:rFonts w:hint="eastAsia" w:eastAsia="仿宋_GB2312"/>
          <w:kern w:val="0"/>
          <w:sz w:val="32"/>
          <w:szCs w:val="32"/>
          <w:lang w:val="en-US" w:eastAsia="zh-CN"/>
        </w:rPr>
        <w:t>12.1</w:t>
      </w:r>
      <w:r>
        <w:rPr>
          <w:rFonts w:hint="eastAsia" w:eastAsia="仿宋_GB2312"/>
          <w:kern w:val="0"/>
          <w:sz w:val="32"/>
          <w:szCs w:val="32"/>
          <w:lang w:val="en-US" w:eastAsia="en-US"/>
        </w:rPr>
        <w:t>万元</w:t>
      </w:r>
      <w:r>
        <w:rPr>
          <w:rFonts w:hint="eastAsia" w:eastAsia="仿宋_GB2312"/>
          <w:kern w:val="0"/>
          <w:sz w:val="32"/>
          <w:szCs w:val="32"/>
          <w:lang w:val="en-US" w:eastAsia="zh-CN"/>
        </w:rPr>
        <w:t>，剩余指标调剂到其他科目使用。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（3）</w:t>
      </w:r>
      <w:r>
        <w:rPr>
          <w:rFonts w:hint="default" w:eastAsia="仿宋_GB2312"/>
          <w:kern w:val="0"/>
          <w:sz w:val="32"/>
          <w:szCs w:val="32"/>
          <w:lang w:val="en-US" w:eastAsia="zh-CN"/>
        </w:rPr>
        <w:t>会议费、培训费</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年度一般公共预算财政拨款年初预算为</w:t>
      </w:r>
      <w:r>
        <w:rPr>
          <w:rFonts w:hint="eastAsia" w:eastAsia="仿宋_GB2312"/>
          <w:kern w:val="0"/>
          <w:sz w:val="32"/>
          <w:szCs w:val="32"/>
          <w:lang w:val="en-US" w:eastAsia="zh-CN"/>
        </w:rPr>
        <w:t>7</w:t>
      </w:r>
      <w:r>
        <w:rPr>
          <w:rFonts w:hint="eastAsia" w:eastAsia="仿宋_GB2312"/>
          <w:kern w:val="0"/>
          <w:sz w:val="32"/>
          <w:szCs w:val="32"/>
          <w:lang w:val="en-US" w:eastAsia="en-US"/>
        </w:rPr>
        <w:t>万元，一般公共预算财政拨款经费支出决算为</w:t>
      </w:r>
      <w:r>
        <w:rPr>
          <w:rFonts w:hint="eastAsia" w:eastAsia="仿宋_GB2312"/>
          <w:kern w:val="0"/>
          <w:sz w:val="32"/>
          <w:szCs w:val="32"/>
          <w:lang w:val="en-US" w:eastAsia="zh-CN"/>
        </w:rPr>
        <w:t>5.15</w:t>
      </w:r>
      <w:r>
        <w:rPr>
          <w:rFonts w:hint="eastAsia" w:eastAsia="仿宋_GB2312"/>
          <w:kern w:val="0"/>
          <w:sz w:val="32"/>
          <w:szCs w:val="32"/>
          <w:lang w:val="en-US" w:eastAsia="en-US"/>
        </w:rPr>
        <w:t>万元</w:t>
      </w:r>
      <w:r>
        <w:rPr>
          <w:rFonts w:hint="eastAsia" w:eastAsia="仿宋_GB2312"/>
          <w:kern w:val="0"/>
          <w:sz w:val="32"/>
          <w:szCs w:val="32"/>
          <w:lang w:val="en-US" w:eastAsia="zh-CN"/>
        </w:rPr>
        <w:t>，剩余指标调剂到其他科目使用。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（4）</w:t>
      </w:r>
      <w:r>
        <w:rPr>
          <w:rFonts w:hint="default" w:eastAsia="仿宋_GB2312"/>
          <w:kern w:val="0"/>
          <w:sz w:val="32"/>
          <w:szCs w:val="32"/>
          <w:lang w:val="en-US" w:eastAsia="zh-CN"/>
        </w:rPr>
        <w:t>政府采购金额</w:t>
      </w: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年度一般公共预算财政拨款年初预算为</w:t>
      </w:r>
      <w:r>
        <w:rPr>
          <w:rFonts w:hint="eastAsia" w:eastAsia="仿宋_GB2312"/>
          <w:kern w:val="0"/>
          <w:sz w:val="32"/>
          <w:szCs w:val="32"/>
          <w:lang w:val="en-US" w:eastAsia="zh-CN"/>
        </w:rPr>
        <w:t>200</w:t>
      </w:r>
      <w:r>
        <w:rPr>
          <w:rFonts w:hint="eastAsia" w:eastAsia="仿宋_GB2312"/>
          <w:kern w:val="0"/>
          <w:sz w:val="32"/>
          <w:szCs w:val="32"/>
          <w:lang w:val="en-US" w:eastAsia="en-US"/>
        </w:rPr>
        <w:t>万元，一般公共预算财政拨款经费支出决算为</w:t>
      </w:r>
      <w:r>
        <w:rPr>
          <w:rFonts w:hint="eastAsia" w:eastAsia="仿宋_GB2312"/>
          <w:kern w:val="0"/>
          <w:sz w:val="32"/>
          <w:szCs w:val="32"/>
          <w:lang w:val="en-US" w:eastAsia="zh-CN"/>
        </w:rPr>
        <w:t>148.74</w:t>
      </w:r>
      <w:r>
        <w:rPr>
          <w:rFonts w:hint="eastAsia" w:eastAsia="仿宋_GB2312"/>
          <w:kern w:val="0"/>
          <w:sz w:val="32"/>
          <w:szCs w:val="32"/>
          <w:lang w:val="en-US" w:eastAsia="en-US"/>
        </w:rPr>
        <w:t>万元</w:t>
      </w:r>
      <w:r>
        <w:rPr>
          <w:rFonts w:hint="eastAsia"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（二）专项支出基本情况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202</w:t>
      </w:r>
      <w:r>
        <w:rPr>
          <w:rFonts w:hint="eastAsia" w:eastAsia="仿宋_GB2312"/>
          <w:kern w:val="0"/>
          <w:sz w:val="32"/>
          <w:szCs w:val="32"/>
          <w:lang w:val="en-US" w:eastAsia="zh-CN"/>
        </w:rPr>
        <w:t>3</w:t>
      </w:r>
      <w:r>
        <w:rPr>
          <w:rFonts w:hint="eastAsia" w:eastAsia="仿宋_GB2312"/>
          <w:kern w:val="0"/>
          <w:sz w:val="32"/>
          <w:szCs w:val="32"/>
          <w:lang w:val="en-US" w:eastAsia="en-US"/>
        </w:rPr>
        <w:t>年市本级一般公共预算拨款项目支出预算</w:t>
      </w:r>
      <w:r>
        <w:rPr>
          <w:rFonts w:hint="eastAsia" w:eastAsia="仿宋_GB2312"/>
          <w:kern w:val="0"/>
          <w:sz w:val="32"/>
          <w:szCs w:val="32"/>
          <w:lang w:val="en-US" w:eastAsia="zh-CN"/>
        </w:rPr>
        <w:t>170.6</w:t>
      </w:r>
      <w:r>
        <w:rPr>
          <w:rFonts w:hint="eastAsia" w:eastAsia="仿宋_GB2312"/>
          <w:kern w:val="0"/>
          <w:sz w:val="32"/>
          <w:szCs w:val="32"/>
          <w:lang w:val="en-US" w:eastAsia="en-US"/>
        </w:rPr>
        <w:t>万元，其中英才计划</w:t>
      </w:r>
      <w:r>
        <w:rPr>
          <w:rFonts w:hint="eastAsia" w:eastAsia="仿宋_GB2312"/>
          <w:kern w:val="0"/>
          <w:sz w:val="32"/>
          <w:szCs w:val="32"/>
          <w:lang w:val="en-US" w:eastAsia="zh-CN"/>
        </w:rPr>
        <w:t>125</w:t>
      </w:r>
      <w:r>
        <w:rPr>
          <w:rFonts w:hint="eastAsia" w:eastAsia="仿宋_GB2312"/>
          <w:kern w:val="0"/>
          <w:sz w:val="32"/>
          <w:szCs w:val="32"/>
          <w:lang w:val="en-US" w:eastAsia="en-US"/>
        </w:rPr>
        <w:t>万</w:t>
      </w:r>
      <w:r>
        <w:rPr>
          <w:rFonts w:hint="eastAsia" w:eastAsia="仿宋_GB2312"/>
          <w:kern w:val="0"/>
          <w:sz w:val="32"/>
          <w:szCs w:val="32"/>
          <w:lang w:val="en-US" w:eastAsia="zh-CN"/>
        </w:rPr>
        <w:t>元</w:t>
      </w:r>
      <w:r>
        <w:rPr>
          <w:rFonts w:hint="eastAsia" w:eastAsia="仿宋_GB2312"/>
          <w:kern w:val="0"/>
          <w:sz w:val="32"/>
          <w:szCs w:val="32"/>
          <w:lang w:val="en-US" w:eastAsia="en-US"/>
        </w:rPr>
        <w:t>，干部考察考核</w:t>
      </w:r>
      <w:r>
        <w:rPr>
          <w:rFonts w:hint="eastAsia" w:eastAsia="仿宋_GB2312"/>
          <w:kern w:val="0"/>
          <w:sz w:val="32"/>
          <w:szCs w:val="32"/>
          <w:lang w:val="en-US" w:eastAsia="zh-CN"/>
        </w:rPr>
        <w:t>7万元，选调生工作1万元，公务员管理专项10万元，干部人事档案管理2万元，档案清淤1万元，一门式全覆盖标准化建设5万元，建国初期地下党员费用补助1万元，省级劳模津贴1万元，“七一”表彰奖励0.6万元，市直机关工委工作1万元，基层办工作1万元，两新办工作经费2万元，</w:t>
      </w:r>
      <w:r>
        <w:rPr>
          <w:rFonts w:hint="eastAsia" w:eastAsia="仿宋_GB2312"/>
          <w:kern w:val="0"/>
          <w:sz w:val="32"/>
          <w:szCs w:val="32"/>
          <w:lang w:val="en-US" w:eastAsia="en-US"/>
        </w:rPr>
        <w:t>党员教育中心工作13万</w:t>
      </w:r>
      <w:r>
        <w:rPr>
          <w:rFonts w:hint="eastAsia" w:eastAsia="仿宋_GB2312"/>
          <w:kern w:val="0"/>
          <w:sz w:val="32"/>
          <w:szCs w:val="32"/>
          <w:lang w:val="en-US" w:eastAsia="zh-CN"/>
        </w:rPr>
        <w:t>元</w:t>
      </w:r>
      <w:r>
        <w:rPr>
          <w:rFonts w:hint="eastAsia" w:eastAsia="仿宋_GB2312"/>
          <w:kern w:val="0"/>
          <w:sz w:val="32"/>
          <w:szCs w:val="32"/>
          <w:lang w:val="en-US" w:eastAsia="en-US"/>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我部20</w:t>
      </w:r>
      <w:r>
        <w:rPr>
          <w:rFonts w:hint="eastAsia" w:eastAsia="仿宋_GB2312"/>
          <w:kern w:val="0"/>
          <w:sz w:val="32"/>
          <w:szCs w:val="32"/>
          <w:lang w:val="en-US" w:eastAsia="zh-CN"/>
        </w:rPr>
        <w:t>23</w:t>
      </w:r>
      <w:r>
        <w:rPr>
          <w:rFonts w:hint="eastAsia" w:eastAsia="仿宋_GB2312"/>
          <w:kern w:val="0"/>
          <w:sz w:val="32"/>
          <w:szCs w:val="32"/>
          <w:lang w:val="en-US" w:eastAsia="en-US"/>
        </w:rPr>
        <w:t>年项目支出共计</w:t>
      </w:r>
      <w:r>
        <w:rPr>
          <w:rFonts w:hint="eastAsia" w:eastAsia="仿宋_GB2312"/>
          <w:kern w:val="0"/>
          <w:sz w:val="32"/>
          <w:szCs w:val="32"/>
          <w:lang w:val="en-US" w:eastAsia="zh-CN"/>
        </w:rPr>
        <w:t>164.9</w:t>
      </w:r>
      <w:r>
        <w:rPr>
          <w:rFonts w:hint="eastAsia" w:eastAsia="仿宋_GB2312"/>
          <w:kern w:val="0"/>
          <w:sz w:val="32"/>
          <w:szCs w:val="32"/>
          <w:lang w:val="en-US" w:eastAsia="en-US"/>
        </w:rPr>
        <w:t>万元（</w:t>
      </w:r>
      <w:r>
        <w:rPr>
          <w:rFonts w:hint="eastAsia" w:eastAsia="仿宋_GB2312"/>
          <w:kern w:val="0"/>
          <w:sz w:val="32"/>
          <w:szCs w:val="32"/>
          <w:lang w:val="en-US" w:eastAsia="zh-CN"/>
        </w:rPr>
        <w:t>不</w:t>
      </w:r>
      <w:r>
        <w:rPr>
          <w:rFonts w:hint="eastAsia" w:eastAsia="仿宋_GB2312"/>
          <w:kern w:val="0"/>
          <w:sz w:val="32"/>
          <w:szCs w:val="32"/>
          <w:lang w:val="en-US" w:eastAsia="en-US"/>
        </w:rPr>
        <w:t>含上级专项资金</w:t>
      </w:r>
      <w:r>
        <w:rPr>
          <w:rFonts w:hint="eastAsia" w:eastAsia="仿宋_GB2312"/>
          <w:kern w:val="0"/>
          <w:sz w:val="32"/>
          <w:szCs w:val="32"/>
          <w:lang w:val="en-US" w:eastAsia="zh-CN"/>
        </w:rPr>
        <w:t>和预算追加调整资金</w:t>
      </w:r>
      <w:r>
        <w:rPr>
          <w:rFonts w:hint="eastAsia" w:eastAsia="仿宋_GB2312"/>
          <w:kern w:val="0"/>
          <w:sz w:val="32"/>
          <w:szCs w:val="32"/>
          <w:lang w:val="en-US" w:eastAsia="en-US"/>
        </w:rPr>
        <w:t>），</w:t>
      </w:r>
      <w:r>
        <w:rPr>
          <w:rFonts w:hint="eastAsia" w:eastAsia="仿宋_GB2312"/>
          <w:kern w:val="0"/>
          <w:sz w:val="32"/>
          <w:szCs w:val="32"/>
          <w:lang w:val="en-US" w:eastAsia="zh-CN"/>
        </w:rPr>
        <w:t>除英才计划剩余5.1万元外，其他</w:t>
      </w:r>
      <w:r>
        <w:rPr>
          <w:rFonts w:hint="eastAsia" w:eastAsia="仿宋_GB2312"/>
          <w:kern w:val="0"/>
          <w:sz w:val="32"/>
          <w:szCs w:val="32"/>
          <w:lang w:val="en-US" w:eastAsia="en-US"/>
        </w:rPr>
        <w:t>专项工作均</w:t>
      </w:r>
      <w:r>
        <w:rPr>
          <w:rFonts w:hint="eastAsia" w:eastAsia="仿宋_GB2312"/>
          <w:kern w:val="0"/>
          <w:sz w:val="32"/>
          <w:szCs w:val="32"/>
          <w:lang w:val="en-US" w:eastAsia="zh-CN"/>
        </w:rPr>
        <w:t>按照绩效目标</w:t>
      </w:r>
      <w:r>
        <w:rPr>
          <w:rFonts w:hint="eastAsia" w:eastAsia="仿宋_GB2312"/>
          <w:kern w:val="0"/>
          <w:sz w:val="32"/>
          <w:szCs w:val="32"/>
          <w:lang w:val="en-US" w:eastAsia="en-US"/>
        </w:rPr>
        <w:t>完成资金使用。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p>
    <w:p>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rPr>
        <w:t>三、</w:t>
      </w:r>
      <w:r>
        <w:rPr>
          <w:rFonts w:hint="eastAsia" w:ascii="黑体" w:hAnsi="黑体" w:eastAsia="黑体" w:cs="黑体"/>
          <w:sz w:val="32"/>
          <w:szCs w:val="40"/>
          <w:lang w:eastAsia="zh-CN"/>
        </w:rPr>
        <w:t>政府性基金预算</w:t>
      </w:r>
      <w:r>
        <w:rPr>
          <w:rFonts w:hint="eastAsia" w:ascii="方正黑体_GBK" w:eastAsia="方正黑体_GBK"/>
          <w:kern w:val="0"/>
          <w:sz w:val="32"/>
          <w:szCs w:val="32"/>
          <w:lang w:val="en-US" w:eastAsia="zh-CN"/>
        </w:rPr>
        <w:t>财政拨款</w:t>
      </w:r>
      <w:r>
        <w:rPr>
          <w:rFonts w:hint="eastAsia" w:ascii="黑体" w:hAnsi="黑体" w:eastAsia="黑体" w:cs="黑体"/>
          <w:sz w:val="32"/>
          <w:szCs w:val="40"/>
          <w:lang w:eastAsia="zh-CN"/>
        </w:rPr>
        <w:t>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四、国有资本经营预算</w:t>
      </w:r>
      <w:r>
        <w:rPr>
          <w:rFonts w:hint="eastAsia" w:ascii="方正黑体_GBK" w:eastAsia="方正黑体_GBK"/>
          <w:kern w:val="0"/>
          <w:sz w:val="32"/>
          <w:szCs w:val="32"/>
          <w:lang w:val="en-US" w:eastAsia="zh-CN"/>
        </w:rPr>
        <w:t>财政拨款</w:t>
      </w:r>
      <w:r>
        <w:rPr>
          <w:rFonts w:hint="eastAsia" w:ascii="黑体" w:hAnsi="黑体" w:eastAsia="黑体" w:cs="黑体"/>
          <w:sz w:val="32"/>
          <w:szCs w:val="40"/>
          <w:lang w:val="en-US" w:eastAsia="zh-CN"/>
        </w:rPr>
        <w:t>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五、社会保险基金预算</w:t>
      </w:r>
      <w:bookmarkStart w:id="0" w:name="_GoBack"/>
      <w:bookmarkEnd w:id="0"/>
      <w:r>
        <w:rPr>
          <w:rFonts w:hint="eastAsia" w:ascii="黑体" w:hAnsi="黑体" w:eastAsia="黑体" w:cs="黑体"/>
          <w:sz w:val="32"/>
          <w:szCs w:val="40"/>
          <w:lang w:val="en-US" w:eastAsia="zh-CN"/>
        </w:rPr>
        <w:t>支出情况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pPr>
        <w:ind w:firstLine="640" w:firstLineChars="200"/>
        <w:rPr>
          <w:rFonts w:hint="eastAsia" w:ascii="黑体" w:hAnsi="黑体" w:eastAsia="黑体" w:cs="黑体"/>
          <w:sz w:val="32"/>
          <w:szCs w:val="40"/>
          <w:lang w:val="en-US" w:eastAsia="zh-CN"/>
        </w:rPr>
      </w:pPr>
    </w:p>
    <w:p>
      <w:pPr>
        <w:ind w:firstLine="640" w:firstLineChars="200"/>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六、部门整体支出绩效情况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 w:eastAsia="zh-CN"/>
        </w:rPr>
      </w:pPr>
      <w:r>
        <w:rPr>
          <w:rFonts w:hint="eastAsia" w:eastAsia="仿宋_GB2312"/>
          <w:kern w:val="0"/>
          <w:sz w:val="32"/>
          <w:szCs w:val="32"/>
          <w:lang w:val="en-US" w:eastAsia="zh-CN"/>
        </w:rPr>
        <w:t>2023年</w:t>
      </w:r>
      <w:r>
        <w:rPr>
          <w:rFonts w:hint="eastAsia" w:eastAsia="仿宋_GB2312"/>
          <w:kern w:val="0"/>
          <w:sz w:val="32"/>
          <w:szCs w:val="32"/>
          <w:lang w:val="en" w:eastAsia="zh-CN"/>
        </w:rPr>
        <w:t>，全市组织系统坚持以习近平新时代中国特色社会主义思想为指导，深入贯彻新时代党的建设总要求和新时代党的组织路线，始终牢记嘱托、感恩奋进，始终围绕中心、服务大局，始终忠诚履职、担当尽责，为推动振兴发展提供了坚强组织保证，凝聚起振兴发展的磅礴力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 w:eastAsia="zh-CN"/>
        </w:rPr>
      </w:pPr>
      <w:r>
        <w:rPr>
          <w:rFonts w:hint="eastAsia" w:eastAsia="仿宋_GB2312"/>
          <w:kern w:val="0"/>
          <w:sz w:val="32"/>
          <w:szCs w:val="32"/>
          <w:lang w:val="en" w:eastAsia="zh-CN"/>
        </w:rPr>
        <w:t>作为行政机关单位，负担的运行成本主要为人员工资福利支出、商品服务支出和因工作任务需要担负的项目支出经费。</w:t>
      </w:r>
      <w:r>
        <w:rPr>
          <w:rFonts w:hint="eastAsia" w:eastAsia="仿宋_GB2312"/>
          <w:kern w:val="0"/>
          <w:sz w:val="32"/>
          <w:szCs w:val="32"/>
          <w:lang w:val="en-US" w:eastAsia="zh-CN"/>
        </w:rPr>
        <w:t>2023年一般公共预算财政拨款</w:t>
      </w:r>
      <w:r>
        <w:rPr>
          <w:rFonts w:hint="eastAsia" w:eastAsia="仿宋_GB2312"/>
          <w:kern w:val="0"/>
          <w:sz w:val="32"/>
          <w:szCs w:val="32"/>
          <w:lang w:val="en" w:eastAsia="zh-CN"/>
        </w:rPr>
        <w:t>基本支出481.27万元，决算支出</w:t>
      </w:r>
      <w:r>
        <w:rPr>
          <w:rFonts w:hint="eastAsia" w:eastAsia="仿宋_GB2312"/>
          <w:kern w:val="0"/>
          <w:sz w:val="32"/>
          <w:szCs w:val="32"/>
          <w:lang w:val="en-US" w:eastAsia="zh-CN"/>
        </w:rPr>
        <w:t>661</w:t>
      </w:r>
      <w:r>
        <w:rPr>
          <w:rFonts w:hint="eastAsia" w:eastAsia="仿宋_GB2312"/>
          <w:kern w:val="0"/>
          <w:sz w:val="32"/>
          <w:szCs w:val="32"/>
          <w:lang w:val="en" w:eastAsia="zh-CN"/>
        </w:rPr>
        <w:t>万元，</w:t>
      </w:r>
      <w:r>
        <w:rPr>
          <w:rFonts w:hint="eastAsia" w:eastAsia="仿宋_GB2312"/>
          <w:kern w:val="0"/>
          <w:sz w:val="32"/>
          <w:szCs w:val="32"/>
          <w:lang w:val="en-US" w:eastAsia="zh-CN"/>
        </w:rPr>
        <w:t>预算</w:t>
      </w:r>
      <w:r>
        <w:rPr>
          <w:rFonts w:hint="eastAsia" w:eastAsia="仿宋_GB2312"/>
          <w:kern w:val="0"/>
          <w:sz w:val="32"/>
          <w:szCs w:val="32"/>
          <w:lang w:val="en" w:eastAsia="zh-CN"/>
        </w:rPr>
        <w:t>项目支出170.6万元（不包含后期追加），决算支出</w:t>
      </w:r>
      <w:r>
        <w:rPr>
          <w:rFonts w:hint="eastAsia" w:eastAsia="仿宋_GB2312"/>
          <w:kern w:val="0"/>
          <w:sz w:val="32"/>
          <w:szCs w:val="32"/>
          <w:lang w:val="en-US" w:eastAsia="zh-CN"/>
        </w:rPr>
        <w:t>164.9</w:t>
      </w:r>
      <w:r>
        <w:rPr>
          <w:rFonts w:hint="eastAsia" w:eastAsia="仿宋_GB2312"/>
          <w:kern w:val="0"/>
          <w:sz w:val="32"/>
          <w:szCs w:val="32"/>
          <w:lang w:val="en" w:eastAsia="zh-CN"/>
        </w:rPr>
        <w:t>万元（不包含因工作需要后期调整追加的专项经费）。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开展走困难户问需求、走专业户问痛点、走信访户问实情的“三走三问”活动，44名县处级干部开展调研557次、深入基层单位418个、座谈访谈1709人次。组织全市179名村（社区）党组织书记举办“新春第一课”，出台集体经济强村计划，成功创建岳阳市乡村振兴示范基地7个。全面清理公职人员因私出国（境）及证件管理情况，对违反规定的3人启动问责，1人移交纪委监委调查处理。利用巡视巡察契机，督促91家单位对档案进行查缺补缺，针对“三龄两历”出具信息认定表2158份，在系统中录入和更新在库档案2641本，确保干部档案的完整、准确和权威。先后参加南华大学专场、湖南工学院、湖南师范大学、湖南吉首大学、湖南理工学院等现场招聘活动，报名人数达200多人，达成意向10人；今年“四海揽才”引进33人，其中全日制研究生15人、“双一流”大学本科毕业生3人、重点本科毕业生15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 w:eastAsia="zh-CN"/>
        </w:rPr>
        <w:t>整体上，预算资金管理使用良好，有效提升了加强党建引领、制定人才政策、强化干部队伍、完善工作制度、规范内部管理等工作实效；有效提升了持续抓好党建对各项工作的引领作用和持续增强组织对干部和人才等工作的引领作用；有效提升了为生态文化活力汨罗建设的增强续航能力。</w:t>
      </w:r>
      <w:r>
        <w:rPr>
          <w:rFonts w:hint="default" w:eastAsia="仿宋_GB2312"/>
          <w:kern w:val="0"/>
          <w:sz w:val="32"/>
          <w:szCs w:val="32"/>
          <w:lang w:val="en-US" w:eastAsia="zh-CN"/>
        </w:rPr>
        <w:t>服务对象满意度</w:t>
      </w:r>
      <w:r>
        <w:rPr>
          <w:rFonts w:hint="eastAsia" w:eastAsia="仿宋_GB2312"/>
          <w:kern w:val="0"/>
          <w:sz w:val="32"/>
          <w:szCs w:val="32"/>
          <w:lang w:val="en-US" w:eastAsia="zh-CN"/>
        </w:rPr>
        <w:t>为95%，较好地完成了年初整体支出绩效目标。</w:t>
      </w:r>
    </w:p>
    <w:p>
      <w:pPr>
        <w:ind w:firstLine="640" w:firstLineChars="200"/>
        <w:rPr>
          <w:rFonts w:hint="eastAsia" w:ascii="黑体" w:hAnsi="黑体" w:eastAsia="黑体" w:cs="黑体"/>
          <w:sz w:val="32"/>
          <w:szCs w:val="40"/>
          <w:lang w:eastAsia="zh-CN"/>
        </w:rPr>
      </w:pPr>
    </w:p>
    <w:p>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七</w:t>
      </w:r>
      <w:r>
        <w:rPr>
          <w:rFonts w:hint="eastAsia" w:ascii="黑体" w:hAnsi="黑体" w:eastAsia="黑体" w:cs="黑体"/>
          <w:sz w:val="32"/>
          <w:szCs w:val="40"/>
        </w:rPr>
        <w:t>、存在的问题</w:t>
      </w:r>
      <w:r>
        <w:rPr>
          <w:rFonts w:hint="eastAsia" w:ascii="黑体" w:hAnsi="黑体" w:eastAsia="黑体" w:cs="黑体"/>
          <w:sz w:val="32"/>
          <w:szCs w:val="40"/>
          <w:lang w:eastAsia="zh-CN"/>
        </w:rPr>
        <w:t>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1、部门单位内各科室预算管理意识不强，因担任工作需要负担的运行成本无法精准测算。</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2、资产管理需要进一步精细化管理，加强新购、使用、调整、报废处置等流程的报批管控程序。</w:t>
      </w:r>
    </w:p>
    <w:p>
      <w:pPr>
        <w:ind w:firstLine="640" w:firstLineChars="200"/>
        <w:rPr>
          <w:rFonts w:hint="eastAsia" w:ascii="黑体" w:hAnsi="黑体" w:eastAsia="黑体" w:cs="黑体"/>
          <w:sz w:val="32"/>
          <w:szCs w:val="40"/>
          <w:lang w:eastAsia="zh-CN"/>
        </w:rPr>
      </w:pPr>
    </w:p>
    <w:p>
      <w:pPr>
        <w:ind w:firstLine="640" w:firstLineChars="200"/>
        <w:rPr>
          <w:rFonts w:hint="eastAsia" w:ascii="黑体" w:hAnsi="黑体" w:eastAsia="黑体" w:cs="黑体"/>
          <w:sz w:val="32"/>
          <w:szCs w:val="40"/>
        </w:rPr>
      </w:pPr>
      <w:r>
        <w:rPr>
          <w:rFonts w:hint="eastAsia" w:ascii="黑体" w:hAnsi="黑体" w:eastAsia="黑体" w:cs="黑体"/>
          <w:sz w:val="32"/>
          <w:szCs w:val="40"/>
          <w:lang w:eastAsia="zh-CN"/>
        </w:rPr>
        <w:t>八</w:t>
      </w:r>
      <w:r>
        <w:rPr>
          <w:rFonts w:hint="eastAsia" w:ascii="黑体" w:hAnsi="黑体" w:eastAsia="黑体" w:cs="黑体"/>
          <w:sz w:val="32"/>
          <w:szCs w:val="40"/>
        </w:rPr>
        <w:t>、改进措施和有关建议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1、细化预算编制工作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进一步加强部内机构各科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2、加强预算执行管理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遵循预算管理办法，制定和完善基本支出、项目支出等各项支出标准，严格按项目和进度执行预算，增强预算的约束力和严肃性。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推行重大事项部务会集体研究制度，财务支出部务会公开制度，落实预算执行分析，及时了解预算执行差异，合理调整、纠正预算执行偏差，切实提高部门预算收支管理水平。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eastAsia="仿宋_GB2312"/>
          <w:b/>
          <w:bCs/>
          <w:kern w:val="0"/>
          <w:sz w:val="32"/>
          <w:szCs w:val="32"/>
          <w:lang w:val="en-US" w:eastAsia="zh-CN"/>
        </w:rPr>
      </w:pPr>
      <w:r>
        <w:rPr>
          <w:rFonts w:hint="eastAsia" w:eastAsia="仿宋_GB2312"/>
          <w:b/>
          <w:bCs/>
          <w:kern w:val="0"/>
          <w:sz w:val="32"/>
          <w:szCs w:val="32"/>
          <w:lang w:val="en-US" w:eastAsia="zh-CN"/>
        </w:rPr>
        <w:t>3、完善管理制度，进一步加强资产管理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ind w:firstLine="640" w:firstLineChars="200"/>
        <w:rPr>
          <w:rFonts w:hint="eastAsia" w:ascii="黑体" w:hAnsi="黑体" w:eastAsia="黑体" w:cs="黑体"/>
          <w:sz w:val="32"/>
          <w:szCs w:val="40"/>
          <w:lang w:eastAsia="zh-CN"/>
        </w:rPr>
      </w:pPr>
    </w:p>
    <w:p>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九、部门整体支出绩效自评结果拟应用和公开情况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en-US"/>
        </w:rPr>
        <w:t>绩效自评结果优，按规定公开</w:t>
      </w:r>
      <w:r>
        <w:rPr>
          <w:rFonts w:hint="eastAsia" w:eastAsia="仿宋_GB2312"/>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p>
    <w:p>
      <w:pPr>
        <w:ind w:firstLine="640" w:firstLineChars="200"/>
        <w:rPr>
          <w:rFonts w:hint="eastAsia" w:ascii="黑体" w:hAnsi="黑体" w:eastAsia="黑体" w:cs="黑体"/>
          <w:sz w:val="32"/>
          <w:szCs w:val="40"/>
          <w:lang w:eastAsia="zh-CN"/>
        </w:rPr>
      </w:pPr>
      <w:r>
        <w:rPr>
          <w:rFonts w:hint="eastAsia" w:ascii="黑体" w:hAnsi="黑体" w:eastAsia="黑体" w:cs="黑体"/>
          <w:sz w:val="32"/>
          <w:szCs w:val="40"/>
          <w:lang w:eastAsia="zh-CN"/>
        </w:rPr>
        <w:t>十、其他需要说明的情况</w:t>
      </w:r>
    </w:p>
    <w:p>
      <w:pPr>
        <w:ind w:firstLine="640" w:firstLineChars="200"/>
        <w:rPr>
          <w:rFonts w:hint="eastAsia" w:ascii="仿宋" w:hAnsi="仿宋" w:eastAsia="仿宋" w:cs="仿宋"/>
          <w:sz w:val="32"/>
          <w:szCs w:val="40"/>
        </w:rPr>
      </w:pPr>
      <w:r>
        <w:rPr>
          <w:rFonts w:hint="eastAsia" w:eastAsia="仿宋_GB2312"/>
          <w:kern w:val="0"/>
          <w:sz w:val="32"/>
          <w:szCs w:val="32"/>
          <w:lang w:val="en-US" w:eastAsia="zh-CN"/>
        </w:rPr>
        <w:t>无</w:t>
      </w:r>
      <w:r>
        <w:rPr>
          <w:rFonts w:hint="eastAsia" w:eastAsia="仿宋_GB2312"/>
          <w:kern w:val="0"/>
          <w:sz w:val="32"/>
          <w:szCs w:val="32"/>
          <w:lang w:val="en-US" w:eastAsia="en-US"/>
        </w:rPr>
        <w:t xml:space="preserve">   </w:t>
      </w:r>
      <w:r>
        <w:rPr>
          <w:rFonts w:hint="eastAsia" w:ascii="仿宋" w:hAnsi="仿宋" w:eastAsia="仿宋" w:cs="仿宋"/>
          <w:sz w:val="32"/>
          <w:szCs w:val="40"/>
        </w:rPr>
        <w:t xml:space="preserve"> </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英才计划</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firstLine="904" w:firstLineChars="4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中共汨罗市委组织部</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委、市政府高度重视人才工作，坚持以习近平总书记关于人才工作一系列重要讲话精神为指导，大力实施人才强市战略，紧扣创新驱动引才聚才，改革体制机制选才育才，优化政策环境用才留才，打造了群英荟萃的人才发展新高地，为谱写汨罗高质量发展新篇章提供了坚强的人才保证和智力支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1、资金到位情况：英才计划项目经费年初预算为125万元，到账资103.7万元，实际支付103.7万元。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2、项目资金执行情况：根据实际工作情况，英才计划共支出103.7万元，此笔专项主要用于支付开展人才工作所需的办公经费和发放人才补贴。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该项目年度总体目标为深入推进人才强市战略，充分发挥人才在新时代汨罗高质量发展中的支撑引领作用。实际完成100%。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指标：年度指标值为评选各类优秀人才≥2次，实际完成100%。校园直招招聘≥2次，实际完成50%，完成一次招聘。农村实用人才培训≥2次，实际完成100%。企业人才培训≥3次，实际完成80%。长沙、岳阳招聘会≥2次，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2、产出质量指标：年度指标值为录取优质人才。实际完成100%。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3、产出时效指标：年度指标值为各项工作完成时间2023.1.1-2023.12.31 。实际完成100%。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4、经济效益指标：年度指标值为反向促进经济发展。实际完成为间接效益。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5、社会效益指标：年度指标值为提高整体城市形象，对外留下良好印象，实际完成有效提升。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6、可持续影响指标：年度指标值为提高我市人才储备。实际完成有效助力。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部机关绩效自评工作小组于2024年4月30日到5月15日对英才计划项目经费使用情况进行了认真审核，对相关情况进行了认真地汇总分析，按照《汨罗市项目支出绩效评价指标体系》提出的各项指标，进行了打分，严格绩效自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综合分析，英才计划项目经费的使用符合使用规定，积极开展人才活动月“五个一”活动，进一步营造“尊重人才、尊重劳动、尊重知识、尊重创造”的浓厚氛围。利用法定节假日在城区主干道门面、“三站一场”等场所的大型电子显示屏滚动播放人才政策和典型事迹，在政策留人、事业留人的同时做到情感留人，努力营造拴心留人的软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ascii="Arial" w:hAnsi="Arial" w:eastAsia="仿宋_GB2312" w:cs="Arial"/>
          <w:snapToGrid w:val="0"/>
          <w:color w:val="000000"/>
          <w:kern w:val="0"/>
          <w:sz w:val="32"/>
          <w:szCs w:val="32"/>
          <w:lang w:val="en-US" w:eastAsia="zh-CN" w:bidi="ar-SA"/>
        </w:rPr>
        <w:t>绩效评价自评小组根据绩效评价方案，自评得分93.</w:t>
      </w:r>
      <w:r>
        <w:rPr>
          <w:rFonts w:hint="eastAsia"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分。考评结果为优秀。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我部英才计划项目经费的使用按照部机关财务管理制度有关规定执行，在使用时注重实效，坚持5人会审制度，相关人才工作补贴发放由部务会共同研究决定。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开展第二届“罗城英才”、“乡村振兴带头人”项目选拔，对选拔出的优秀人才进行公示，由部务会共同研究决定发放人才补贴。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产出数量指标：年度指标值为评选各类优秀人才≥2次，实际完成100%。校园直招招聘≥2次，实际完成50%，完成一次招聘。农村实用人才培训≥2次，实际完成100%。企业人才培训≥3次，实际完成80%。长沙、岳阳招聘会≥2次，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2、产出质量指标：年度指标值为录取优质人才。实际完成100%。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3、产出时效指标：年度指标值为各项工作完成时间2023.1.1-2023.12.31 。实际完成100%。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1、经济效益指标：年度指标值为反向促进经济发展。实际完成为间接效益。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2、社会效益指标：年度指标值为提高整体城市形象，对外留下良好印象，实际完成有效提升。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3、可持续影响指标：年度指标值为提高我市人才储备。实际完成有效助力。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领导重视，周密部署、精心组织，有序推进，坚持党风廉政建设各项规定与人才发展专项管理相结合，坚持把依法办事、依照程序抓好项目落地，保证项目资金支出合法合规。</w:t>
      </w:r>
      <w:r>
        <w:rPr>
          <w:rFonts w:hint="eastAsia" w:eastAsia="仿宋_GB2312" w:cs="Arial"/>
          <w:snapToGrid w:val="0"/>
          <w:color w:val="000000"/>
          <w:kern w:val="0"/>
          <w:sz w:val="32"/>
          <w:szCs w:val="32"/>
          <w:lang w:val="en-US" w:eastAsia="zh-CN" w:bidi="ar-SA"/>
        </w:rPr>
        <w:t>主要问题及原因：未使用的项目经费结转下年是因为当年仍有部分人才工作补贴未发放，结转下年发放。</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党员教育中心</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firstLine="904" w:firstLineChars="40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中共汨罗市委组织部</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年</w:t>
      </w:r>
      <w:r>
        <w:rPr>
          <w:rFonts w:hint="eastAsia"/>
          <w:spacing w:val="-13"/>
          <w:position w:val="26"/>
          <w:sz w:val="27"/>
          <w:szCs w:val="27"/>
          <w:lang w:val="en-US" w:eastAsia="zh-CN"/>
        </w:rPr>
        <w:t xml:space="preserve"> 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一、项目支出基本情况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该笔项目经费主要用于开展党员教育中心工作，做好党员教育管理、党代表联络、“农民大学生”培养等工作。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1、资金到位情况：党员教育中心工作项目经费年初预算为13万元，到账资13万元，实际支付13万元。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2、项目资金执行情况：根据实际工作情况，党员教育中心工作共支出13万元，此笔专项主要用于开展党员教育中心工作。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该项目年度总体目标为开展好党员教育中心工作。实际完成100%。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1、产出数量指标：年度指标值为党代表联络≥10次，实际完成100%。“农民大学生”培养≥5次，实际完成100%。开展党员教育培训≥2次，实际完成100%。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2、产出质量指标：年度指标值为提高党员素质，实际完成有效助力。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3、产出时效指标：年度指标值为各项工作完成时间2023.1.1-2023.12.31 。实际完成100%。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4、经济效益指标：年度指标值为反向促进经济发展。实际完成为间接效益。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5、社会效益指标：年度指标值为提高整体城市形象，对外留下良好印象，实际完成有效提升。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部机关绩效自评工作小组于2024年4月30日到5月15日对党员教育中心工作项目经费使用情况进行了认真审核，对相关情况进行了认真地汇总分析，按照《汨罗市项目支出绩效评价指标体系》提出的各项指标，进行了打分，严格绩效自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三、项目支出主要绩效及评价结论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综合分析，党员教育中心工作项目经费的使用符合使用规定，各项指标任务完成情况较为理想，基本达到了年初设定的各项绩效目标。本年度支出的所有资金均由国库集中支付，支出符合国家财经法规和部机关财务管理制度规定以及有关专项资金管理办法的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绩效评价自评小组根据绩效评价方案，自评得分98分。考评结果为优秀。</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四、绩效评价指标分析</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我部党员教育中心工作项目经费的使用按照部机关财务管理制度有关规定执行，在使用时注重实效，坚持5人会审制度，支出符合国家财经法规和部机关财务管理制度规定以及有关专项资金管理办法的规定。</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本年度支出的所有资金均由国库集中支付，支出符合国家财经法规和部机关财务管理制度规定以及有关专项资金管理办法的规定。</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1、产出数量指标：年度指标值为党代表联络≥10次，实际完成100%。“农民大学生”培养≥5次，实际完成100%。开展党员教育培训≥2次，实际完成100%。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2、产出质量指标：年度指标值为提高党员素质，实际完成有效助力。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3、产出时效指标：年度指标值为各项工作完成时间2023.1.1-2023.12.31 。实际完成100%。</w:t>
      </w:r>
    </w:p>
    <w:p>
      <w:p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1、经济效益指标：年度指标值为反向促进经济发展。实际完成为间接效益。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2、社会效益指标：年度指标值为提高整体城市形象，对外留下良好印象，实际完成有效提升。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五、主要经验及做法、存在的问题及原因分析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六、有关建议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七、其他需要说明的问题</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3" w:firstLineChars="200"/>
        <w:textAlignment w:val="baseline"/>
        <w:outlineLvl w:val="0"/>
        <w:rPr>
          <w:rFonts w:hint="eastAsia" w:ascii="仿宋" w:hAnsi="仿宋" w:eastAsia="仿宋" w:cs="仿宋"/>
          <w:b/>
          <w:bCs/>
          <w:spacing w:val="-15"/>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53AD91-E269-4D4F-A313-F4C47958255E}"/>
  </w:font>
  <w:font w:name="黑体">
    <w:panose1 w:val="02010609060101010101"/>
    <w:charset w:val="86"/>
    <w:family w:val="auto"/>
    <w:pitch w:val="default"/>
    <w:sig w:usb0="800002BF" w:usb1="38CF7CFA" w:usb2="00000016" w:usb3="00000000" w:csb0="00040001" w:csb1="00000000"/>
    <w:embedRegular r:id="rId2" w:fontKey="{84AD704D-C5EC-4EDC-BC58-B4A3B595D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CD4F476-702C-40ED-9BF4-8DA0899A915E}"/>
  </w:font>
  <w:font w:name="仿宋_GB2312">
    <w:panose1 w:val="02010609030101010101"/>
    <w:charset w:val="86"/>
    <w:family w:val="modern"/>
    <w:pitch w:val="default"/>
    <w:sig w:usb0="00000001" w:usb1="080E0000" w:usb2="00000000" w:usb3="00000000" w:csb0="00040000" w:csb1="00000000"/>
    <w:embedRegular r:id="rId4" w:fontKey="{1D20B739-D0F0-47A4-B885-B5D24332E25D}"/>
  </w:font>
  <w:font w:name="方正小标宋简体">
    <w:panose1 w:val="02000000000000000000"/>
    <w:charset w:val="86"/>
    <w:family w:val="script"/>
    <w:pitch w:val="default"/>
    <w:sig w:usb0="00000001" w:usb1="08000000" w:usb2="00000000" w:usb3="00000000" w:csb0="00040000" w:csb1="00000000"/>
    <w:embedRegular r:id="rId5" w:fontKey="{869483F9-4FF9-4D73-9F20-07F8F97B3239}"/>
  </w:font>
  <w:font w:name="楷体_GB2312">
    <w:panose1 w:val="02010609030101010101"/>
    <w:charset w:val="86"/>
    <w:family w:val="modern"/>
    <w:pitch w:val="default"/>
    <w:sig w:usb0="00000001" w:usb1="080E0000" w:usb2="00000000" w:usb3="00000000" w:csb0="00040000" w:csb1="00000000"/>
    <w:embedRegular r:id="rId6" w:fontKey="{FA1710DB-4F2A-42E2-B04B-269313D976D9}"/>
  </w:font>
  <w:font w:name="楷体">
    <w:panose1 w:val="02010609060101010101"/>
    <w:charset w:val="86"/>
    <w:family w:val="auto"/>
    <w:pitch w:val="default"/>
    <w:sig w:usb0="800002BF" w:usb1="38CF7CFA" w:usb2="00000016" w:usb3="00000000" w:csb0="00040001" w:csb1="00000000"/>
    <w:embedRegular r:id="rId7" w:fontKey="{29910B75-0D4F-4EC2-A392-F6A06B6BCA4C}"/>
  </w:font>
  <w:font w:name="方正黑体_GBK">
    <w:altName w:val="微软雅黑"/>
    <w:panose1 w:val="03000509000000000000"/>
    <w:charset w:val="86"/>
    <w:family w:val="script"/>
    <w:pitch w:val="default"/>
    <w:sig w:usb0="00000000" w:usb1="00000000" w:usb2="00000000" w:usb3="00000000" w:csb0="00040000" w:csb1="00000000"/>
    <w:embedRegular r:id="rId8" w:fontKey="{C4043324-6292-4A99-89CF-8E66D5A1888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58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15A5"/>
    <w:multiLevelType w:val="singleLevel"/>
    <w:tmpl w:val="ACAD15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kwYjg2MWZkYjg1MjI1ODY4MTE2YWQ3NmYyZTQ1YjAifQ=="/>
  </w:docVars>
  <w:rsids>
    <w:rsidRoot w:val="00000000"/>
    <w:rsid w:val="01AF3811"/>
    <w:rsid w:val="03795BF7"/>
    <w:rsid w:val="086E756B"/>
    <w:rsid w:val="0ACF37E5"/>
    <w:rsid w:val="0B400BC6"/>
    <w:rsid w:val="0E68228D"/>
    <w:rsid w:val="0EA6787F"/>
    <w:rsid w:val="15276E52"/>
    <w:rsid w:val="16AB0A87"/>
    <w:rsid w:val="16FC5F04"/>
    <w:rsid w:val="19D32FBC"/>
    <w:rsid w:val="1E6A4395"/>
    <w:rsid w:val="21190526"/>
    <w:rsid w:val="25557A3D"/>
    <w:rsid w:val="26EA5ED7"/>
    <w:rsid w:val="27A93B82"/>
    <w:rsid w:val="2AE00186"/>
    <w:rsid w:val="308216BE"/>
    <w:rsid w:val="34FE1149"/>
    <w:rsid w:val="3A550786"/>
    <w:rsid w:val="3B7A130F"/>
    <w:rsid w:val="3FA85AE6"/>
    <w:rsid w:val="4702058D"/>
    <w:rsid w:val="494A1329"/>
    <w:rsid w:val="4F8B6063"/>
    <w:rsid w:val="52FA3F96"/>
    <w:rsid w:val="55850F17"/>
    <w:rsid w:val="57AE6D93"/>
    <w:rsid w:val="5FB623A7"/>
    <w:rsid w:val="64AF5574"/>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2326</Words>
  <Characters>2565</Characters>
  <TotalTime>0</TotalTime>
  <ScaleCrop>false</ScaleCrop>
  <LinksUpToDate>false</LinksUpToDate>
  <CharactersWithSpaces>2868</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子宸的wps</cp:lastModifiedBy>
  <cp:lastPrinted>2024-05-21T14:05:00Z</cp:lastPrinted>
  <dcterms:modified xsi:type="dcterms:W3CDTF">2025-05-28T12:03:34Z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2052-12.1.0.16250</vt:lpwstr>
  </property>
  <property fmtid="{D5CDD505-2E9C-101B-9397-08002B2CF9AE}" pid="6" name="ICV">
    <vt:lpwstr>EEA783751E724773AE80BD7955C9CBC1_13</vt:lpwstr>
  </property>
</Properties>
</file>